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0C881A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/>
        <w:jc w:val="both"/>
        <w:textAlignment w:val="auto"/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黑体"/>
          <w:b w:val="0"/>
          <w:bCs/>
          <w:sz w:val="32"/>
          <w:szCs w:val="32"/>
          <w:lang w:val="en-US" w:eastAsia="zh-CN"/>
        </w:rPr>
        <w:t>3</w:t>
      </w:r>
    </w:p>
    <w:p w14:paraId="75B629AD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</w:rPr>
        <w:t>广东省充电桩在线监测平台运营商数据</w:t>
      </w:r>
    </w:p>
    <w:p w14:paraId="26512A2D">
      <w:pPr>
        <w:pStyle w:val="2"/>
        <w:keepNext/>
        <w:keepLines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after="0" w:line="560" w:lineRule="exact"/>
        <w:ind w:leftChars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</w:rPr>
        <w:t>接入流程</w:t>
      </w:r>
    </w:p>
    <w:p w14:paraId="7EA102F3">
      <w:pPr>
        <w:pStyle w:val="2"/>
        <w:bidi w:val="0"/>
        <w:ind w:left="432" w:leftChars="0" w:hanging="432" w:firstLineChars="0"/>
      </w:pPr>
      <w:r>
        <w:rPr>
          <w:rFonts w:hint="eastAsia"/>
          <w:lang w:val="en-US" w:eastAsia="zh-CN"/>
        </w:rPr>
        <w:t>【计量机构】提供运营商对接流程和接口文档</w:t>
      </w:r>
      <w:bookmarkStart w:id="0" w:name="_GoBack"/>
      <w:bookmarkEnd w:id="0"/>
    </w:p>
    <w:p w14:paraId="4DEFD56D"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在网址</w:t>
      </w:r>
      <w:r>
        <w:rPr>
          <w:rFonts w:hint="eastAsia"/>
          <w:lang w:eastAsia="zh-CN"/>
        </w:rPr>
        <w:t>（</w:t>
      </w:r>
      <w:r>
        <w:rPr>
          <w:rFonts w:hint="eastAsia"/>
        </w:rPr>
        <w:t>http://ubattery.cn:19092/#/</w:t>
      </w:r>
      <w:r>
        <w:rPr>
          <w:rFonts w:hint="eastAsia"/>
          <w:lang w:eastAsia="zh-CN"/>
        </w:rPr>
        <w:t>）</w:t>
      </w:r>
      <w:r>
        <w:rPr>
          <w:rFonts w:hint="eastAsia"/>
          <w:lang w:val="en-US" w:eastAsia="zh-CN"/>
        </w:rPr>
        <w:t>提交</w:t>
      </w:r>
      <w:r>
        <w:rPr>
          <w:rFonts w:hint="eastAsia"/>
        </w:rPr>
        <w:t>运营商注册</w:t>
      </w:r>
      <w:r>
        <w:rPr>
          <w:rFonts w:hint="eastAsia"/>
          <w:lang w:val="en-US" w:eastAsia="zh-CN"/>
        </w:rPr>
        <w:t>申请</w:t>
      </w:r>
    </w:p>
    <w:p w14:paraId="0F05BDA5"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联系对接人员审批</w:t>
      </w:r>
    </w:p>
    <w:p w14:paraId="0A932A0C"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</w:rPr>
        <w:t>审批通过后，登录系统，获取接入服务地址和密钥信息，推送数据至测试接入服务地址，完成测试报告</w:t>
      </w:r>
    </w:p>
    <w:p w14:paraId="492012D6">
      <w:pPr>
        <w:numPr>
          <w:ilvl w:val="0"/>
          <w:numId w:val="2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</w:rPr>
        <w:t>测试通过后，</w:t>
      </w:r>
      <w:r>
        <w:rPr>
          <w:rFonts w:hint="eastAsia"/>
          <w:lang w:val="en-US" w:eastAsia="zh-CN"/>
        </w:rPr>
        <w:t xml:space="preserve">联系对接人员核查测试情况 </w:t>
      </w:r>
    </w:p>
    <w:p w14:paraId="12562BE9">
      <w:pPr>
        <w:numPr>
          <w:ilvl w:val="0"/>
          <w:numId w:val="2"/>
        </w:numPr>
        <w:ind w:left="425" w:leftChars="0" w:hanging="425" w:firstLineChars="0"/>
        <w:rPr>
          <w:rFonts w:hint="eastAsia"/>
        </w:rPr>
      </w:pPr>
      <w:r>
        <w:rPr>
          <w:rFonts w:hint="eastAsia"/>
          <w:lang w:val="en-US" w:eastAsia="zh-CN"/>
        </w:rPr>
        <w:t>对接人员确认测试通过后，提供</w:t>
      </w:r>
      <w:r>
        <w:rPr>
          <w:rFonts w:hint="eastAsia"/>
        </w:rPr>
        <w:t>正式接入服务地址</w:t>
      </w:r>
    </w:p>
    <w:p w14:paraId="14D4C3D0">
      <w:pPr>
        <w:numPr>
          <w:ilvl w:val="0"/>
          <w:numId w:val="0"/>
        </w:numPr>
        <w:ind w:leftChars="0"/>
        <w:rPr>
          <w:rFonts w:hint="eastAsia"/>
        </w:rPr>
      </w:pPr>
      <w:r>
        <w:drawing>
          <wp:inline distT="0" distB="0" distL="114300" distR="114300">
            <wp:extent cx="5262880" cy="2386330"/>
            <wp:effectExtent l="0" t="0" r="20320" b="1270"/>
            <wp:docPr id="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4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2880" cy="2386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C3A210">
      <w:pPr>
        <w:rPr>
          <w:rFonts w:hint="eastAsia"/>
        </w:rPr>
      </w:pPr>
    </w:p>
    <w:p w14:paraId="7027511D"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提供接口文档《充电桩强检平台在线计量大数据平台-接口文档（广东省院）V1.4.pdf》</w:t>
      </w:r>
    </w:p>
    <w:p w14:paraId="784F6871">
      <w:pPr>
        <w:pStyle w:val="2"/>
        <w:bidi w:val="0"/>
        <w:ind w:left="432" w:leftChars="0" w:hanging="432" w:firstLineChars="0"/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运营商</w:t>
      </w:r>
      <w:r>
        <w:rPr>
          <w:rFonts w:hint="eastAsia"/>
          <w:lang w:eastAsia="zh-CN"/>
        </w:rPr>
        <w:t>】</w:t>
      </w:r>
      <w:r>
        <w:rPr>
          <w:rFonts w:hint="eastAsia"/>
          <w:lang w:val="en-US" w:eastAsia="zh-CN"/>
        </w:rPr>
        <w:t>提交注册申请</w:t>
      </w:r>
    </w:p>
    <w:p w14:paraId="7D9C0326">
      <w:p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充电桩运营企业提交注册申请后，联系计量机构对接人员审批</w:t>
      </w:r>
    </w:p>
    <w:p w14:paraId="297C1CDE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0975" cy="2639060"/>
            <wp:effectExtent l="0" t="0" r="15875" b="889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63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C3EC74B">
      <w:r>
        <w:drawing>
          <wp:inline distT="0" distB="0" distL="114300" distR="114300">
            <wp:extent cx="5260975" cy="2639060"/>
            <wp:effectExtent l="0" t="0" r="15875" b="889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63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3BD2DE"/>
    <w:p w14:paraId="6862A70E">
      <w:pPr>
        <w:pStyle w:val="2"/>
        <w:bidi w:val="0"/>
        <w:ind w:left="432" w:leftChars="0" w:hanging="432" w:firstLineChars="0"/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计量机构</w:t>
      </w:r>
      <w:r>
        <w:rPr>
          <w:rFonts w:hint="eastAsia"/>
          <w:lang w:eastAsia="zh-CN"/>
        </w:rPr>
        <w:t>】</w:t>
      </w:r>
      <w:r>
        <w:rPr>
          <w:rFonts w:hint="eastAsia"/>
          <w:lang w:val="en-US" w:eastAsia="zh-CN"/>
        </w:rPr>
        <w:t>审批企业注册申请</w:t>
      </w:r>
    </w:p>
    <w:p w14:paraId="77A85B53">
      <w:pPr>
        <w:ind w:firstLine="420" w:firstLineChars="200"/>
      </w:pPr>
      <w:r>
        <w:rPr>
          <w:rFonts w:hint="eastAsia"/>
          <w:lang w:val="en-US" w:eastAsia="zh-CN"/>
        </w:rPr>
        <w:t>联系计量机构对接人员审批</w:t>
      </w:r>
    </w:p>
    <w:p w14:paraId="79CB6B1A">
      <w:r>
        <w:drawing>
          <wp:inline distT="0" distB="0" distL="114300" distR="114300">
            <wp:extent cx="5268595" cy="2408555"/>
            <wp:effectExtent l="0" t="0" r="825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24085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9E43A7">
      <w:pPr>
        <w:pStyle w:val="2"/>
        <w:bidi w:val="0"/>
        <w:ind w:left="432" w:leftChars="0" w:hanging="432" w:firstLineChars="0"/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运营商</w:t>
      </w:r>
      <w:r>
        <w:rPr>
          <w:rFonts w:hint="eastAsia"/>
          <w:lang w:eastAsia="zh-CN"/>
        </w:rPr>
        <w:t>】</w:t>
      </w:r>
      <w:r>
        <w:rPr>
          <w:rFonts w:hint="eastAsia"/>
          <w:lang w:val="en-US" w:eastAsia="zh-CN"/>
        </w:rPr>
        <w:t>登录系统，获取测试环境账号密钥信息</w:t>
      </w:r>
    </w:p>
    <w:p w14:paraId="30C90EFF">
      <w:p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 xml:space="preserve">   审批通过后，登录系统（</w:t>
      </w:r>
      <w:r>
        <w:rPr>
          <w:rFonts w:hint="eastAsia"/>
        </w:rPr>
        <w:t>http://ubattery.cn:19092/#/</w:t>
      </w:r>
      <w:r>
        <w:rPr>
          <w:rFonts w:hint="eastAsia"/>
          <w:lang w:val="en-US" w:eastAsia="zh-CN"/>
        </w:rPr>
        <w:t>），获取测试接入服务地址和账号密钥信息</w:t>
      </w:r>
    </w:p>
    <w:p w14:paraId="71F62247">
      <w:r>
        <w:drawing>
          <wp:inline distT="0" distB="0" distL="114300" distR="114300">
            <wp:extent cx="5260975" cy="2639060"/>
            <wp:effectExtent l="0" t="0" r="15875" b="889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63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690A90">
      <w:pPr>
        <w:pStyle w:val="2"/>
        <w:bidi w:val="0"/>
        <w:ind w:left="432" w:leftChars="0" w:hanging="432" w:firstLineChars="0"/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运营商</w:t>
      </w:r>
      <w:r>
        <w:rPr>
          <w:rFonts w:hint="eastAsia"/>
          <w:lang w:eastAsia="zh-CN"/>
        </w:rPr>
        <w:t>】</w:t>
      </w:r>
      <w:r>
        <w:rPr>
          <w:rFonts w:hint="eastAsia"/>
          <w:lang w:val="en-US" w:eastAsia="zh-CN"/>
        </w:rPr>
        <w:t>安排充电平台技术人员开发、联调测试接口</w:t>
      </w:r>
    </w:p>
    <w:p w14:paraId="6BE37E0D">
      <w:pPr>
        <w:numPr>
          <w:ilvl w:val="0"/>
          <w:numId w:val="0"/>
        </w:numPr>
        <w:ind w:firstLine="420" w:firstLineChars="20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平台技术人员详细阅读接口文档《充电桩强检平台在线计量大数据平台-接口文档（广东省院）V1.4.pdf》，完成</w:t>
      </w:r>
      <w:r>
        <w:rPr>
          <w:rFonts w:hint="default"/>
          <w:lang w:val="en-US" w:eastAsia="zh-CN"/>
        </w:rPr>
        <w:t>以下5个接口</w:t>
      </w:r>
      <w:r>
        <w:rPr>
          <w:rFonts w:hint="eastAsia"/>
          <w:lang w:val="en-US" w:eastAsia="zh-CN"/>
        </w:rPr>
        <w:t>联调测试</w:t>
      </w:r>
      <w:r>
        <w:rPr>
          <w:rFonts w:hint="default"/>
          <w:lang w:val="en-US" w:eastAsia="zh-CN"/>
        </w:rPr>
        <w:t>：</w:t>
      </w:r>
    </w:p>
    <w:p w14:paraId="5D8188AA">
      <w:pPr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充电站信息变化推送(notification_stationInfo)</w:t>
      </w:r>
    </w:p>
    <w:p w14:paraId="38104AD2">
      <w:pPr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设备状态变化推送(notification_stationStatus)</w:t>
      </w:r>
    </w:p>
    <w:p w14:paraId="17DDA4F1">
      <w:pPr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过程信息推送(notification_bmsInfo)</w:t>
      </w:r>
    </w:p>
    <w:p w14:paraId="1D209C55">
      <w:pPr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贸易订单信息推送(notification_chargeOrderInfo)</w:t>
      </w:r>
    </w:p>
    <w:p w14:paraId="462FAB14">
      <w:pPr>
        <w:numPr>
          <w:ilvl w:val="0"/>
          <w:numId w:val="3"/>
        </w:numPr>
        <w:ind w:left="425" w:leftChars="0" w:hanging="425" w:firstLine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t>原桩电表信息推送(notification_connectMeterStatusInfo)</w:t>
      </w:r>
    </w:p>
    <w:p w14:paraId="321E23DE">
      <w:pPr>
        <w:ind w:firstLine="420" w:firstLineChars="200"/>
        <w:rPr>
          <w:rFonts w:hint="default"/>
          <w:lang w:val="en-US"/>
        </w:rPr>
      </w:pPr>
      <w:r>
        <w:rPr>
          <w:rFonts w:hint="eastAsia"/>
          <w:lang w:val="en-US" w:eastAsia="zh-CN"/>
        </w:rPr>
        <w:t>5个接口联调测试通过后，联系计量机构对接人员核查测试情况</w:t>
      </w:r>
    </w:p>
    <w:p w14:paraId="20DFEF0B">
      <w:pPr>
        <w:pStyle w:val="2"/>
        <w:bidi w:val="0"/>
        <w:ind w:left="432" w:leftChars="0" w:hanging="432" w:firstLineChars="0"/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计量机构</w:t>
      </w:r>
      <w:r>
        <w:rPr>
          <w:rFonts w:hint="eastAsia"/>
          <w:lang w:eastAsia="zh-CN"/>
        </w:rPr>
        <w:t>】</w:t>
      </w:r>
      <w:r>
        <w:rPr>
          <w:rFonts w:hint="eastAsia"/>
          <w:lang w:val="en-US" w:eastAsia="zh-CN"/>
        </w:rPr>
        <w:t>核查测试情况</w:t>
      </w:r>
    </w:p>
    <w:p w14:paraId="43768809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测试通过，提供生产接入地址；</w:t>
      </w:r>
    </w:p>
    <w:p w14:paraId="5545A9EC">
      <w:pPr>
        <w:ind w:firstLine="420" w:firstLineChars="20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测试未通过，继续接口联调测试；</w:t>
      </w:r>
    </w:p>
    <w:p w14:paraId="70664539">
      <w:pPr>
        <w:rPr>
          <w:rFonts w:hint="eastAsia"/>
          <w:lang w:val="en-US" w:eastAsia="zh-CN"/>
        </w:rPr>
      </w:pPr>
      <w:r>
        <w:drawing>
          <wp:inline distT="0" distB="0" distL="114300" distR="114300">
            <wp:extent cx="5260975" cy="2639060"/>
            <wp:effectExtent l="0" t="0" r="15875" b="889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60975" cy="2639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27E6D0">
      <w:pPr>
        <w:pStyle w:val="2"/>
        <w:bidi w:val="0"/>
        <w:ind w:left="432" w:leftChars="0" w:hanging="432" w:firstLineChars="0"/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运营商</w:t>
      </w:r>
      <w:r>
        <w:rPr>
          <w:rFonts w:hint="eastAsia"/>
          <w:lang w:eastAsia="zh-CN"/>
        </w:rPr>
        <w:t>】</w:t>
      </w:r>
      <w:r>
        <w:rPr>
          <w:rFonts w:hint="eastAsia"/>
          <w:lang w:val="en-US" w:eastAsia="zh-CN"/>
        </w:rPr>
        <w:t>发版上线，接入生产环境</w:t>
      </w:r>
    </w:p>
    <w:p w14:paraId="54211EC8">
      <w:pPr>
        <w:numPr>
          <w:ilvl w:val="0"/>
          <w:numId w:val="4"/>
        </w:numPr>
        <w:ind w:left="425" w:leftChars="0" w:hanging="425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根据计量机构提供的接入生产环境地址和账号密钥信息，正式发版上线生产环境</w:t>
      </w:r>
    </w:p>
    <w:p w14:paraId="40C6D0A8">
      <w:pPr>
        <w:numPr>
          <w:ilvl w:val="0"/>
          <w:numId w:val="4"/>
        </w:numPr>
        <w:ind w:left="425" w:leftChars="0" w:hanging="425" w:firstLineChars="0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完成推送后，联系计量机构对接人员核查数据情况</w:t>
      </w:r>
    </w:p>
    <w:p w14:paraId="74413B5B">
      <w:pPr>
        <w:pStyle w:val="2"/>
        <w:bidi w:val="0"/>
        <w:ind w:left="432" w:leftChars="0" w:hanging="432" w:firstLineChars="0"/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计量机构</w:t>
      </w:r>
      <w:r>
        <w:rPr>
          <w:rFonts w:hint="eastAsia"/>
          <w:lang w:eastAsia="zh-CN"/>
        </w:rPr>
        <w:t>】</w:t>
      </w:r>
      <w:r>
        <w:rPr>
          <w:rFonts w:hint="eastAsia"/>
          <w:lang w:val="en-US" w:eastAsia="zh-CN"/>
        </w:rPr>
        <w:t>核查生产数据情况</w:t>
      </w:r>
    </w:p>
    <w:p w14:paraId="4F92BA7A">
      <w:pPr>
        <w:pStyle w:val="2"/>
        <w:bidi w:val="0"/>
        <w:ind w:left="432" w:leftChars="0" w:hanging="432" w:firstLineChars="0"/>
      </w:pPr>
      <w:r>
        <w:rPr>
          <w:rFonts w:hint="eastAsia"/>
          <w:lang w:eastAsia="zh-CN"/>
        </w:rPr>
        <w:t>【</w:t>
      </w:r>
      <w:r>
        <w:rPr>
          <w:rFonts w:hint="eastAsia"/>
          <w:lang w:val="en-US" w:eastAsia="zh-CN"/>
        </w:rPr>
        <w:t>运营商</w:t>
      </w:r>
      <w:r>
        <w:rPr>
          <w:rFonts w:hint="eastAsia"/>
          <w:lang w:eastAsia="zh-CN"/>
        </w:rPr>
        <w:t>】</w:t>
      </w:r>
      <w:r>
        <w:rPr>
          <w:rFonts w:hint="eastAsia"/>
          <w:lang w:val="en-US" w:eastAsia="zh-CN"/>
        </w:rPr>
        <w:t>修复数据问题直到符合要求</w:t>
      </w:r>
    </w:p>
    <w:p w14:paraId="7AA77B25">
      <w:pPr>
        <w:rPr>
          <w:rFonts w:hint="default"/>
          <w:lang w:val="en-US" w:eastAsia="zh-CN"/>
        </w:rPr>
      </w:pPr>
    </w:p>
    <w:p w14:paraId="17A2A7B6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E4B8CDE">
    <w:pPr>
      <w:pStyle w:val="11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0E6B5C">
                          <w:pPr>
                            <w:pStyle w:val="11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wiRJe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0E6B5C">
                    <w:pPr>
                      <w:pStyle w:val="11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FDB13EC"/>
    <w:multiLevelType w:val="singleLevel"/>
    <w:tmpl w:val="CFDB13EC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1">
    <w:nsid w:val="EAED920E"/>
    <w:multiLevelType w:val="singleLevel"/>
    <w:tmpl w:val="EAED920E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2">
    <w:nsid w:val="EB326B01"/>
    <w:multiLevelType w:val="singleLevel"/>
    <w:tmpl w:val="EB326B01"/>
    <w:lvl w:ilvl="0" w:tentative="0">
      <w:start w:val="1"/>
      <w:numFmt w:val="decimal"/>
      <w:lvlText w:val="(%1)"/>
      <w:lvlJc w:val="left"/>
      <w:pPr>
        <w:ind w:left="425" w:hanging="425"/>
      </w:pPr>
      <w:rPr>
        <w:rFonts w:hint="default"/>
      </w:rPr>
    </w:lvl>
  </w:abstractNum>
  <w:abstractNum w:abstractNumId="3">
    <w:nsid w:val="72703D55"/>
    <w:multiLevelType w:val="multilevel"/>
    <w:tmpl w:val="72703D55"/>
    <w:lvl w:ilvl="0" w:tentative="0">
      <w:start w:val="1"/>
      <w:numFmt w:val="decimal"/>
      <w:pStyle w:val="2"/>
      <w:lvlText w:val="%1."/>
      <w:lvlJc w:val="left"/>
      <w:pPr>
        <w:ind w:left="432" w:hanging="432"/>
      </w:pPr>
      <w:rPr>
        <w:rFonts w:hint="default"/>
      </w:rPr>
    </w:lvl>
    <w:lvl w:ilvl="1" w:tentative="0">
      <w:start w:val="1"/>
      <w:numFmt w:val="decimal"/>
      <w:pStyle w:val="3"/>
      <w:lvlText w:val="%1.%2."/>
      <w:lvlJc w:val="left"/>
      <w:pPr>
        <w:ind w:left="575" w:hanging="575"/>
      </w:pPr>
      <w:rPr>
        <w:rFonts w:hint="default"/>
      </w:rPr>
    </w:lvl>
    <w:lvl w:ilvl="2" w:tentative="0">
      <w:start w:val="1"/>
      <w:numFmt w:val="decimal"/>
      <w:pStyle w:val="4"/>
      <w:lvlText w:val="%1.%2.%3."/>
      <w:lvlJc w:val="left"/>
      <w:pPr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."/>
      <w:lvlJc w:val="left"/>
      <w:pPr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."/>
      <w:lvlJc w:val="left"/>
      <w:pPr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."/>
      <w:lvlJc w:val="left"/>
      <w:pPr>
        <w:ind w:left="1151" w:hanging="1151"/>
      </w:pPr>
      <w:rPr>
        <w:rFonts w:hint="default"/>
      </w:rPr>
    </w:lvl>
    <w:lvl w:ilvl="6" w:tentative="0">
      <w:start w:val="1"/>
      <w:numFmt w:val="decimal"/>
      <w:pStyle w:val="8"/>
      <w:lvlText w:val="%1.%2.%3.%4.%5.%6.%7."/>
      <w:lvlJc w:val="left"/>
      <w:pPr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."/>
      <w:lvlJc w:val="left"/>
      <w:pPr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."/>
      <w:lvlJc w:val="left"/>
      <w:pPr>
        <w:ind w:left="1583" w:hanging="1583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0A47AD"/>
    <w:rsid w:val="03AC38D7"/>
    <w:rsid w:val="03FF6280"/>
    <w:rsid w:val="088C017B"/>
    <w:rsid w:val="0902043D"/>
    <w:rsid w:val="0A1F7DCE"/>
    <w:rsid w:val="0DD423A8"/>
    <w:rsid w:val="0FF075FC"/>
    <w:rsid w:val="10264A11"/>
    <w:rsid w:val="10844541"/>
    <w:rsid w:val="10A67900"/>
    <w:rsid w:val="131E7C21"/>
    <w:rsid w:val="15080B89"/>
    <w:rsid w:val="16504596"/>
    <w:rsid w:val="191044B0"/>
    <w:rsid w:val="19361673"/>
    <w:rsid w:val="19561BC7"/>
    <w:rsid w:val="1EEE0DF0"/>
    <w:rsid w:val="1F726325"/>
    <w:rsid w:val="1FC009DE"/>
    <w:rsid w:val="202D1DEC"/>
    <w:rsid w:val="211F34E2"/>
    <w:rsid w:val="21DF2C72"/>
    <w:rsid w:val="23144B9D"/>
    <w:rsid w:val="237F64BA"/>
    <w:rsid w:val="27E70AD2"/>
    <w:rsid w:val="284D302B"/>
    <w:rsid w:val="2A91304F"/>
    <w:rsid w:val="2AB40FBA"/>
    <w:rsid w:val="2AEF03C9"/>
    <w:rsid w:val="2B966A97"/>
    <w:rsid w:val="2C7843EE"/>
    <w:rsid w:val="32342B66"/>
    <w:rsid w:val="34256C0A"/>
    <w:rsid w:val="34272982"/>
    <w:rsid w:val="37F16F16"/>
    <w:rsid w:val="37FF9B2F"/>
    <w:rsid w:val="383733B0"/>
    <w:rsid w:val="385C4BC4"/>
    <w:rsid w:val="390A4620"/>
    <w:rsid w:val="3AC86541"/>
    <w:rsid w:val="3BAE7806"/>
    <w:rsid w:val="410F0A26"/>
    <w:rsid w:val="425C5EED"/>
    <w:rsid w:val="4292152A"/>
    <w:rsid w:val="42BC698B"/>
    <w:rsid w:val="43860D47"/>
    <w:rsid w:val="463C0CB3"/>
    <w:rsid w:val="48524506"/>
    <w:rsid w:val="49470B5C"/>
    <w:rsid w:val="4AF07B1A"/>
    <w:rsid w:val="4D761E2D"/>
    <w:rsid w:val="4ECE0172"/>
    <w:rsid w:val="4F1E452A"/>
    <w:rsid w:val="4F5D32A4"/>
    <w:rsid w:val="506B379F"/>
    <w:rsid w:val="5224454D"/>
    <w:rsid w:val="53440938"/>
    <w:rsid w:val="573B211D"/>
    <w:rsid w:val="59B166C6"/>
    <w:rsid w:val="5F773F0E"/>
    <w:rsid w:val="5FBF10D2"/>
    <w:rsid w:val="60485BB9"/>
    <w:rsid w:val="610417D1"/>
    <w:rsid w:val="65D26342"/>
    <w:rsid w:val="6E162B44"/>
    <w:rsid w:val="6F321FFF"/>
    <w:rsid w:val="708D6817"/>
    <w:rsid w:val="72BFD32A"/>
    <w:rsid w:val="76544B51"/>
    <w:rsid w:val="76796366"/>
    <w:rsid w:val="77161E07"/>
    <w:rsid w:val="776F3DC6"/>
    <w:rsid w:val="79256331"/>
    <w:rsid w:val="797D7F1B"/>
    <w:rsid w:val="7BE692C3"/>
    <w:rsid w:val="7DF62DE2"/>
    <w:rsid w:val="7FEE5B29"/>
    <w:rsid w:val="AEBB5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numPr>
        <w:ilvl w:val="0"/>
        <w:numId w:val="1"/>
      </w:numPr>
      <w:spacing w:before="340" w:beforeLines="0" w:beforeAutospacing="0" w:after="330" w:afterLines="0" w:afterAutospacing="0" w:line="576" w:lineRule="auto"/>
      <w:ind w:left="432" w:hanging="432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semiHidden/>
    <w:unhideWhenUsed/>
    <w:qFormat/>
    <w:uiPriority w:val="0"/>
    <w:pPr>
      <w:keepNext/>
      <w:keepLines/>
      <w:numPr>
        <w:ilvl w:val="1"/>
        <w:numId w:val="1"/>
      </w:numPr>
      <w:spacing w:before="260" w:beforeLines="0" w:beforeAutospacing="0" w:after="260" w:afterLines="0" w:afterAutospacing="0" w:line="413" w:lineRule="auto"/>
      <w:ind w:left="575" w:hanging="575"/>
      <w:outlineLvl w:val="1"/>
    </w:pPr>
    <w:rPr>
      <w:rFonts w:ascii="Arial" w:hAnsi="Arial" w:eastAsia="黑体"/>
      <w:b/>
      <w:sz w:val="32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numPr>
        <w:ilvl w:val="2"/>
        <w:numId w:val="1"/>
      </w:numPr>
      <w:spacing w:before="260" w:beforeLines="0" w:beforeAutospacing="0" w:after="260" w:afterLines="0" w:afterAutospacing="0" w:line="413" w:lineRule="auto"/>
      <w:ind w:left="720" w:hanging="720"/>
      <w:outlineLvl w:val="2"/>
    </w:pPr>
    <w:rPr>
      <w:b/>
      <w:sz w:val="32"/>
    </w:rPr>
  </w:style>
  <w:style w:type="paragraph" w:styleId="5">
    <w:name w:val="heading 4"/>
    <w:basedOn w:val="1"/>
    <w:next w:val="1"/>
    <w:semiHidden/>
    <w:unhideWhenUsed/>
    <w:qFormat/>
    <w:uiPriority w:val="0"/>
    <w:pPr>
      <w:keepNext/>
      <w:keepLines/>
      <w:numPr>
        <w:ilvl w:val="3"/>
        <w:numId w:val="1"/>
      </w:numPr>
      <w:spacing w:before="280" w:beforeLines="0" w:beforeAutospacing="0" w:after="290" w:afterLines="0" w:afterAutospacing="0" w:line="372" w:lineRule="auto"/>
      <w:ind w:left="864" w:hanging="864"/>
      <w:outlineLvl w:val="3"/>
    </w:pPr>
    <w:rPr>
      <w:rFonts w:ascii="Arial" w:hAnsi="Arial" w:eastAsia="黑体"/>
      <w:b/>
      <w:sz w:val="28"/>
    </w:rPr>
  </w:style>
  <w:style w:type="paragraph" w:styleId="6">
    <w:name w:val="heading 5"/>
    <w:basedOn w:val="1"/>
    <w:next w:val="1"/>
    <w:semiHidden/>
    <w:unhideWhenUsed/>
    <w:qFormat/>
    <w:uiPriority w:val="0"/>
    <w:pPr>
      <w:keepNext/>
      <w:keepLines/>
      <w:numPr>
        <w:ilvl w:val="4"/>
        <w:numId w:val="1"/>
      </w:numPr>
      <w:spacing w:before="280" w:beforeLines="0" w:beforeAutospacing="0" w:after="290" w:afterLines="0" w:afterAutospacing="0" w:line="372" w:lineRule="auto"/>
      <w:ind w:left="1008" w:hanging="1008"/>
      <w:outlineLvl w:val="4"/>
    </w:pPr>
    <w:rPr>
      <w:b/>
      <w:sz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numPr>
        <w:ilvl w:val="5"/>
        <w:numId w:val="1"/>
      </w:numPr>
      <w:spacing w:before="240" w:beforeLines="0" w:beforeAutospacing="0" w:after="64" w:afterLines="0" w:afterAutospacing="0" w:line="317" w:lineRule="auto"/>
      <w:ind w:left="1151" w:hanging="1151"/>
      <w:outlineLvl w:val="5"/>
    </w:pPr>
    <w:rPr>
      <w:rFonts w:ascii="Arial" w:hAnsi="Arial" w:eastAsia="黑体"/>
      <w:b/>
      <w:sz w:val="24"/>
    </w:rPr>
  </w:style>
  <w:style w:type="paragraph" w:styleId="8">
    <w:name w:val="heading 7"/>
    <w:basedOn w:val="1"/>
    <w:next w:val="1"/>
    <w:semiHidden/>
    <w:unhideWhenUsed/>
    <w:qFormat/>
    <w:uiPriority w:val="0"/>
    <w:pPr>
      <w:keepNext/>
      <w:keepLines/>
      <w:numPr>
        <w:ilvl w:val="6"/>
        <w:numId w:val="1"/>
      </w:numPr>
      <w:spacing w:before="240" w:beforeLines="0" w:beforeAutospacing="0" w:after="64" w:afterLines="0" w:afterAutospacing="0" w:line="317" w:lineRule="auto"/>
      <w:ind w:left="1296" w:hanging="1296"/>
      <w:outlineLvl w:val="6"/>
    </w:pPr>
    <w:rPr>
      <w:b/>
      <w:sz w:val="24"/>
    </w:rPr>
  </w:style>
  <w:style w:type="paragraph" w:styleId="9">
    <w:name w:val="heading 8"/>
    <w:basedOn w:val="1"/>
    <w:next w:val="1"/>
    <w:semiHidden/>
    <w:unhideWhenUsed/>
    <w:qFormat/>
    <w:uiPriority w:val="0"/>
    <w:pPr>
      <w:keepNext/>
      <w:keepLines/>
      <w:numPr>
        <w:ilvl w:val="7"/>
        <w:numId w:val="1"/>
      </w:numPr>
      <w:spacing w:before="240" w:beforeLines="0" w:beforeAutospacing="0" w:after="64" w:afterLines="0" w:afterAutospacing="0" w:line="317" w:lineRule="auto"/>
      <w:ind w:left="1440" w:hanging="1440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numPr>
        <w:ilvl w:val="8"/>
        <w:numId w:val="1"/>
      </w:numPr>
      <w:spacing w:before="240" w:beforeLines="0" w:beforeAutospacing="0" w:after="64" w:afterLines="0" w:afterAutospacing="0" w:line="317" w:lineRule="auto"/>
      <w:ind w:left="1583" w:hanging="1583"/>
      <w:outlineLvl w:val="8"/>
    </w:pPr>
    <w:rPr>
      <w:rFonts w:ascii="Arial" w:hAnsi="Arial" w:eastAsia="黑体"/>
      <w:sz w:val="21"/>
    </w:rPr>
  </w:style>
  <w:style w:type="character" w:default="1" w:styleId="14">
    <w:name w:val="Default Paragraph Font"/>
    <w:semiHidden/>
    <w:qFormat/>
    <w:uiPriority w:val="0"/>
  </w:style>
  <w:style w:type="table" w:default="1" w:styleId="1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2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png"/><Relationship Id="rId8" Type="http://schemas.openxmlformats.org/officeDocument/2006/relationships/image" Target="media/image4.png"/><Relationship Id="rId7" Type="http://schemas.openxmlformats.org/officeDocument/2006/relationships/image" Target="media/image3.png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numbering" Target="numbering.xml"/><Relationship Id="rId11" Type="http://schemas.openxmlformats.org/officeDocument/2006/relationships/customXml" Target="../customXml/item1.xml"/><Relationship Id="rId10" Type="http://schemas.openxmlformats.org/officeDocument/2006/relationships/image" Target="media/image6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114</TotalTime>
  <ScaleCrop>false</ScaleCrop>
  <LinksUpToDate>false</LinksUpToDate>
  <CharactersWithSpaces>0</CharactersWithSpaces>
  <Application>WPS Office_12.8.2.18606_F1E327BC-269C-435d-A152-05C5408002CA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2025-12-12T10:03:00Z</dcterms:created>
  <dc:creator>Administrator</dc:creator>
  <cp:lastModifiedBy>黄演君</cp:lastModifiedBy>
  <dcterms:modified xsi:type="dcterms:W3CDTF">2026-03-27T08:14:03Z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2052-12.8.2.18606</vt:lpwstr>
  </property>
  <property fmtid="{D5CDD505-2E9C-101B-9397-08002B2CF9AE}" pid="3" name="KSOTemplateDocerSaveRecord">
    <vt:lpwstr>eyJoZGlkIjoiOWQzZDVmMDUzYzVkNWViYjllYmEwZTExZWU3NGZlZDEiLCJ1c2VySWQiOiI2NzY1NTg4NzMifQ==</vt:lpwstr>
  </property>
  <property fmtid="{D5CDD505-2E9C-101B-9397-08002B2CF9AE}" pid="4" name="ICV">
    <vt:lpwstr>E01F626B92626FC1E3A1B769295C7816_43</vt:lpwstr>
  </property>
</Properties>
</file>