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方正小标宋简体" w:hAnsi="宋体" w:eastAsia="方正小标宋简体" w:cs="微软雅黑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附件</w:t>
      </w:r>
    </w:p>
    <w:p>
      <w:pPr>
        <w:spacing w:before="156" w:beforeLines="50" w:line="600" w:lineRule="exact"/>
        <w:jc w:val="center"/>
        <w:rPr>
          <w:rFonts w:hint="eastAsia" w:ascii="方正小标宋简体" w:hAnsi="宋体" w:eastAsia="方正小标宋简体" w:cs="微软雅黑"/>
          <w:sz w:val="36"/>
          <w:szCs w:val="36"/>
        </w:rPr>
      </w:pPr>
      <w:r>
        <w:rPr>
          <w:rFonts w:hint="eastAsia" w:ascii="方正小标宋简体" w:hAnsi="宋体" w:eastAsia="方正小标宋简体" w:cs="微软雅黑"/>
          <w:sz w:val="36"/>
          <w:szCs w:val="36"/>
        </w:rPr>
        <w:t>电子商务企业开展信用评价</w:t>
      </w:r>
      <w:r>
        <w:rPr>
          <w:rFonts w:hint="eastAsia" w:ascii="方正小标宋简体" w:hAnsi="宋体" w:eastAsia="方正小标宋简体" w:cs="微软雅黑"/>
          <w:sz w:val="36"/>
          <w:szCs w:val="36"/>
          <w:lang w:eastAsia="zh-CN"/>
        </w:rPr>
        <w:t>简介</w:t>
      </w:r>
      <w:r>
        <w:rPr>
          <w:rFonts w:hint="eastAsia" w:ascii="方正小标宋简体" w:hAnsi="宋体" w:eastAsia="方正小标宋简体" w:cs="微软雅黑"/>
          <w:sz w:val="36"/>
          <w:szCs w:val="36"/>
        </w:rPr>
        <w:t>及申请流程</w:t>
      </w:r>
    </w:p>
    <w:p>
      <w:pPr>
        <w:spacing w:before="156" w:beforeLines="50" w:line="600" w:lineRule="exact"/>
        <w:jc w:val="center"/>
        <w:rPr>
          <w:rFonts w:ascii="方正小标宋简体" w:hAnsi="宋体" w:eastAsia="方正小标宋简体" w:cs="微软雅黑"/>
          <w:sz w:val="36"/>
          <w:szCs w:val="36"/>
        </w:rPr>
      </w:pPr>
    </w:p>
    <w:p>
      <w:pPr>
        <w:snapToGrid w:val="0"/>
        <w:spacing w:line="600" w:lineRule="exact"/>
        <w:ind w:firstLine="640" w:firstLineChars="200"/>
        <w:rPr>
          <w:rFonts w:ascii="黑体" w:hAnsi="黑体" w:eastAsia="黑体" w:cs="仿宋"/>
          <w:bCs/>
          <w:sz w:val="32"/>
          <w:szCs w:val="32"/>
        </w:rPr>
      </w:pPr>
      <w:r>
        <w:rPr>
          <w:rFonts w:hint="eastAsia" w:ascii="黑体" w:hAnsi="黑体" w:eastAsia="黑体" w:cs="仿宋"/>
          <w:bCs/>
          <w:sz w:val="32"/>
          <w:szCs w:val="32"/>
        </w:rPr>
        <w:t>一、评价机构</w:t>
      </w:r>
    </w:p>
    <w:p>
      <w:pPr>
        <w:snapToGrid w:val="0"/>
        <w:spacing w:line="60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“广东商务诚信公共服务平台”由广东省商务厅、广东省财政厅、广东省质量技术监督局主办,电商行业信用评价工作以“广东商务诚信公共服务平台”作为数据归集、共享、实施评价的载体。</w:t>
      </w:r>
      <w:bookmarkStart w:id="0" w:name="_GoBack"/>
      <w:bookmarkEnd w:id="0"/>
    </w:p>
    <w:p>
      <w:pPr>
        <w:snapToGrid w:val="0"/>
        <w:spacing w:line="600" w:lineRule="exact"/>
        <w:ind w:firstLine="640" w:firstLineChars="200"/>
        <w:rPr>
          <w:rFonts w:ascii="黑体" w:hAnsi="黑体" w:eastAsia="黑体" w:cs="仿宋"/>
          <w:bCs/>
          <w:sz w:val="32"/>
          <w:szCs w:val="32"/>
        </w:rPr>
      </w:pPr>
      <w:r>
        <w:rPr>
          <w:rFonts w:hint="eastAsia" w:ascii="黑体" w:hAnsi="黑体" w:eastAsia="黑体" w:cs="仿宋"/>
          <w:bCs/>
          <w:sz w:val="32"/>
          <w:szCs w:val="32"/>
        </w:rPr>
        <w:t>二、费用</w:t>
      </w:r>
    </w:p>
    <w:p>
      <w:pPr>
        <w:snapToGrid w:val="0"/>
        <w:spacing w:line="60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企业参与信用评价本着自愿的原则参加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企业参与信用评价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免费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snapToGrid w:val="0"/>
        <w:spacing w:line="600" w:lineRule="exact"/>
        <w:ind w:firstLine="640" w:firstLineChars="200"/>
        <w:rPr>
          <w:rFonts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bCs/>
          <w:sz w:val="32"/>
          <w:szCs w:val="32"/>
        </w:rPr>
        <w:t>三、数据安全</w:t>
      </w:r>
    </w:p>
    <w:p>
      <w:pPr>
        <w:snapToGrid w:val="0"/>
        <w:spacing w:line="60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广东省电子商务行业信用评价依托“广东商务诚信公共服务平台”开展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以现代信息技术为手段,运用大数据、云计算关联商贸流通领域信源,通过应用CA证书、WAF防火墙等数据安全技术，保障信用信息数据在传输、存储、使用等方面的安全保密性。</w:t>
      </w:r>
    </w:p>
    <w:p>
      <w:pPr>
        <w:pStyle w:val="5"/>
        <w:snapToGrid w:val="0"/>
        <w:spacing w:line="600" w:lineRule="exact"/>
        <w:ind w:firstLine="640"/>
        <w:rPr>
          <w:rFonts w:ascii="黑体" w:hAnsi="黑体" w:eastAsia="黑体" w:cs="仿宋"/>
          <w:bCs/>
          <w:sz w:val="32"/>
          <w:szCs w:val="32"/>
        </w:rPr>
      </w:pPr>
      <w:r>
        <w:rPr>
          <w:rFonts w:hint="eastAsia" w:ascii="黑体" w:hAnsi="黑体" w:eastAsia="黑体" w:cs="仿宋"/>
          <w:bCs/>
          <w:sz w:val="32"/>
          <w:szCs w:val="32"/>
          <w:lang w:eastAsia="zh-CN"/>
        </w:rPr>
        <w:t>四</w:t>
      </w:r>
      <w:r>
        <w:rPr>
          <w:rFonts w:hint="eastAsia" w:ascii="黑体" w:hAnsi="黑体" w:eastAsia="黑体" w:cs="仿宋"/>
          <w:bCs/>
          <w:sz w:val="32"/>
          <w:szCs w:val="32"/>
        </w:rPr>
        <w:t>、申请流程</w:t>
      </w:r>
    </w:p>
    <w:p>
      <w:pPr>
        <w:snapToGrid w:val="0"/>
        <w:spacing w:line="600" w:lineRule="exact"/>
        <w:ind w:firstLine="642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（一）登录与注册</w:t>
      </w:r>
    </w:p>
    <w:p>
      <w:pPr>
        <w:snapToGrid w:val="0"/>
        <w:spacing w:line="60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企业需登录广东商务诚信公共服务平台（http://www.gdintegrity.com/）并注册，见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图</w:t>
      </w:r>
      <w:r>
        <w:rPr>
          <w:rFonts w:hint="eastAsia" w:ascii="仿宋" w:hAnsi="仿宋" w:eastAsia="仿宋" w:cs="仿宋"/>
          <w:sz w:val="32"/>
          <w:szCs w:val="32"/>
        </w:rPr>
        <w:t>1。</w:t>
      </w:r>
    </w:p>
    <w:p>
      <w:pPr>
        <w:snapToGrid w:val="0"/>
        <w:spacing w:line="60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snapToGrid w:val="0"/>
        <w:spacing w:line="600" w:lineRule="exact"/>
        <w:ind w:firstLine="42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211455</wp:posOffset>
            </wp:positionV>
            <wp:extent cx="5274310" cy="2395220"/>
            <wp:effectExtent l="0" t="0" r="2540" b="5080"/>
            <wp:wrapNone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spacing w:line="60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snapToGrid w:val="0"/>
        <w:spacing w:line="60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snapToGrid w:val="0"/>
        <w:spacing w:line="60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snapToGrid w:val="0"/>
        <w:spacing w:line="60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snapToGrid w:val="0"/>
        <w:spacing w:line="600" w:lineRule="exact"/>
        <w:rPr>
          <w:rFonts w:ascii="仿宋" w:hAnsi="仿宋" w:eastAsia="仿宋" w:cs="仿宋"/>
          <w:sz w:val="32"/>
          <w:szCs w:val="32"/>
        </w:rPr>
      </w:pPr>
    </w:p>
    <w:p>
      <w:pPr>
        <w:snapToGrid w:val="0"/>
        <w:spacing w:line="600" w:lineRule="exact"/>
        <w:rPr>
          <w:rFonts w:ascii="仿宋" w:hAnsi="仿宋" w:eastAsia="仿宋" w:cs="仿宋"/>
          <w:sz w:val="32"/>
          <w:szCs w:val="32"/>
        </w:rPr>
      </w:pPr>
    </w:p>
    <w:p>
      <w:pPr>
        <w:jc w:val="center"/>
        <w:rPr>
          <w:rFonts w:ascii="仿宋" w:hAnsi="仿宋" w:eastAsia="仿宋" w:cs="仿宋"/>
          <w:b/>
          <w:szCs w:val="21"/>
        </w:rPr>
      </w:pPr>
      <w:r>
        <w:rPr>
          <w:rFonts w:hint="eastAsia" w:ascii="仿宋" w:hAnsi="仿宋" w:eastAsia="仿宋" w:cs="仿宋"/>
          <w:b/>
          <w:szCs w:val="21"/>
          <w:lang w:eastAsia="zh-CN"/>
        </w:rPr>
        <w:t>图</w:t>
      </w:r>
      <w:r>
        <w:rPr>
          <w:rFonts w:hint="eastAsia" w:ascii="仿宋" w:hAnsi="仿宋" w:eastAsia="仿宋" w:cs="仿宋"/>
          <w:b/>
          <w:szCs w:val="21"/>
        </w:rPr>
        <w:t>1</w:t>
      </w:r>
    </w:p>
    <w:p>
      <w:pPr>
        <w:snapToGrid w:val="0"/>
        <w:spacing w:line="600" w:lineRule="exact"/>
        <w:ind w:firstLine="642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（二）选择采集入口</w:t>
      </w:r>
    </w:p>
    <w:p>
      <w:pPr>
        <w:snapToGrid w:val="0"/>
        <w:spacing w:line="600" w:lineRule="exact"/>
        <w:ind w:firstLine="64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sz w:val="32"/>
          <w:szCs w:val="32"/>
        </w:rPr>
        <w:t>在“用信专区”点击 “电子商务企业信用评价”，见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图</w:t>
      </w:r>
      <w:r>
        <w:rPr>
          <w:rFonts w:hint="eastAsia" w:ascii="仿宋" w:hAnsi="仿宋" w:eastAsia="仿宋" w:cs="仿宋"/>
          <w:sz w:val="32"/>
          <w:szCs w:val="32"/>
        </w:rPr>
        <w:t>2。进入电子商务企业信用评价页面，根据自身企业性质选择对应的入口，见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图</w:t>
      </w:r>
      <w:r>
        <w:rPr>
          <w:rFonts w:hint="eastAsia" w:ascii="仿宋" w:hAnsi="仿宋" w:eastAsia="仿宋" w:cs="仿宋"/>
          <w:sz w:val="32"/>
          <w:szCs w:val="32"/>
        </w:rPr>
        <w:t>3。</w:t>
      </w:r>
      <w:r>
        <w:rPr>
          <w:rFonts w:hint="eastAsia" w:ascii="仿宋" w:hAnsi="仿宋" w:eastAsia="仿宋" w:cs="仿宋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-1270</wp:posOffset>
            </wp:positionH>
            <wp:positionV relativeFrom="page">
              <wp:posOffset>6191250</wp:posOffset>
            </wp:positionV>
            <wp:extent cx="5274310" cy="2395220"/>
            <wp:effectExtent l="0" t="0" r="2540" b="5080"/>
            <wp:wrapTopAndBottom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</w:pPr>
      <w: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1063625</wp:posOffset>
            </wp:positionV>
            <wp:extent cx="5274310" cy="2395220"/>
            <wp:effectExtent l="0" t="0" r="2540" b="5080"/>
            <wp:wrapTopAndBottom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黑体" w:hAnsi="黑体" w:eastAsia="黑体"/>
          <w:b/>
          <w:szCs w:val="21"/>
        </w:rPr>
      </w:pPr>
      <w:r>
        <w:rPr>
          <w:rFonts w:hint="eastAsia" w:ascii="黑体" w:hAnsi="黑体" w:eastAsia="黑体"/>
          <w:b/>
          <w:szCs w:val="21"/>
          <w:lang w:eastAsia="zh-CN"/>
        </w:rPr>
        <w:t>图</w:t>
      </w:r>
      <w:r>
        <w:rPr>
          <w:rFonts w:ascii="黑体" w:hAnsi="黑体" w:eastAsia="黑体"/>
          <w:b/>
          <w:szCs w:val="21"/>
        </w:rPr>
        <w:t>3</w:t>
      </w:r>
    </w:p>
    <w:p>
      <w:pPr>
        <w:snapToGrid w:val="0"/>
        <w:spacing w:line="600" w:lineRule="exact"/>
        <w:ind w:firstLine="642" w:firstLineChars="2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（三）开始数据采集和数据保存</w:t>
      </w:r>
    </w:p>
    <w:p>
      <w:pPr>
        <w:snapToGrid w:val="0"/>
        <w:spacing w:line="60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进入数据采集页面，根据页面提示信息填写和提交相关数据资料，见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图</w:t>
      </w:r>
      <w:r>
        <w:rPr>
          <w:rFonts w:hint="eastAsia" w:ascii="仿宋" w:hAnsi="仿宋" w:eastAsia="仿宋" w:cs="仿宋"/>
          <w:sz w:val="32"/>
          <w:szCs w:val="32"/>
        </w:rPr>
        <w:t>4。若数据未填写完成，可点击页面末尾的“保存”按钮对已采集数据进行储存，见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图</w:t>
      </w:r>
      <w:r>
        <w:rPr>
          <w:rFonts w:hint="eastAsia" w:ascii="仿宋" w:hAnsi="仿宋" w:eastAsia="仿宋" w:cs="仿宋"/>
          <w:sz w:val="32"/>
          <w:szCs w:val="32"/>
        </w:rPr>
        <w:t>5。</w:t>
      </w:r>
    </w:p>
    <w:p>
      <w:pPr>
        <w:snapToGrid w:val="0"/>
        <w:spacing w:line="600" w:lineRule="exact"/>
        <w:rPr>
          <w:rFonts w:ascii="仿宋" w:hAnsi="仿宋" w:eastAsia="仿宋" w:cs="仿宋"/>
          <w:sz w:val="32"/>
          <w:szCs w:val="32"/>
        </w:rPr>
      </w:pPr>
    </w:p>
    <w:p>
      <w:pPr>
        <w:snapToGrid w:val="0"/>
        <w:spacing w:line="600" w:lineRule="exact"/>
        <w:rPr>
          <w:rFonts w:ascii="仿宋" w:hAnsi="仿宋" w:eastAsia="仿宋" w:cs="仿宋"/>
          <w:sz w:val="32"/>
          <w:szCs w:val="32"/>
        </w:rPr>
      </w:pPr>
    </w:p>
    <w:p>
      <w:pPr>
        <w:snapToGrid w:val="0"/>
        <w:spacing w:line="600" w:lineRule="exact"/>
        <w:rPr>
          <w:rFonts w:ascii="仿宋" w:hAnsi="仿宋" w:eastAsia="仿宋" w:cs="仿宋"/>
          <w:sz w:val="32"/>
          <w:szCs w:val="32"/>
        </w:rPr>
      </w:pPr>
    </w:p>
    <w:p>
      <w:pPr>
        <w:snapToGrid w:val="0"/>
        <w:spacing w:line="600" w:lineRule="exact"/>
        <w:rPr>
          <w:rFonts w:ascii="仿宋" w:hAnsi="仿宋" w:eastAsia="仿宋" w:cs="仿宋"/>
          <w:sz w:val="32"/>
          <w:szCs w:val="32"/>
        </w:rPr>
      </w:pPr>
    </w:p>
    <w:p>
      <w:pPr>
        <w:snapToGrid w:val="0"/>
        <w:spacing w:line="600" w:lineRule="exact"/>
        <w:rPr>
          <w:rFonts w:ascii="仿宋" w:hAnsi="仿宋" w:eastAsia="仿宋" w:cs="仿宋"/>
          <w:sz w:val="32"/>
          <w:szCs w:val="32"/>
        </w:rPr>
      </w:pPr>
    </w:p>
    <w:p>
      <w:pPr>
        <w:snapToGrid w:val="0"/>
        <w:spacing w:line="600" w:lineRule="exact"/>
        <w:rPr>
          <w:rFonts w:ascii="仿宋" w:hAnsi="仿宋" w:eastAsia="仿宋" w:cs="仿宋"/>
          <w:sz w:val="32"/>
          <w:szCs w:val="32"/>
        </w:rPr>
      </w:pPr>
    </w:p>
    <w:p>
      <w:pPr>
        <w:snapToGrid w:val="0"/>
        <w:spacing w:line="600" w:lineRule="exac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-2098040</wp:posOffset>
            </wp:positionV>
            <wp:extent cx="5274310" cy="2395220"/>
            <wp:effectExtent l="0" t="0" r="2540" b="5080"/>
            <wp:wrapNone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仿宋" w:hAnsi="仿宋" w:eastAsia="仿宋" w:cs="仿宋"/>
          <w:b/>
          <w:szCs w:val="21"/>
        </w:rPr>
      </w:pPr>
      <w:r>
        <w:rPr>
          <w:rFonts w:hint="eastAsia" w:ascii="仿宋" w:hAnsi="仿宋" w:eastAsia="仿宋" w:cs="仿宋"/>
          <w:b/>
          <w:szCs w:val="21"/>
          <w:lang w:eastAsia="zh-CN"/>
        </w:rPr>
        <w:t>图</w:t>
      </w:r>
      <w:r>
        <w:rPr>
          <w:rFonts w:hint="eastAsia" w:ascii="仿宋" w:hAnsi="仿宋" w:eastAsia="仿宋" w:cs="仿宋"/>
          <w:b/>
          <w:szCs w:val="21"/>
        </w:rPr>
        <w:t>4</w:t>
      </w:r>
    </w:p>
    <w:p>
      <w:pPr>
        <w:jc w:val="center"/>
        <w:rPr>
          <w:rFonts w:ascii="仿宋" w:hAnsi="仿宋" w:eastAsia="仿宋" w:cs="仿宋"/>
          <w:b/>
          <w:szCs w:val="21"/>
        </w:rPr>
      </w:pPr>
    </w:p>
    <w:p>
      <w:pPr>
        <w:jc w:val="center"/>
        <w:rPr>
          <w:rFonts w:ascii="仿宋" w:hAnsi="仿宋" w:eastAsia="仿宋" w:cs="仿宋"/>
          <w:b/>
          <w:szCs w:val="21"/>
        </w:rPr>
      </w:pPr>
    </w:p>
    <w:p>
      <w:pPr>
        <w:jc w:val="center"/>
        <w:rPr>
          <w:rFonts w:ascii="仿宋" w:hAnsi="仿宋" w:eastAsia="仿宋" w:cs="仿宋"/>
          <w:b/>
          <w:szCs w:val="21"/>
        </w:rPr>
      </w:pPr>
    </w:p>
    <w:p>
      <w:pPr>
        <w:jc w:val="center"/>
        <w:rPr>
          <w:rFonts w:ascii="仿宋" w:hAnsi="仿宋" w:eastAsia="仿宋" w:cs="仿宋"/>
          <w:b/>
          <w:szCs w:val="21"/>
        </w:rPr>
      </w:pPr>
    </w:p>
    <w:p>
      <w:pPr>
        <w:jc w:val="center"/>
        <w:rPr>
          <w:rFonts w:ascii="仿宋" w:hAnsi="仿宋" w:eastAsia="仿宋" w:cs="仿宋"/>
          <w:b/>
          <w:szCs w:val="21"/>
        </w:rPr>
      </w:pPr>
    </w:p>
    <w:p>
      <w:pPr>
        <w:rPr>
          <w:rFonts w:ascii="仿宋" w:hAnsi="仿宋" w:eastAsia="仿宋" w:cs="仿宋"/>
          <w:b/>
          <w:szCs w:val="21"/>
        </w:rPr>
      </w:pPr>
    </w:p>
    <w:p>
      <w:pPr>
        <w:rPr>
          <w:rFonts w:ascii="仿宋" w:hAnsi="仿宋" w:eastAsia="仿宋" w:cs="仿宋"/>
          <w:b/>
          <w:szCs w:val="21"/>
        </w:rPr>
      </w:pPr>
      <w:r>
        <w:rPr>
          <w:rFonts w:hint="eastAsia" w:ascii="仿宋" w:hAnsi="仿宋" w:eastAsia="仿宋" w:cs="仿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-635</wp:posOffset>
            </wp:positionH>
            <wp:positionV relativeFrom="page">
              <wp:posOffset>1587500</wp:posOffset>
            </wp:positionV>
            <wp:extent cx="5274310" cy="2395220"/>
            <wp:effectExtent l="0" t="0" r="2540" b="5080"/>
            <wp:wrapTopAndBottom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" w:hAnsi="仿宋" w:eastAsia="仿宋" w:cs="仿宋"/>
          <w:b/>
          <w:szCs w:val="21"/>
        </w:rPr>
      </w:pPr>
    </w:p>
    <w:p>
      <w:pPr>
        <w:rPr>
          <w:rFonts w:ascii="仿宋" w:hAnsi="仿宋" w:eastAsia="仿宋" w:cs="仿宋"/>
          <w:b/>
          <w:szCs w:val="21"/>
        </w:rPr>
      </w:pPr>
    </w:p>
    <w:p>
      <w:pPr>
        <w:rPr>
          <w:rFonts w:ascii="仿宋" w:hAnsi="仿宋" w:eastAsia="仿宋" w:cs="仿宋"/>
          <w:b/>
          <w:szCs w:val="21"/>
        </w:rPr>
      </w:pPr>
    </w:p>
    <w:p>
      <w:pPr>
        <w:jc w:val="center"/>
        <w:rPr>
          <w:rFonts w:ascii="仿宋" w:hAnsi="仿宋" w:eastAsia="仿宋" w:cs="仿宋"/>
          <w:b/>
          <w:szCs w:val="21"/>
        </w:rPr>
      </w:pPr>
      <w:r>
        <w:rPr>
          <w:rFonts w:hint="eastAsia" w:ascii="仿宋" w:hAnsi="仿宋" w:eastAsia="仿宋" w:cs="仿宋"/>
          <w:b/>
          <w:szCs w:val="21"/>
          <w:lang w:eastAsia="zh-CN"/>
        </w:rPr>
        <w:t>图</w:t>
      </w:r>
      <w:r>
        <w:rPr>
          <w:rFonts w:hint="eastAsia" w:ascii="仿宋" w:hAnsi="仿宋" w:eastAsia="仿宋" w:cs="仿宋"/>
          <w:b/>
          <w:szCs w:val="21"/>
        </w:rPr>
        <w:t>5</w:t>
      </w:r>
    </w:p>
    <w:p>
      <w:pPr>
        <w:jc w:val="center"/>
        <w:rPr>
          <w:rFonts w:ascii="仿宋" w:hAnsi="仿宋" w:eastAsia="仿宋" w:cs="仿宋"/>
          <w:b/>
          <w:szCs w:val="21"/>
        </w:rPr>
      </w:pPr>
    </w:p>
    <w:p>
      <w:pPr>
        <w:snapToGrid w:val="0"/>
        <w:spacing w:line="600" w:lineRule="exact"/>
        <w:ind w:firstLine="642" w:firstLineChars="200"/>
        <w:rPr>
          <w:rFonts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</w:rPr>
        <w:t>（四）数据上报</w:t>
      </w:r>
    </w:p>
    <w:p>
      <w:pPr>
        <w:snapToGrid w:val="0"/>
        <w:spacing w:line="60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数据填写完成，可点击页面末尾的“提交”按钮对已填写数据进行上报，见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图</w:t>
      </w:r>
      <w:r>
        <w:rPr>
          <w:rFonts w:hint="eastAsia" w:ascii="仿宋" w:hAnsi="仿宋" w:eastAsia="仿宋" w:cs="仿宋"/>
          <w:sz w:val="32"/>
          <w:szCs w:val="32"/>
        </w:rPr>
        <w:t>6。</w:t>
      </w:r>
    </w:p>
    <w:p>
      <w:pPr>
        <w:snapToGrid w:val="0"/>
        <w:spacing w:line="600" w:lineRule="exact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8255</wp:posOffset>
            </wp:positionV>
            <wp:extent cx="5274310" cy="2395220"/>
            <wp:effectExtent l="0" t="0" r="2540" b="5080"/>
            <wp:wrapNone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spacing w:line="600" w:lineRule="exact"/>
        <w:rPr>
          <w:rFonts w:ascii="仿宋" w:hAnsi="仿宋" w:eastAsia="仿宋" w:cs="仿宋"/>
          <w:sz w:val="32"/>
          <w:szCs w:val="32"/>
        </w:rPr>
      </w:pPr>
    </w:p>
    <w:p>
      <w:pPr>
        <w:tabs>
          <w:tab w:val="left" w:pos="680"/>
        </w:tabs>
        <w:rPr>
          <w:rFonts w:ascii="仿宋" w:hAnsi="仿宋" w:eastAsia="仿宋" w:cs="仿宋"/>
        </w:rPr>
      </w:pPr>
    </w:p>
    <w:p>
      <w:pPr>
        <w:tabs>
          <w:tab w:val="left" w:pos="680"/>
        </w:tabs>
        <w:rPr>
          <w:rFonts w:ascii="仿宋" w:hAnsi="仿宋" w:eastAsia="仿宋" w:cs="仿宋"/>
        </w:rPr>
      </w:pPr>
    </w:p>
    <w:p>
      <w:pPr>
        <w:tabs>
          <w:tab w:val="left" w:pos="680"/>
        </w:tabs>
        <w:rPr>
          <w:rFonts w:ascii="仿宋" w:hAnsi="仿宋" w:eastAsia="仿宋" w:cs="仿宋"/>
        </w:rPr>
      </w:pPr>
    </w:p>
    <w:p>
      <w:pPr>
        <w:tabs>
          <w:tab w:val="left" w:pos="680"/>
        </w:tabs>
        <w:rPr>
          <w:rFonts w:ascii="仿宋" w:hAnsi="仿宋" w:eastAsia="仿宋" w:cs="仿宋"/>
        </w:rPr>
      </w:pPr>
    </w:p>
    <w:p>
      <w:pPr>
        <w:tabs>
          <w:tab w:val="left" w:pos="680"/>
        </w:tabs>
        <w:rPr>
          <w:rFonts w:ascii="仿宋" w:hAnsi="仿宋" w:eastAsia="仿宋" w:cs="仿宋"/>
        </w:rPr>
      </w:pPr>
    </w:p>
    <w:p>
      <w:pPr>
        <w:tabs>
          <w:tab w:val="left" w:pos="680"/>
        </w:tabs>
        <w:rPr>
          <w:rFonts w:ascii="仿宋" w:hAnsi="仿宋" w:eastAsia="仿宋" w:cs="仿宋"/>
        </w:rPr>
      </w:pPr>
    </w:p>
    <w:p>
      <w:pPr>
        <w:tabs>
          <w:tab w:val="left" w:pos="680"/>
        </w:tabs>
        <w:rPr>
          <w:rFonts w:ascii="仿宋" w:hAnsi="仿宋" w:eastAsia="仿宋" w:cs="仿宋"/>
        </w:rPr>
      </w:pPr>
    </w:p>
    <w:p>
      <w:pPr>
        <w:tabs>
          <w:tab w:val="left" w:pos="680"/>
        </w:tabs>
        <w:rPr>
          <w:rFonts w:ascii="仿宋" w:hAnsi="仿宋" w:eastAsia="仿宋" w:cs="仿宋"/>
        </w:rPr>
      </w:pPr>
    </w:p>
    <w:p>
      <w:pPr>
        <w:tabs>
          <w:tab w:val="left" w:pos="680"/>
        </w:tabs>
        <w:rPr>
          <w:rFonts w:ascii="仿宋" w:hAnsi="仿宋" w:eastAsia="仿宋" w:cs="仿宋"/>
        </w:rPr>
      </w:pPr>
    </w:p>
    <w:p>
      <w:pPr>
        <w:jc w:val="center"/>
        <w:rPr>
          <w:rFonts w:ascii="仿宋" w:hAnsi="仿宋" w:eastAsia="仿宋" w:cs="仿宋"/>
          <w:b/>
          <w:szCs w:val="21"/>
        </w:rPr>
      </w:pPr>
      <w:r>
        <w:rPr>
          <w:rFonts w:hint="eastAsia" w:ascii="仿宋" w:hAnsi="仿宋" w:eastAsia="仿宋" w:cs="仿宋"/>
        </w:rPr>
        <w:tab/>
      </w:r>
      <w:r>
        <w:rPr>
          <w:rFonts w:hint="eastAsia" w:ascii="仿宋" w:hAnsi="仿宋" w:eastAsia="仿宋" w:cs="仿宋"/>
          <w:b/>
          <w:szCs w:val="21"/>
          <w:lang w:eastAsia="zh-CN"/>
        </w:rPr>
        <w:t>图</w:t>
      </w:r>
      <w:r>
        <w:rPr>
          <w:rFonts w:hint="eastAsia" w:ascii="仿宋" w:hAnsi="仿宋" w:eastAsia="仿宋" w:cs="仿宋"/>
          <w:b/>
          <w:szCs w:val="21"/>
        </w:rPr>
        <w:t>6</w:t>
      </w:r>
    </w:p>
    <w:p>
      <w:pPr>
        <w:tabs>
          <w:tab w:val="left" w:pos="2107"/>
        </w:tabs>
        <w:rPr>
          <w:rFonts w:ascii="仿宋" w:hAnsi="仿宋" w:eastAsia="仿宋" w:cs="仿宋"/>
          <w:b/>
          <w:bCs/>
        </w:rPr>
      </w:pPr>
    </w:p>
    <w:p>
      <w:pPr>
        <w:snapToGrid w:val="0"/>
        <w:spacing w:line="600" w:lineRule="exact"/>
        <w:ind w:firstLine="629" w:firstLineChars="196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（五）评价结果查看</w:t>
      </w:r>
    </w:p>
    <w:p>
      <w:pPr>
        <w:snapToGrid w:val="0"/>
        <w:spacing w:line="600" w:lineRule="exact"/>
        <w:ind w:firstLine="640" w:firstLineChars="20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sz w:val="32"/>
          <w:szCs w:val="32"/>
        </w:rPr>
        <w:t>数据上报后，可在个人中心——电商信用评价栏目——我的申请查看上报数据及评审状态，见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图</w:t>
      </w:r>
      <w:r>
        <w:rPr>
          <w:rFonts w:hint="eastAsia" w:ascii="仿宋" w:hAnsi="仿宋" w:eastAsia="仿宋" w:cs="仿宋"/>
          <w:sz w:val="32"/>
          <w:szCs w:val="32"/>
        </w:rPr>
        <w:t>7。</w:t>
      </w:r>
    </w:p>
    <w:p>
      <w:pPr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508635</wp:posOffset>
            </wp:positionH>
            <wp:positionV relativeFrom="page">
              <wp:posOffset>1428115</wp:posOffset>
            </wp:positionV>
            <wp:extent cx="4468495" cy="2029460"/>
            <wp:effectExtent l="0" t="0" r="8255" b="8890"/>
            <wp:wrapTopAndBottom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仿宋" w:hAnsi="仿宋" w:eastAsia="仿宋" w:cs="仿宋"/>
          <w:b/>
          <w:szCs w:val="21"/>
        </w:rPr>
      </w:pPr>
      <w:r>
        <w:rPr>
          <w:rFonts w:hint="eastAsia" w:ascii="仿宋" w:hAnsi="仿宋" w:eastAsia="仿宋" w:cs="仿宋"/>
        </w:rPr>
        <w:tab/>
      </w:r>
      <w:r>
        <w:rPr>
          <w:rFonts w:hint="eastAsia" w:ascii="仿宋" w:hAnsi="仿宋" w:eastAsia="仿宋" w:cs="仿宋"/>
          <w:b/>
          <w:szCs w:val="21"/>
          <w:lang w:eastAsia="zh-CN"/>
        </w:rPr>
        <w:t>图</w:t>
      </w:r>
      <w:r>
        <w:rPr>
          <w:rFonts w:hint="eastAsia" w:ascii="仿宋" w:hAnsi="仿宋" w:eastAsia="仿宋" w:cs="仿宋"/>
          <w:b/>
          <w:szCs w:val="21"/>
        </w:rPr>
        <w:t>7</w:t>
      </w:r>
    </w:p>
    <w:p>
      <w:pPr>
        <w:jc w:val="left"/>
        <w:rPr>
          <w:rFonts w:ascii="仿宋" w:hAnsi="仿宋" w:eastAsia="仿宋" w:cs="仿宋"/>
          <w:sz w:val="32"/>
          <w:szCs w:val="32"/>
        </w:rPr>
      </w:pPr>
    </w:p>
    <w:p>
      <w:pPr>
        <w:snapToGrid w:val="0"/>
        <w:spacing w:line="60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参评企业完成提交资料15个工作日内，“诚信粤商”平台系统完成企业信用评价报告的制作和上传</w:t>
      </w:r>
      <w:r>
        <w:rPr>
          <w:rFonts w:hint="eastAsia" w:ascii="仿宋" w:hAnsi="仿宋" w:eastAsia="仿宋" w:cs="仿宋"/>
          <w:color w:val="0000FF"/>
          <w:sz w:val="32"/>
          <w:szCs w:val="32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参评企业的信用评价结果在广东商务诚信公共服务平台（http://www.gdintegrity.com/）、广东省电子商务协会官网（http://www.gd-eca.org.cn）及官微等多渠道公示。</w:t>
      </w:r>
    </w:p>
    <w:p>
      <w:pPr>
        <w:snapToGrid w:val="0"/>
        <w:spacing w:line="600" w:lineRule="exact"/>
        <w:ind w:firstLine="640" w:firstLineChars="200"/>
        <w:rPr>
          <w:rFonts w:ascii="黑体" w:hAnsi="黑体" w:eastAsia="黑体" w:cs="仿宋"/>
          <w:bCs/>
          <w:sz w:val="32"/>
          <w:szCs w:val="32"/>
        </w:rPr>
      </w:pPr>
      <w:r>
        <w:rPr>
          <w:rFonts w:hint="eastAsia" w:ascii="黑体" w:hAnsi="黑体" w:eastAsia="黑体" w:cs="仿宋"/>
          <w:bCs/>
          <w:sz w:val="32"/>
          <w:szCs w:val="32"/>
          <w:lang w:eastAsia="zh-CN"/>
        </w:rPr>
        <w:t>五</w:t>
      </w:r>
      <w:r>
        <w:rPr>
          <w:rFonts w:hint="eastAsia" w:ascii="黑体" w:hAnsi="黑体" w:eastAsia="黑体" w:cs="仿宋"/>
          <w:bCs/>
          <w:sz w:val="32"/>
          <w:szCs w:val="32"/>
        </w:rPr>
        <w:t>、异议处理</w:t>
      </w:r>
    </w:p>
    <w:p>
      <w:pPr>
        <w:snapToGrid w:val="0"/>
        <w:spacing w:line="600" w:lineRule="exact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参加信用评价的企业，如对信用评价结果有异议，将由广东省电子商务协会联合“诚信粤商”平台技术团队进行处理，并在15个工作日对有异议的企业给予回复。</w:t>
      </w:r>
    </w:p>
    <w:p>
      <w:pPr>
        <w:snapToGrid w:val="0"/>
        <w:spacing w:line="600" w:lineRule="exact"/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</w:p>
    <w:p>
      <w:pPr>
        <w:jc w:val="left"/>
        <w:rPr>
          <w:rFonts w:ascii="仿宋" w:hAnsi="仿宋" w:eastAsia="仿宋" w:cs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125738"/>
    <w:rsid w:val="002D7C74"/>
    <w:rsid w:val="005B6B26"/>
    <w:rsid w:val="00854C69"/>
    <w:rsid w:val="009A6872"/>
    <w:rsid w:val="00CF24AE"/>
    <w:rsid w:val="010F229E"/>
    <w:rsid w:val="03671765"/>
    <w:rsid w:val="08125738"/>
    <w:rsid w:val="228517DD"/>
    <w:rsid w:val="346ED0C6"/>
    <w:rsid w:val="5E312FE3"/>
    <w:rsid w:val="60BF569D"/>
    <w:rsid w:val="65FD3C6A"/>
    <w:rsid w:val="77DDDF60"/>
    <w:rsid w:val="789BCE0E"/>
    <w:rsid w:val="7F4929D9"/>
    <w:rsid w:val="97FD734B"/>
    <w:rsid w:val="D93FBD8E"/>
    <w:rsid w:val="E6FAD66A"/>
    <w:rsid w:val="FEF684DE"/>
    <w:rsid w:val="FF7BC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qFormat/>
    <w:uiPriority w:val="0"/>
    <w:rPr>
      <w:sz w:val="18"/>
      <w:szCs w:val="18"/>
    </w:rPr>
  </w:style>
  <w:style w:type="paragraph" w:customStyle="1" w:styleId="5">
    <w:name w:val="列出段落1"/>
    <w:basedOn w:val="1"/>
    <w:qFormat/>
    <w:uiPriority w:val="34"/>
    <w:pPr>
      <w:ind w:firstLine="420" w:firstLineChars="200"/>
    </w:pPr>
  </w:style>
  <w:style w:type="character" w:customStyle="1" w:styleId="6">
    <w:name w:val="批注框文本 Char"/>
    <w:basedOn w:val="4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6</Pages>
  <Words>205</Words>
  <Characters>1172</Characters>
  <Lines>9</Lines>
  <Paragraphs>2</Paragraphs>
  <TotalTime>3</TotalTime>
  <ScaleCrop>false</ScaleCrop>
  <LinksUpToDate>false</LinksUpToDate>
  <CharactersWithSpaces>1375</CharactersWithSpaces>
  <Application>WPS Office_11.8.2.9980_F1E327BC-269C-435d-A152-05C5408002CA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2022-05-31T07:53:00Z</dcterms:created>
  <dc:creator>gdds</dc:creator>
  <cp:lastModifiedBy>swj</cp:lastModifiedBy>
  <cp:lastPrinted>2022-06-27T09:33:53Z</cp:lastPrinted>
  <dcterms:modified xsi:type="dcterms:W3CDTF">2022-06-27T09:36:25Z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2052-11.8.2.9980</vt:lpwstr>
  </property>
</Properties>
</file>