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养老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机构参加电子消费券核销的服务项目信息备案表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适用于养老机构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1F2329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仿宋_GB2312" w:hAnsi="仿宋_GB2312" w:eastAsia="仿宋_GB2312" w:cs="仿宋_GB2312"/>
          <w:color w:val="1F2329"/>
          <w:kern w:val="2"/>
          <w:sz w:val="28"/>
          <w:szCs w:val="28"/>
          <w:lang w:val="en-US" w:eastAsia="zh-CN" w:bidi="ar-SA"/>
        </w:rPr>
        <w:t>填报机构（公章）：                                              填报日期：</w:t>
      </w:r>
    </w:p>
    <w:tbl>
      <w:tblPr>
        <w:tblStyle w:val="3"/>
        <w:tblW w:w="14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189"/>
        <w:gridCol w:w="7636"/>
        <w:gridCol w:w="2341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 w:bidi="ar"/>
              </w:rPr>
              <w:t>服务内容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 w:bidi="ar"/>
              </w:rPr>
              <w:t>收费标准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 w:bidi="ar"/>
              </w:rPr>
              <w:t>费用说明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长期服务</w:t>
            </w: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据实描述，包括不限于床位类型、床位费、膳食费、押金、护理费、会员费(如有)等内容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根据实际填写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短期服务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(喘息服务)</w:t>
            </w: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据实描述，包括不限于床位类型、床位费用、护理费、膳食费等内容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最低——最高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(元/天)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失能等级评估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8"/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（集中/上门）</w:t>
            </w: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8"/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(次/天)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8"/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........</w:t>
            </w: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8"/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还有其他</w:t>
            </w:r>
            <w:bookmarkStart w:id="0" w:name="_GoBack"/>
            <w:bookmarkEnd w:id="0"/>
            <w:r>
              <w:rPr>
                <w:rStyle w:val="8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服务请按实际填写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Style w:val="8"/>
          <w:lang w:val="en-US" w:eastAsia="zh-CN" w:bidi="ar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注：此表中填报服务收费标准结合申请机构目前实施的收费价格填报，发现临时涨价行为，立即取消申请资格。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k3NTY5YTljODQzYzI4YmQ4NzVjNTg2M2NiZTYifQ=="/>
  </w:docVars>
  <w:rsids>
    <w:rsidRoot w:val="78B8795E"/>
    <w:rsid w:val="06BC6527"/>
    <w:rsid w:val="2D2D61E3"/>
    <w:rsid w:val="55334BFD"/>
    <w:rsid w:val="78B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5">
    <w:name w:val="font01"/>
    <w:basedOn w:val="4"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6">
    <w:name w:val="font71"/>
    <w:basedOn w:val="4"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7">
    <w:name w:val="font41"/>
    <w:basedOn w:val="4"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6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2026-01-20T05:40:00Z</dcterms:created>
  <dc:creator>中山市养老指导项目</dc:creator>
  <cp:lastModifiedBy>中山市养老指导项目</cp:lastModifiedBy>
  <dcterms:modified xsi:type="dcterms:W3CDTF">2026-01-20T06:52:32Z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AB2DAD077B204327879FA8037BAA812F_11</vt:lpwstr>
  </property>
  <property fmtid="{D5CDD505-2E9C-101B-9397-08002B2CF9AE}" pid="4" name="KSOTemplateDocerSaveRecord">
    <vt:lpwstr>eyJoZGlkIjoiMTZhN2Q4Nzg4OTg3NjFkMmM2MjRkOWRjNWZiNjhlNTUiLCJ1c2VySWQiOiIzODUyMzEzOTQifQ==</vt:lpwstr>
  </property>
</Properties>
</file>