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1A56">
      <w:pPr>
        <w:spacing w:line="500" w:lineRule="exact"/>
        <w:rPr>
          <w:rFonts w:hint="default" w:cs="黑体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9FDE0A">
      <w:pPr>
        <w:pStyle w:val="6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中山市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石岐街道综合养老服务中心及服务站</w:t>
      </w:r>
    </w:p>
    <w:p w14:paraId="7D240888">
      <w:pPr>
        <w:pStyle w:val="6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养老服务项目评审表</w:t>
      </w:r>
      <w:bookmarkStart w:id="0" w:name="_GoBack"/>
      <w:bookmarkEnd w:id="0"/>
    </w:p>
    <w:p w14:paraId="26AE6873">
      <w:pPr>
        <w:pStyle w:val="6"/>
        <w:widowControl/>
        <w:shd w:val="clear" w:color="auto" w:fill="FFFFFF"/>
        <w:spacing w:beforeAutospacing="0" w:afterAutospacing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运营方：</w:t>
      </w:r>
    </w:p>
    <w:tbl>
      <w:tblPr>
        <w:tblStyle w:val="7"/>
        <w:tblpPr w:leftFromText="180" w:rightFromText="180" w:vertAnchor="text" w:horzAnchor="page" w:tblpX="1127" w:tblpY="564"/>
        <w:tblOverlap w:val="never"/>
        <w:tblW w:w="1477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36"/>
        <w:gridCol w:w="709"/>
        <w:gridCol w:w="11361"/>
        <w:gridCol w:w="837"/>
      </w:tblGrid>
      <w:tr w14:paraId="5775D6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732" w:type="dxa"/>
            <w:shd w:val="clear" w:color="auto" w:fill="D9D9D9"/>
            <w:noWrap w:val="0"/>
            <w:vAlign w:val="center"/>
          </w:tcPr>
          <w:p w14:paraId="46F22AE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36" w:type="dxa"/>
            <w:shd w:val="clear" w:color="auto" w:fill="D9D9D9"/>
            <w:noWrap w:val="0"/>
            <w:vAlign w:val="center"/>
          </w:tcPr>
          <w:p w14:paraId="207F7B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评审项目</w:t>
            </w:r>
          </w:p>
        </w:tc>
        <w:tc>
          <w:tcPr>
            <w:tcW w:w="709" w:type="dxa"/>
            <w:shd w:val="clear" w:color="auto" w:fill="D9D9D9"/>
            <w:noWrap w:val="0"/>
            <w:vAlign w:val="center"/>
          </w:tcPr>
          <w:p w14:paraId="36467D3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分配分数</w:t>
            </w:r>
          </w:p>
        </w:tc>
        <w:tc>
          <w:tcPr>
            <w:tcW w:w="11361" w:type="dxa"/>
            <w:shd w:val="clear" w:color="auto" w:fill="D9D9D9"/>
            <w:noWrap w:val="0"/>
            <w:vAlign w:val="center"/>
          </w:tcPr>
          <w:p w14:paraId="331648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评议内容</w:t>
            </w:r>
          </w:p>
        </w:tc>
        <w:tc>
          <w:tcPr>
            <w:tcW w:w="837" w:type="dxa"/>
            <w:shd w:val="clear" w:color="auto" w:fill="D9D9D9"/>
            <w:noWrap w:val="0"/>
            <w:vAlign w:val="center"/>
          </w:tcPr>
          <w:p w14:paraId="1D973D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4FD732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2" w:type="dxa"/>
            <w:noWrap w:val="0"/>
            <w:vAlign w:val="center"/>
          </w:tcPr>
          <w:p w14:paraId="400453E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6" w:type="dxa"/>
            <w:noWrap w:val="0"/>
            <w:vAlign w:val="center"/>
          </w:tcPr>
          <w:p w14:paraId="09B0C192">
            <w:pPr>
              <w:pStyle w:val="5"/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服务方案完整性及专业性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及真实性</w:t>
            </w:r>
          </w:p>
        </w:tc>
        <w:tc>
          <w:tcPr>
            <w:tcW w:w="709" w:type="dxa"/>
            <w:noWrap w:val="0"/>
            <w:vAlign w:val="center"/>
          </w:tcPr>
          <w:p w14:paraId="31E6ED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361" w:type="dxa"/>
            <w:noWrap w:val="0"/>
            <w:vAlign w:val="center"/>
          </w:tcPr>
          <w:p w14:paraId="03B10D5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shd w:val="clear"/>
                <w:lang w:eastAsia="zh-CN"/>
              </w:rPr>
              <w:t>运营方</w:t>
            </w:r>
            <w:r>
              <w:rPr>
                <w:b/>
                <w:bCs/>
                <w:highlight w:val="none"/>
                <w:shd w:val="clear"/>
              </w:rPr>
              <w:t>组织实施方案中从工作措施、工作方法、工作手段、工作流程、保障方案进行评审：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highlight w:val="none"/>
                <w:shd w:val="clear"/>
                <w:lang w:eastAsia="zh-CN"/>
              </w:rPr>
              <w:t>优：</w:t>
            </w:r>
            <w:r>
              <w:rPr>
                <w:highlight w:val="none"/>
                <w:shd w:val="clear"/>
              </w:rPr>
              <w:t>组织实施方案详细具体，服务措施可行、先进，项目保障方案完善，</w:t>
            </w:r>
            <w:r>
              <w:rPr>
                <w:rFonts w:hint="eastAsia"/>
                <w:highlight w:val="none"/>
                <w:shd w:val="clear"/>
                <w:lang w:eastAsia="zh-CN"/>
              </w:rPr>
              <w:t>包含详细的公益服务项目和普惠收费项目清单，投入与产出分析，成本收益测算等内容，可充分体现出项目的可持续发展性，</w:t>
            </w:r>
            <w:r>
              <w:rPr>
                <w:highlight w:val="none"/>
                <w:shd w:val="clear"/>
              </w:rPr>
              <w:t>得</w:t>
            </w:r>
            <w:r>
              <w:rPr>
                <w:rFonts w:hint="default" w:ascii="Times New Roman" w:hAnsi="Times New Roman" w:cs="Times New Roman"/>
                <w:highlight w:val="none"/>
                <w:shd w:val="clear"/>
                <w:lang w:val="en-US" w:eastAsia="zh-CN"/>
              </w:rPr>
              <w:t>25</w:t>
            </w:r>
            <w:r>
              <w:rPr>
                <w:highlight w:val="none"/>
                <w:shd w:val="clear"/>
              </w:rPr>
              <w:t>分；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                                                                                     </w:t>
            </w:r>
            <w:r>
              <w:rPr>
                <w:rFonts w:hint="eastAsia"/>
                <w:highlight w:val="none"/>
                <w:shd w:val="clear"/>
                <w:lang w:eastAsia="zh-CN"/>
              </w:rPr>
              <w:t>良：</w:t>
            </w:r>
            <w:r>
              <w:rPr>
                <w:highlight w:val="none"/>
                <w:shd w:val="clear"/>
              </w:rPr>
              <w:t>组织实施方案完整，服务措施可行，项目保障方案基本完善，</w:t>
            </w:r>
            <w:r>
              <w:rPr>
                <w:rFonts w:hint="eastAsia"/>
                <w:highlight w:val="none"/>
                <w:shd w:val="clear"/>
                <w:lang w:eastAsia="zh-CN"/>
              </w:rPr>
              <w:t>包含公益服务项目和普惠收费项目清单，投入与产出分析，成本收益测算，可体现出项目的可持续发展性，</w:t>
            </w:r>
            <w:r>
              <w:rPr>
                <w:rFonts w:hint="default" w:ascii="Times New Roman" w:hAnsi="Times New Roman" w:cs="Times New Roman"/>
                <w:highlight w:val="none"/>
                <w:shd w:val="clear"/>
              </w:rPr>
              <w:t>得</w:t>
            </w:r>
            <w:r>
              <w:rPr>
                <w:rFonts w:hint="default" w:ascii="Times New Roman" w:hAnsi="Times New Roman" w:cs="Times New Roman"/>
                <w:highlight w:val="none"/>
                <w:shd w:val="clear"/>
                <w:lang w:val="en-US" w:eastAsia="zh-CN"/>
              </w:rPr>
              <w:t>20</w:t>
            </w:r>
            <w:r>
              <w:rPr>
                <w:highlight w:val="none"/>
                <w:shd w:val="clear"/>
              </w:rPr>
              <w:t>分；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                                                     中</w:t>
            </w:r>
            <w:r>
              <w:rPr>
                <w:rFonts w:hint="eastAsia"/>
                <w:highlight w:val="none"/>
                <w:shd w:val="clear"/>
                <w:lang w:eastAsia="zh-CN"/>
              </w:rPr>
              <w:t>：</w:t>
            </w:r>
            <w:r>
              <w:rPr>
                <w:highlight w:val="none"/>
                <w:shd w:val="clear"/>
              </w:rPr>
              <w:t>组织实施方案基本完整，服务措施一般可行，项目保障方案一般完善，</w:t>
            </w:r>
            <w:r>
              <w:rPr>
                <w:rFonts w:hint="eastAsia"/>
                <w:highlight w:val="none"/>
                <w:shd w:val="clear"/>
                <w:lang w:eastAsia="zh-CN"/>
              </w:rPr>
              <w:t>包含公益服务项目和普惠收费项目清单，投入与产出分析，成本收益测算等内容，</w:t>
            </w:r>
            <w:r>
              <w:rPr>
                <w:highlight w:val="none"/>
                <w:shd w:val="clear"/>
              </w:rPr>
              <w:t>得</w:t>
            </w:r>
            <w:r>
              <w:rPr>
                <w:rFonts w:hint="default" w:ascii="Times New Roman" w:hAnsi="Times New Roman" w:cs="Times New Roman"/>
                <w:highlight w:val="none"/>
                <w:shd w:val="clear"/>
                <w:lang w:val="en-US" w:eastAsia="zh-CN"/>
              </w:rPr>
              <w:t>15</w:t>
            </w:r>
            <w:r>
              <w:rPr>
                <w:highlight w:val="none"/>
                <w:shd w:val="clear"/>
              </w:rPr>
              <w:t>分；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                                 </w:t>
            </w:r>
            <w:r>
              <w:rPr>
                <w:highlight w:val="none"/>
                <w:shd w:val="clear"/>
              </w:rPr>
              <w:t xml:space="preserve"> 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                                  差：</w:t>
            </w:r>
            <w:r>
              <w:rPr>
                <w:highlight w:val="none"/>
                <w:shd w:val="clear"/>
              </w:rPr>
              <w:t>无提供不得分。</w:t>
            </w:r>
          </w:p>
        </w:tc>
        <w:tc>
          <w:tcPr>
            <w:tcW w:w="837" w:type="dxa"/>
            <w:noWrap w:val="0"/>
            <w:vAlign w:val="top"/>
          </w:tcPr>
          <w:p w14:paraId="164029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6EF29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732" w:type="dxa"/>
            <w:noWrap w:val="0"/>
            <w:vAlign w:val="center"/>
          </w:tcPr>
          <w:p w14:paraId="7BB1E1F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6" w:type="dxa"/>
            <w:noWrap w:val="0"/>
            <w:vAlign w:val="center"/>
          </w:tcPr>
          <w:p w14:paraId="155350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人力资源保障措施</w:t>
            </w:r>
          </w:p>
        </w:tc>
        <w:tc>
          <w:tcPr>
            <w:tcW w:w="709" w:type="dxa"/>
            <w:noWrap w:val="0"/>
            <w:vAlign w:val="center"/>
          </w:tcPr>
          <w:p w14:paraId="1A4EEF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61" w:type="dxa"/>
            <w:noWrap w:val="0"/>
            <w:vAlign w:val="center"/>
          </w:tcPr>
          <w:p w14:paraId="670512B4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lang w:eastAsia="zh-CN"/>
              </w:rPr>
              <w:t>运营方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需要提供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人员储备计划、人员稳定保障措施、培养培训制度等</w:t>
            </w:r>
          </w:p>
          <w:p w14:paraId="42ADF6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优：人员储备计划充足、人员较稳定、保障措施可行、培养培训制度完善，得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</w:t>
            </w:r>
          </w:p>
          <w:p w14:paraId="3AC832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良：人员储备计划基本充足、人员比较稳定、保障措施基本可行、培养培训制度基本完善，得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</w:t>
            </w:r>
          </w:p>
          <w:p w14:paraId="274CF80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：人员储备计划不充足、人员不稳定、无保障措施、培养培训制度不完善，得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</w:t>
            </w:r>
          </w:p>
          <w:p w14:paraId="090AD8B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差：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相关人力资源保障措施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不得分。</w:t>
            </w:r>
          </w:p>
        </w:tc>
        <w:tc>
          <w:tcPr>
            <w:tcW w:w="837" w:type="dxa"/>
            <w:noWrap w:val="0"/>
            <w:vAlign w:val="top"/>
          </w:tcPr>
          <w:p w14:paraId="5F6CB5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C977A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732" w:type="dxa"/>
            <w:noWrap w:val="0"/>
            <w:vAlign w:val="center"/>
          </w:tcPr>
          <w:p w14:paraId="153E34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53A33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管理制度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9A25A0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361" w:type="dxa"/>
            <w:shd w:val="clear" w:color="auto" w:fill="auto"/>
            <w:noWrap w:val="0"/>
            <w:vAlign w:val="center"/>
          </w:tcPr>
          <w:p w14:paraId="669BE395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运营方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需要提供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完善的内部管理制度，如财务管理制度、人员管理制度、薪酬制度等</w:t>
            </w:r>
          </w:p>
          <w:p w14:paraId="67D680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优：具有完善的内部管理制度，如财务管理制度、人员管理制度、薪酬制度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、响应制度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等，得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3B5B508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良：具有较完善的内部管理制度，如财务管理制度、人员管理制度、薪酬制度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、响应制度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等，得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4AB31E8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：具有基本完善的内部管理制度，财务管理制度、人员管理制度、薪酬制度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、响应制度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等，得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</w:p>
          <w:p w14:paraId="482E6B7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差：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相关管理制度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不得分。</w:t>
            </w:r>
          </w:p>
        </w:tc>
        <w:tc>
          <w:tcPr>
            <w:tcW w:w="837" w:type="dxa"/>
            <w:noWrap w:val="0"/>
            <w:vAlign w:val="top"/>
          </w:tcPr>
          <w:p w14:paraId="2F0F65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1B588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732" w:type="dxa"/>
            <w:noWrap w:val="0"/>
            <w:vAlign w:val="center"/>
          </w:tcPr>
          <w:p w14:paraId="5B6023C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3689D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highlight w:val="none"/>
              </w:rPr>
              <w:t xml:space="preserve">人员保障 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F767A8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61" w:type="dxa"/>
            <w:shd w:val="clear" w:color="auto" w:fill="auto"/>
            <w:noWrap w:val="0"/>
            <w:vAlign w:val="center"/>
          </w:tcPr>
          <w:p w14:paraId="6F726462">
            <w:pPr>
              <w:ind w:left="210" w:hanging="211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运营方</w:t>
            </w:r>
            <w:r>
              <w:rPr>
                <w:b/>
                <w:bCs/>
                <w:highlight w:val="none"/>
              </w:rPr>
              <w:t>对服务人员的后勤保障措施、薪酬待遇进行评审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    </w:t>
            </w:r>
          </w:p>
          <w:p w14:paraId="3237E620">
            <w:p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优：</w:t>
            </w:r>
            <w:r>
              <w:rPr>
                <w:highlight w:val="none"/>
              </w:rPr>
              <w:t>人员后勤保障措施完善、薪酬待遇</w:t>
            </w:r>
            <w:r>
              <w:rPr>
                <w:rFonts w:hint="eastAsia"/>
                <w:highlight w:val="none"/>
                <w:lang w:eastAsia="zh-CN"/>
              </w:rPr>
              <w:t>在参加投标的运营方中最优</w:t>
            </w:r>
            <w:r>
              <w:rPr>
                <w:highlight w:val="none"/>
              </w:rPr>
              <w:t>，得</w:t>
            </w:r>
            <w:r>
              <w:rPr>
                <w:rFonts w:hint="default" w:ascii="Times New Roman" w:hAnsi="Times New Roman" w:cs="Times New Roman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0</w:t>
            </w:r>
            <w:r>
              <w:rPr>
                <w:highlight w:val="none"/>
              </w:rPr>
              <w:t xml:space="preserve">分。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</w:t>
            </w:r>
          </w:p>
          <w:p w14:paraId="251B4DF3">
            <w:p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良：</w:t>
            </w:r>
            <w:r>
              <w:rPr>
                <w:highlight w:val="none"/>
              </w:rPr>
              <w:t>人员后勤保障措施相对完善、薪酬待遇较优于</w:t>
            </w:r>
            <w:r>
              <w:rPr>
                <w:rFonts w:hint="eastAsia"/>
                <w:highlight w:val="none"/>
                <w:lang w:eastAsia="zh-CN"/>
              </w:rPr>
              <w:t>其他投标的运营方</w:t>
            </w:r>
            <w:r>
              <w:rPr>
                <w:highlight w:val="none"/>
              </w:rPr>
              <w:t>，得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15</w:t>
            </w:r>
            <w:r>
              <w:rPr>
                <w:highlight w:val="none"/>
              </w:rPr>
              <w:t xml:space="preserve">分。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</w:t>
            </w:r>
          </w:p>
          <w:p w14:paraId="780EB8F3">
            <w:p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中：</w:t>
            </w:r>
            <w:r>
              <w:rPr>
                <w:highlight w:val="none"/>
              </w:rPr>
              <w:t>人员后勤保障措施基本完善、薪酬待遇</w:t>
            </w:r>
            <w:r>
              <w:rPr>
                <w:rFonts w:hint="eastAsia"/>
                <w:highlight w:val="none"/>
                <w:lang w:eastAsia="zh-CN"/>
              </w:rPr>
              <w:t>较好</w:t>
            </w:r>
            <w:r>
              <w:rPr>
                <w:highlight w:val="none"/>
              </w:rPr>
              <w:t>，得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 xml:space="preserve">分。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                                 </w:t>
            </w:r>
          </w:p>
          <w:p w14:paraId="7581F15B">
            <w:pPr>
              <w:ind w:left="210" w:hanging="210" w:hangingChars="1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差：</w:t>
            </w:r>
            <w:r>
              <w:rPr>
                <w:highlight w:val="none"/>
              </w:rPr>
              <w:t>人员后勤保障措施不完善、薪酬待遇</w:t>
            </w:r>
            <w:r>
              <w:rPr>
                <w:rFonts w:hint="eastAsia"/>
                <w:highlight w:val="none"/>
                <w:lang w:eastAsia="zh-CN"/>
              </w:rPr>
              <w:t>一般</w:t>
            </w:r>
            <w:r>
              <w:rPr>
                <w:highlight w:val="none"/>
              </w:rPr>
              <w:t>，得</w:t>
            </w:r>
            <w:r>
              <w:rPr>
                <w:rFonts w:hint="default" w:ascii="Times New Roman" w:hAnsi="Times New Roman" w:cs="Times New Roman"/>
                <w:highlight w:val="none"/>
              </w:rPr>
              <w:t>5</w:t>
            </w:r>
            <w:r>
              <w:rPr>
                <w:highlight w:val="none"/>
              </w:rPr>
              <w:t>分。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</w:t>
            </w:r>
          </w:p>
          <w:p w14:paraId="1579B23F">
            <w:pPr>
              <w:ind w:left="210" w:hanging="210" w:hangingChars="100"/>
              <w:rPr>
                <w:rFonts w:hint="eastAsia" w:ascii="宋体" w:hAnsi="宋体" w:cs="宋体" w:eastAsiaTheme="minorEastAsia"/>
                <w:b/>
                <w:bCs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highlight w:val="none"/>
              </w:rPr>
              <w:t>无提供不得分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  <w:tc>
          <w:tcPr>
            <w:tcW w:w="837" w:type="dxa"/>
            <w:noWrap w:val="0"/>
            <w:vAlign w:val="top"/>
          </w:tcPr>
          <w:p w14:paraId="2EA85A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1CB83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732" w:type="dxa"/>
            <w:noWrap w:val="0"/>
            <w:vAlign w:val="center"/>
          </w:tcPr>
          <w:p w14:paraId="11DD2E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53EF1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培训方案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117B75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61" w:type="dxa"/>
            <w:shd w:val="clear" w:color="auto" w:fill="auto"/>
            <w:noWrap w:val="0"/>
            <w:vAlign w:val="top"/>
          </w:tcPr>
          <w:p w14:paraId="33455CD1">
            <w:pPr>
              <w:numPr>
                <w:ilvl w:val="0"/>
                <w:numId w:val="0"/>
              </w:numPr>
              <w:ind w:left="210" w:hanging="211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运营方</w:t>
            </w:r>
            <w:r>
              <w:rPr>
                <w:b/>
                <w:bCs/>
              </w:rPr>
              <w:t>对项目人员的培训计划、岗前培训、在岗培训和考核方式进行评审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</w:p>
          <w:p w14:paraId="60D376B3">
            <w:pPr>
              <w:numPr>
                <w:ilvl w:val="0"/>
                <w:numId w:val="0"/>
              </w:num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优：</w:t>
            </w:r>
            <w:r>
              <w:t>有科学可行的项目人员的岗前培训、在岗培训计划，培训资源丰富 ，考核方案详细、可行，得</w:t>
            </w: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t xml:space="preserve">分；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 w14:paraId="550F5BCC">
            <w:pPr>
              <w:numPr>
                <w:ilvl w:val="0"/>
                <w:numId w:val="0"/>
              </w:num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良：</w:t>
            </w:r>
            <w:r>
              <w:t>有较完善的项目人员的岗前培训、在岗培训计划，较丰富的培训资源，考核方案且基本可行，得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  <w:r>
              <w:t xml:space="preserve">分；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 w14:paraId="2C0E4F83">
            <w:pPr>
              <w:numPr>
                <w:ilvl w:val="0"/>
                <w:numId w:val="0"/>
              </w:num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中：</w:t>
            </w:r>
            <w:r>
              <w:t>有基本的项目人员的岗前培训、在岗培训计划，培训资源一般，考核方案一般，得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t>分；</w:t>
            </w:r>
            <w:r>
              <w:rPr>
                <w:rFonts w:hint="eastAsia"/>
                <w:lang w:val="en-US" w:eastAsia="zh-CN"/>
              </w:rPr>
              <w:t xml:space="preserve">                          </w:t>
            </w:r>
          </w:p>
          <w:p w14:paraId="566DB112">
            <w:pPr>
              <w:numPr>
                <w:ilvl w:val="0"/>
                <w:numId w:val="0"/>
              </w:numPr>
              <w:ind w:left="210" w:hanging="210" w:hangingChars="100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差：</w:t>
            </w:r>
            <w:r>
              <w:t>无提供不得分。</w:t>
            </w:r>
          </w:p>
        </w:tc>
        <w:tc>
          <w:tcPr>
            <w:tcW w:w="837" w:type="dxa"/>
            <w:noWrap w:val="0"/>
            <w:vAlign w:val="top"/>
          </w:tcPr>
          <w:p w14:paraId="419CD5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D67B2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32" w:type="dxa"/>
            <w:noWrap w:val="0"/>
            <w:vAlign w:val="center"/>
          </w:tcPr>
          <w:p w14:paraId="3ADA3AB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C5F8E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用户评价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0DC9521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61" w:type="dxa"/>
            <w:shd w:val="clear" w:color="auto" w:fill="auto"/>
            <w:noWrap w:val="0"/>
            <w:vAlign w:val="center"/>
          </w:tcPr>
          <w:p w14:paraId="4D4CA7B5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运营方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以往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类似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项目的业绩证明，如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用户出具的服务评价文件，评价结果为“好评”或“优秀”或相同含义的评价的，每项得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分，最高得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（注：提供服务评价文件及其对应合同的复印件加盖公章）</w:t>
            </w:r>
          </w:p>
        </w:tc>
        <w:tc>
          <w:tcPr>
            <w:tcW w:w="837" w:type="dxa"/>
            <w:noWrap w:val="0"/>
            <w:vAlign w:val="top"/>
          </w:tcPr>
          <w:p w14:paraId="3D9012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8CAB0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732" w:type="dxa"/>
            <w:noWrap w:val="0"/>
            <w:vAlign w:val="center"/>
          </w:tcPr>
          <w:p w14:paraId="220F97A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61B8F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33163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得分总计</w:t>
            </w:r>
          </w:p>
        </w:tc>
        <w:tc>
          <w:tcPr>
            <w:tcW w:w="11361" w:type="dxa"/>
            <w:shd w:val="clear" w:color="auto" w:fill="auto"/>
            <w:noWrap w:val="0"/>
            <w:vAlign w:val="top"/>
          </w:tcPr>
          <w:p w14:paraId="09B23C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7" w:type="dxa"/>
            <w:noWrap w:val="0"/>
            <w:vAlign w:val="top"/>
          </w:tcPr>
          <w:p w14:paraId="33FDE0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91D0B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868" w:type="dxa"/>
            <w:gridSpan w:val="2"/>
            <w:noWrap w:val="0"/>
            <w:vAlign w:val="center"/>
          </w:tcPr>
          <w:p w14:paraId="176EC5C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59B37F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61" w:type="dxa"/>
            <w:noWrap w:val="0"/>
            <w:vAlign w:val="center"/>
          </w:tcPr>
          <w:p w14:paraId="160BCC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7" w:type="dxa"/>
            <w:noWrap w:val="0"/>
            <w:vAlign w:val="top"/>
          </w:tcPr>
          <w:p w14:paraId="688109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04C9F79D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</w:t>
      </w: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</w:rPr>
        <w:t>日期：     年   月   日</w:t>
      </w:r>
    </w:p>
    <w:sectPr>
      <w:pgSz w:w="16838" w:h="11906" w:orient="landscape"/>
      <w:pgMar w:top="1587" w:right="1587" w:bottom="1587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6701"/>
    <w:rsid w:val="000021D1"/>
    <w:rsid w:val="002E5C9B"/>
    <w:rsid w:val="0051426E"/>
    <w:rsid w:val="007E3638"/>
    <w:rsid w:val="00811E93"/>
    <w:rsid w:val="00AC1F7C"/>
    <w:rsid w:val="00D95769"/>
    <w:rsid w:val="023747AF"/>
    <w:rsid w:val="039E428B"/>
    <w:rsid w:val="060D496C"/>
    <w:rsid w:val="08D26132"/>
    <w:rsid w:val="09922C93"/>
    <w:rsid w:val="09DE16FB"/>
    <w:rsid w:val="0B912533"/>
    <w:rsid w:val="0C126701"/>
    <w:rsid w:val="0ED17186"/>
    <w:rsid w:val="117305D2"/>
    <w:rsid w:val="14BF43B9"/>
    <w:rsid w:val="18F21814"/>
    <w:rsid w:val="194312E9"/>
    <w:rsid w:val="1B7964C8"/>
    <w:rsid w:val="1BF84C8E"/>
    <w:rsid w:val="1D285453"/>
    <w:rsid w:val="1D652FE7"/>
    <w:rsid w:val="1E556BC4"/>
    <w:rsid w:val="1EC93DFC"/>
    <w:rsid w:val="1EF501D6"/>
    <w:rsid w:val="21A06EBB"/>
    <w:rsid w:val="222B6BA2"/>
    <w:rsid w:val="248D194A"/>
    <w:rsid w:val="24B62122"/>
    <w:rsid w:val="26377B2A"/>
    <w:rsid w:val="265A1B7B"/>
    <w:rsid w:val="27567996"/>
    <w:rsid w:val="2A1D6EA4"/>
    <w:rsid w:val="2DC41C20"/>
    <w:rsid w:val="2FFF775D"/>
    <w:rsid w:val="30A33D30"/>
    <w:rsid w:val="30CA17E6"/>
    <w:rsid w:val="3153468F"/>
    <w:rsid w:val="323352EB"/>
    <w:rsid w:val="32F14361"/>
    <w:rsid w:val="35641083"/>
    <w:rsid w:val="385A5586"/>
    <w:rsid w:val="3BA32EE4"/>
    <w:rsid w:val="3F9625DF"/>
    <w:rsid w:val="42E8412E"/>
    <w:rsid w:val="432B27C6"/>
    <w:rsid w:val="463F09D6"/>
    <w:rsid w:val="475665CA"/>
    <w:rsid w:val="48625B75"/>
    <w:rsid w:val="4A2522FD"/>
    <w:rsid w:val="4A805AFA"/>
    <w:rsid w:val="4AB92C27"/>
    <w:rsid w:val="53101F5F"/>
    <w:rsid w:val="54B6361C"/>
    <w:rsid w:val="56420695"/>
    <w:rsid w:val="579A6D1E"/>
    <w:rsid w:val="58C76221"/>
    <w:rsid w:val="5A986D7D"/>
    <w:rsid w:val="5C6B7675"/>
    <w:rsid w:val="60726050"/>
    <w:rsid w:val="64E111E9"/>
    <w:rsid w:val="67055301"/>
    <w:rsid w:val="6C6E26E2"/>
    <w:rsid w:val="74185A85"/>
    <w:rsid w:val="75017085"/>
    <w:rsid w:val="76017653"/>
    <w:rsid w:val="77E05AA5"/>
    <w:rsid w:val="783E61D3"/>
    <w:rsid w:val="7B772685"/>
    <w:rsid w:val="7C81306E"/>
    <w:rsid w:val="7C8C04E1"/>
    <w:rsid w:val="7D15435C"/>
    <w:rsid w:val="7D1A63F7"/>
    <w:rsid w:val="7E4E5B61"/>
    <w:rsid w:val="7FEC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中山市民政局</Company>
  <Pages>2</Pages>
  <Words>1166</Words>
  <Characters>1187</Characters>
  <Lines>12</Lines>
  <Paragraphs>3</Paragraphs>
  <TotalTime>2</TotalTime>
  <ScaleCrop>false</ScaleCrop>
  <LinksUpToDate>false</LinksUpToDate>
  <CharactersWithSpaces>1822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2021-07-20T14:39:00Z</dcterms:created>
  <dc:creator>阳睿♬*゜</dc:creator>
  <cp:lastModifiedBy>黄曦</cp:lastModifiedBy>
  <cp:lastPrinted>2022-11-11T02:53:00Z</cp:lastPrinted>
  <dcterms:modified xsi:type="dcterms:W3CDTF">2025-09-22T01:57:46Z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7F1D4477D58141F796B0CAAC3D0BF5E7</vt:lpwstr>
  </property>
  <property fmtid="{D5CDD505-2E9C-101B-9397-08002B2CF9AE}" pid="4" name="KSOTemplateDocerSaveRecord">
    <vt:lpwstr>eyJoZGlkIjoiNDAyNzBlMjg1NTBmNTdhOTkyYzU2ZWVkMTk0OTkwM2MiLCJ1c2VySWQiOiI2MTMzODA3MTAifQ==</vt:lpwstr>
  </property>
</Properties>
</file>