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3.体检表上贴近期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寸免冠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彩色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照片一张。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.体检前一天请注意休息，勿熬夜，不要饮酒，避免剧烈运动。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.体检按规定的体检项目进行，不得随意增减。主检医生认为需要增加项目</w:t>
      </w:r>
      <w:r>
        <w:rPr>
          <w:rFonts w:hint="eastAsia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进一步检查方能作出诊断的，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BD45897"/>
    <w:rsid w:val="17840175"/>
    <w:rsid w:val="1E8F3CE3"/>
    <w:rsid w:val="26B40D36"/>
    <w:rsid w:val="457B0D80"/>
    <w:rsid w:val="4BD54F66"/>
    <w:rsid w:val="513231A6"/>
    <w:rsid w:val="52EB2010"/>
    <w:rsid w:val="5C69597F"/>
    <w:rsid w:val="61BC77BF"/>
    <w:rsid w:val="6A643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2020-03-05T07:24:00Z</dcterms:created>
  <dc:creator>湛嘉惠</dc:creator>
  <cp:lastModifiedBy>梁慧珠</cp:lastModifiedBy>
  <dcterms:modified xsi:type="dcterms:W3CDTF">2024-04-09T01:39:25Z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6CB6ABC7CF7549EDA0C28BC5C051D541</vt:lpwstr>
  </property>
</Properties>
</file>