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A212A">
      <w:pPr>
        <w:pStyle w:val="2"/>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附件3</w:t>
      </w:r>
    </w:p>
    <w:p w14:paraId="2E9154D0">
      <w:pPr>
        <w:pStyle w:val="2"/>
        <w:jc w:val="center"/>
        <w:rPr>
          <w:rFonts w:hint="default" w:ascii="Times New Roman" w:hAnsi="Times New Roman" w:eastAsia="方正小标宋简体" w:cs="Times New Roman"/>
          <w:color w:val="auto"/>
          <w:sz w:val="44"/>
          <w:szCs w:val="44"/>
          <w:lang w:val="en-US" w:eastAsia="zh-CN"/>
        </w:rPr>
      </w:pPr>
      <w:bookmarkStart w:id="0" w:name="_GoBack"/>
      <w:r>
        <w:rPr>
          <w:rFonts w:hint="default" w:ascii="Times New Roman" w:hAnsi="Times New Roman" w:eastAsia="方正小标宋简体" w:cs="Times New Roman"/>
          <w:color w:val="auto"/>
          <w:sz w:val="44"/>
          <w:szCs w:val="44"/>
          <w:lang w:val="en-US" w:eastAsia="zh-CN"/>
        </w:rPr>
        <w:t>服务协议</w:t>
      </w:r>
      <w:r>
        <w:rPr>
          <w:rFonts w:hint="eastAsia" w:ascii="Times New Roman" w:hAnsi="Times New Roman" w:eastAsia="方正小标宋简体" w:cs="Times New Roman"/>
          <w:color w:val="auto"/>
          <w:sz w:val="44"/>
          <w:szCs w:val="44"/>
          <w:lang w:val="en-US" w:eastAsia="zh-CN"/>
        </w:rPr>
        <w:t>模板</w:t>
      </w:r>
    </w:p>
    <w:bookmarkEnd w:id="0"/>
    <w:p w14:paraId="0D1F0A6A">
      <w:pPr>
        <w:pStyle w:val="2"/>
        <w:keepNext w:val="0"/>
        <w:keepLines w:val="0"/>
        <w:pageBreakBefore w:val="0"/>
        <w:kinsoku/>
        <w:overflowPunct/>
        <w:topLinePunct w:val="0"/>
        <w:autoSpaceDE/>
        <w:autoSpaceDN/>
        <w:bidi w:val="0"/>
        <w:spacing w:line="560" w:lineRule="exact"/>
        <w:rPr>
          <w:rFonts w:hint="default" w:ascii="Times New Roman" w:hAnsi="Times New Roman" w:cs="Times New Roman"/>
          <w:color w:val="auto"/>
        </w:rPr>
      </w:pPr>
    </w:p>
    <w:p w14:paraId="1A79560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甲方（服务购买方）：</w:t>
      </w:r>
      <w:r>
        <w:rPr>
          <w:rFonts w:hint="default" w:ascii="Times New Roman" w:hAnsi="Times New Roman" w:eastAsia="黑体" w:cs="Times New Roman"/>
          <w:bCs/>
          <w:color w:val="auto"/>
          <w:sz w:val="32"/>
          <w:szCs w:val="32"/>
          <w:u w:val="single"/>
        </w:rPr>
        <w:t>中山市民政局</w:t>
      </w:r>
    </w:p>
    <w:p w14:paraId="6EC686A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rPr>
        <w:t>乙方（服务提供方）：</w:t>
      </w:r>
      <w:r>
        <w:rPr>
          <w:rFonts w:hint="default" w:ascii="Times New Roman" w:hAnsi="Times New Roman" w:eastAsia="黑体" w:cs="Times New Roman"/>
          <w:bCs/>
          <w:color w:val="auto"/>
          <w:sz w:val="32"/>
          <w:szCs w:val="32"/>
          <w:u w:val="single"/>
          <w:lang w:val="en-US" w:eastAsia="zh-CN"/>
        </w:rPr>
        <w:t xml:space="preserve">            </w:t>
      </w:r>
    </w:p>
    <w:p w14:paraId="2FF8920F">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rPr>
      </w:pPr>
    </w:p>
    <w:p w14:paraId="378F9C5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根据国家有关政策法规规定，经双方协商，本着平等、自愿、公平和诚实信用的原则，就乙方向甲方提供相关服务事宜，签订本合同</w:t>
      </w:r>
      <w:r>
        <w:rPr>
          <w:rFonts w:hint="default" w:ascii="Times New Roman" w:hAnsi="Times New Roman" w:eastAsia="仿宋_GB2312" w:cs="Times New Roman"/>
          <w:color w:val="auto"/>
          <w:sz w:val="32"/>
          <w:szCs w:val="32"/>
          <w:lang w:eastAsia="zh-CN"/>
        </w:rPr>
        <w:t>：</w:t>
      </w:r>
    </w:p>
    <w:p w14:paraId="014AC97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0"/>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lang w:val="en-US" w:eastAsia="zh-CN"/>
        </w:rPr>
        <w:t>一、</w:t>
      </w:r>
      <w:r>
        <w:rPr>
          <w:rFonts w:hint="default" w:ascii="Times New Roman" w:hAnsi="Times New Roman" w:eastAsia="黑体" w:cs="Times New Roman"/>
          <w:b w:val="0"/>
          <w:bCs/>
          <w:color w:val="auto"/>
          <w:sz w:val="32"/>
          <w:szCs w:val="32"/>
        </w:rPr>
        <w:t>服务期限</w:t>
      </w:r>
    </w:p>
    <w:p w14:paraId="0E24BB0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本服务合同书所述的购买服务期限</w:t>
      </w:r>
      <w:r>
        <w:rPr>
          <w:rFonts w:hint="default" w:ascii="Times New Roman" w:hAnsi="Times New Roman" w:eastAsia="仿宋_GB2312" w:cs="Times New Roman"/>
          <w:color w:val="auto"/>
          <w:sz w:val="32"/>
          <w:szCs w:val="32"/>
          <w:lang w:val="en-US" w:eastAsia="zh-CN"/>
        </w:rPr>
        <w:t>从本合同签订日期起</w:t>
      </w:r>
      <w:r>
        <w:rPr>
          <w:rFonts w:hint="default" w:ascii="Times New Roman" w:hAnsi="Times New Roman" w:eastAsia="仿宋_GB2312" w:cs="Times New Roman"/>
          <w:color w:val="auto"/>
          <w:sz w:val="32"/>
          <w:szCs w:val="32"/>
        </w:rPr>
        <w:t>至</w:t>
      </w:r>
      <w:r>
        <w:rPr>
          <w:rFonts w:hint="default" w:ascii="Times New Roman" w:hAnsi="Times New Roman" w:eastAsia="仿宋_GB2312" w:cs="Times New Roman"/>
          <w:color w:val="auto"/>
          <w:sz w:val="32"/>
          <w:szCs w:val="32"/>
          <w:lang w:val="en-US" w:eastAsia="zh-CN"/>
        </w:rPr>
        <w:t>2027</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乙方承接项目的运营，按要求提供服务。</w:t>
      </w:r>
    </w:p>
    <w:p w14:paraId="01FCE6F7">
      <w:pPr>
        <w:pStyle w:val="2"/>
        <w:keepNext w:val="0"/>
        <w:keepLines w:val="0"/>
        <w:pageBreakBefore w:val="0"/>
        <w:numPr>
          <w:ilvl w:val="0"/>
          <w:numId w:val="1"/>
        </w:numPr>
        <w:kinsoku/>
        <w:overflowPunct/>
        <w:topLinePunct w:val="0"/>
        <w:autoSpaceDE/>
        <w:autoSpaceDN/>
        <w:bidi w:val="0"/>
        <w:spacing w:line="560" w:lineRule="exact"/>
        <w:ind w:left="0" w:leftChars="0" w:firstLine="640" w:firstLineChars="200"/>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服务内容（指标</w:t>
      </w:r>
      <w:r>
        <w:rPr>
          <w:rFonts w:hint="eastAsia" w:ascii="Times New Roman" w:hAnsi="Times New Roman" w:eastAsia="黑体" w:cs="Times New Roman"/>
          <w:b w:val="0"/>
          <w:bCs/>
          <w:color w:val="auto"/>
          <w:sz w:val="32"/>
          <w:szCs w:val="32"/>
          <w:lang w:val="en-US" w:eastAsia="zh-CN"/>
        </w:rPr>
        <w:t>及计价</w:t>
      </w:r>
      <w:r>
        <w:rPr>
          <w:rFonts w:hint="default" w:ascii="Times New Roman" w:hAnsi="Times New Roman" w:eastAsia="黑体" w:cs="Times New Roman"/>
          <w:b w:val="0"/>
          <w:bCs/>
          <w:color w:val="auto"/>
          <w:sz w:val="32"/>
          <w:szCs w:val="32"/>
          <w:lang w:val="en-US" w:eastAsia="zh-CN"/>
        </w:rPr>
        <w:t>）</w:t>
      </w:r>
    </w:p>
    <w:p w14:paraId="04DEB34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Calibri" w:hAnsi="Calibri" w:eastAsia="仿宋_GB2312"/>
          <w:color w:val="000000"/>
          <w:sz w:val="32"/>
          <w:szCs w:val="32"/>
          <w:highlight w:val="none"/>
          <w:lang w:eastAsia="zh-CN"/>
        </w:rPr>
      </w:pPr>
      <w:r>
        <w:rPr>
          <w:rFonts w:hint="eastAsia" w:ascii="Times New Roman" w:hAnsi="Times New Roman" w:eastAsia="仿宋_GB2312" w:cs="Times New Roman"/>
          <w:color w:val="000000"/>
          <w:sz w:val="32"/>
          <w:szCs w:val="32"/>
          <w:lang w:val="en-US" w:eastAsia="zh-CN"/>
        </w:rPr>
        <w:t>1、</w:t>
      </w:r>
      <w:r>
        <w:rPr>
          <w:rFonts w:hint="eastAsia" w:eastAsia="仿宋_GB2312"/>
          <w:b w:val="0"/>
          <w:bCs w:val="0"/>
          <w:sz w:val="32"/>
          <w:szCs w:val="32"/>
          <w:lang w:val="en-US" w:eastAsia="zh-CN"/>
        </w:rPr>
        <w:t>排查患病社会救助对象并链接慈善资源开展帮扶</w:t>
      </w:r>
      <w:r>
        <w:rPr>
          <w:rFonts w:hint="eastAsia" w:eastAsia="仿宋_GB2312"/>
          <w:b w:val="0"/>
          <w:bCs w:val="0"/>
          <w:sz w:val="32"/>
          <w:szCs w:val="32"/>
        </w:rPr>
        <w:t>。</w:t>
      </w:r>
      <w:r>
        <w:rPr>
          <w:rFonts w:hint="eastAsia" w:eastAsia="仿宋_GB2312"/>
          <w:sz w:val="32"/>
          <w:szCs w:val="32"/>
        </w:rPr>
        <w:t>主要负责跟进民政部门</w:t>
      </w:r>
      <w:r>
        <w:rPr>
          <w:rFonts w:hint="eastAsia" w:eastAsia="仿宋_GB2312"/>
          <w:sz w:val="32"/>
          <w:szCs w:val="32"/>
          <w:lang w:val="en-US" w:eastAsia="zh-CN"/>
        </w:rPr>
        <w:t>兜底</w:t>
      </w:r>
      <w:r>
        <w:rPr>
          <w:rFonts w:hint="eastAsia" w:eastAsia="仿宋_GB2312"/>
          <w:sz w:val="32"/>
          <w:szCs w:val="32"/>
        </w:rPr>
        <w:t>困难对象的患病医疗情况，</w:t>
      </w:r>
      <w:r>
        <w:rPr>
          <w:rFonts w:hint="eastAsia" w:eastAsia="仿宋_GB2312"/>
          <w:sz w:val="32"/>
          <w:szCs w:val="32"/>
          <w:lang w:val="en-US" w:eastAsia="zh-CN"/>
        </w:rPr>
        <w:t>链接慈善资源</w:t>
      </w:r>
      <w:r>
        <w:rPr>
          <w:rFonts w:hint="eastAsia" w:eastAsia="仿宋_GB2312"/>
          <w:sz w:val="32"/>
          <w:szCs w:val="32"/>
        </w:rPr>
        <w:t>对个案进行帮扶，</w:t>
      </w:r>
      <w:r>
        <w:rPr>
          <w:rFonts w:hint="eastAsia" w:eastAsia="仿宋_GB2312"/>
          <w:sz w:val="32"/>
          <w:szCs w:val="32"/>
          <w:lang w:val="en-US" w:eastAsia="zh-CN"/>
        </w:rPr>
        <w:t>为社会救助对象申请</w:t>
      </w:r>
      <w:r>
        <w:rPr>
          <w:rFonts w:hint="eastAsia" w:eastAsia="仿宋_GB2312"/>
          <w:sz w:val="32"/>
          <w:szCs w:val="32"/>
        </w:rPr>
        <w:t>慈善</w:t>
      </w:r>
      <w:r>
        <w:rPr>
          <w:rFonts w:hint="eastAsia" w:eastAsia="仿宋_GB2312"/>
          <w:sz w:val="32"/>
          <w:szCs w:val="32"/>
          <w:lang w:val="en-US" w:eastAsia="zh-CN"/>
        </w:rPr>
        <w:t>帮扶提供帮助；</w:t>
      </w:r>
      <w:r>
        <w:rPr>
          <w:rFonts w:hint="eastAsia" w:ascii="仿宋_GB2312" w:hAnsi="仿宋_GB2312" w:eastAsia="仿宋_GB2312" w:cs="仿宋_GB2312"/>
          <w:sz w:val="32"/>
          <w:szCs w:val="32"/>
        </w:rPr>
        <w:t>主动发现</w:t>
      </w:r>
      <w:r>
        <w:rPr>
          <w:rFonts w:hint="eastAsia" w:eastAsia="仿宋_GB2312"/>
          <w:sz w:val="32"/>
          <w:szCs w:val="32"/>
          <w:lang w:val="en-US" w:eastAsia="zh-CN"/>
        </w:rPr>
        <w:t>社会救助</w:t>
      </w:r>
      <w:r>
        <w:rPr>
          <w:rFonts w:hint="eastAsia" w:ascii="仿宋_GB2312" w:hAnsi="仿宋_GB2312" w:eastAsia="仿宋_GB2312" w:cs="仿宋_GB2312"/>
          <w:sz w:val="32"/>
          <w:szCs w:val="32"/>
        </w:rPr>
        <w:t>家庭学生，建立困难家庭学生信息库，连接社会资源开展慈善教育帮扶。</w:t>
      </w:r>
      <w:r>
        <w:rPr>
          <w:rFonts w:hint="eastAsia" w:ascii="仿宋_GB2312" w:hAnsi="仿宋_GB2312" w:eastAsia="仿宋_GB2312" w:cs="仿宋_GB2312"/>
          <w:color w:val="000000"/>
          <w:kern w:val="0"/>
          <w:sz w:val="32"/>
          <w:szCs w:val="32"/>
        </w:rPr>
        <w:t>对接社会帮扶物资并按需配送给</w:t>
      </w:r>
      <w:r>
        <w:rPr>
          <w:rFonts w:hint="eastAsia" w:ascii="仿宋_GB2312" w:hAnsi="仿宋_GB2312" w:eastAsia="仿宋_GB2312" w:cs="仿宋_GB2312"/>
          <w:color w:val="000000"/>
          <w:kern w:val="0"/>
          <w:sz w:val="32"/>
          <w:szCs w:val="32"/>
          <w:lang w:val="en-US" w:eastAsia="zh-CN"/>
        </w:rPr>
        <w:t>社会救助对象</w:t>
      </w:r>
      <w:r>
        <w:rPr>
          <w:rFonts w:hint="eastAsia" w:ascii="仿宋_GB2312" w:hAnsi="仿宋_GB2312" w:eastAsia="仿宋_GB2312" w:cs="仿宋_GB2312"/>
          <w:color w:val="000000"/>
          <w:kern w:val="0"/>
          <w:sz w:val="32"/>
          <w:szCs w:val="32"/>
          <w:lang w:eastAsia="zh-CN"/>
        </w:rPr>
        <w:t>。</w:t>
      </w:r>
    </w:p>
    <w:p w14:paraId="08B76216">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对来电或来访咨询社会救助政策的对象给予解答和指导</w:t>
      </w:r>
      <w:r>
        <w:rPr>
          <w:rFonts w:hint="default" w:ascii="Times New Roman" w:hAnsi="Times New Roman" w:eastAsia="仿宋_GB2312" w:cs="Times New Roman"/>
          <w:color w:val="000000"/>
          <w:sz w:val="32"/>
          <w:szCs w:val="32"/>
        </w:rPr>
        <w:t>，必要时</w:t>
      </w:r>
      <w:r>
        <w:rPr>
          <w:rFonts w:hint="eastAsia" w:ascii="Times New Roman" w:hAnsi="Times New Roman" w:eastAsia="仿宋_GB2312" w:cs="Times New Roman"/>
          <w:color w:val="000000"/>
          <w:sz w:val="32"/>
          <w:szCs w:val="32"/>
          <w:lang w:val="en-US" w:eastAsia="zh-CN"/>
        </w:rPr>
        <w:t>跟进个案处理。面向社会救助对象通过电话、问卷等形式开展</w:t>
      </w:r>
      <w:r>
        <w:rPr>
          <w:rFonts w:hint="default" w:ascii="Times New Roman" w:hAnsi="Times New Roman" w:eastAsia="仿宋_GB2312" w:cs="Times New Roman"/>
          <w:color w:val="000000"/>
          <w:sz w:val="32"/>
          <w:szCs w:val="32"/>
        </w:rPr>
        <w:t>成效回访、满意度调查</w:t>
      </w:r>
      <w:r>
        <w:rPr>
          <w:rFonts w:hint="eastAsia" w:ascii="Times New Roman" w:hAnsi="Times New Roman" w:eastAsia="仿宋_GB2312" w:cs="Times New Roman"/>
          <w:color w:val="000000"/>
          <w:sz w:val="32"/>
          <w:szCs w:val="32"/>
          <w:lang w:val="en-US" w:eastAsia="zh-CN"/>
        </w:rPr>
        <w:t>等</w:t>
      </w:r>
      <w:r>
        <w:rPr>
          <w:rFonts w:hint="eastAsia" w:ascii="Calibri" w:hAnsi="Calibri" w:eastAsia="仿宋_GB2312"/>
          <w:color w:val="000000"/>
          <w:sz w:val="32"/>
          <w:szCs w:val="32"/>
        </w:rPr>
        <w:t>。</w:t>
      </w:r>
    </w:p>
    <w:p w14:paraId="77C64446">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对特困人员、低保、低保边缘家庭、刚性支出困难家庭、临时救助等各类社会救助对象</w:t>
      </w:r>
      <w:r>
        <w:rPr>
          <w:rFonts w:hint="default" w:ascii="Times New Roman" w:hAnsi="Times New Roman" w:eastAsia="仿宋_GB2312" w:cs="Times New Roman"/>
          <w:color w:val="000000"/>
          <w:sz w:val="32"/>
          <w:szCs w:val="32"/>
        </w:rPr>
        <w:t>开展入户走访</w:t>
      </w:r>
      <w:r>
        <w:rPr>
          <w:rFonts w:hint="eastAsia" w:ascii="Times New Roman" w:hAnsi="Times New Roman" w:eastAsia="仿宋_GB2312" w:cs="Times New Roman"/>
          <w:color w:val="000000"/>
          <w:sz w:val="32"/>
          <w:szCs w:val="32"/>
          <w:lang w:val="en-US" w:eastAsia="zh-CN"/>
        </w:rPr>
        <w:t>家计</w:t>
      </w:r>
      <w:r>
        <w:rPr>
          <w:rFonts w:hint="default" w:ascii="Times New Roman" w:hAnsi="Times New Roman" w:eastAsia="仿宋_GB2312" w:cs="Times New Roman"/>
          <w:color w:val="000000"/>
          <w:sz w:val="32"/>
          <w:szCs w:val="32"/>
        </w:rPr>
        <w:t>调查</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包括调查家庭收入、财产、生活状况、</w:t>
      </w:r>
      <w:r>
        <w:rPr>
          <w:rFonts w:hint="default" w:ascii="Times New Roman" w:hAnsi="Times New Roman" w:eastAsia="仿宋_GB2312" w:cs="Times New Roman"/>
          <w:color w:val="000000"/>
          <w:sz w:val="32"/>
          <w:szCs w:val="32"/>
        </w:rPr>
        <w:t>风险排查</w:t>
      </w:r>
      <w:r>
        <w:rPr>
          <w:rFonts w:hint="eastAsia" w:ascii="Times New Roman" w:hAnsi="Times New Roman" w:eastAsia="仿宋_GB2312" w:cs="Times New Roman"/>
          <w:color w:val="000000"/>
          <w:sz w:val="32"/>
          <w:szCs w:val="32"/>
          <w:lang w:val="en-US" w:eastAsia="zh-CN"/>
        </w:rPr>
        <w:t>等</w:t>
      </w:r>
      <w:r>
        <w:rPr>
          <w:rFonts w:hint="eastAsia" w:ascii="Times New Roman" w:hAnsi="Times New Roman" w:eastAsia="仿宋_GB2312" w:cs="Times New Roman"/>
          <w:color w:val="000000"/>
          <w:sz w:val="32"/>
          <w:szCs w:val="32"/>
          <w:lang w:eastAsia="zh-CN"/>
        </w:rPr>
        <w:t>。</w:t>
      </w:r>
    </w:p>
    <w:p w14:paraId="027ED7C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b w:val="0"/>
          <w:bCs/>
          <w:color w:val="auto"/>
          <w:sz w:val="32"/>
          <w:szCs w:val="32"/>
          <w:lang w:val="en-US" w:eastAsia="zh-CN"/>
        </w:rPr>
      </w:pPr>
      <w:r>
        <w:rPr>
          <w:rFonts w:hint="eastAsia" w:ascii="Times New Roman" w:hAnsi="Times New Roman" w:eastAsia="仿宋_GB2312" w:cs="Times New Roman"/>
          <w:color w:val="000000"/>
          <w:sz w:val="32"/>
          <w:szCs w:val="32"/>
          <w:lang w:val="en-US" w:eastAsia="zh-CN"/>
        </w:rPr>
        <w:t>4、开展社会救助对象信息管理，包括资料整理、台账录入、核验校对等。</w:t>
      </w:r>
    </w:p>
    <w:tbl>
      <w:tblPr>
        <w:tblStyle w:val="3"/>
        <w:tblW w:w="9070" w:type="dxa"/>
        <w:jc w:val="center"/>
        <w:tblLayout w:type="autofit"/>
        <w:tblCellMar>
          <w:top w:w="0" w:type="dxa"/>
          <w:left w:w="108" w:type="dxa"/>
          <w:bottom w:w="0" w:type="dxa"/>
          <w:right w:w="108" w:type="dxa"/>
        </w:tblCellMar>
      </w:tblPr>
      <w:tblGrid>
        <w:gridCol w:w="911"/>
        <w:gridCol w:w="4848"/>
        <w:gridCol w:w="1191"/>
        <w:gridCol w:w="1060"/>
        <w:gridCol w:w="1060"/>
      </w:tblGrid>
      <w:tr w14:paraId="1D232EF3">
        <w:tblPrEx>
          <w:tblCellMar>
            <w:top w:w="0" w:type="dxa"/>
            <w:left w:w="108" w:type="dxa"/>
            <w:bottom w:w="0" w:type="dxa"/>
            <w:right w:w="108" w:type="dxa"/>
          </w:tblCellMar>
        </w:tblPrEx>
        <w:trPr>
          <w:trHeight w:val="723" w:hRule="atLeast"/>
          <w:jc w:val="center"/>
        </w:trPr>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1C6387">
            <w:pPr>
              <w:widowControl/>
              <w:spacing w:line="240" w:lineRule="auto"/>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序号</w:t>
            </w:r>
          </w:p>
        </w:tc>
        <w:tc>
          <w:tcPr>
            <w:tcW w:w="4848" w:type="dxa"/>
            <w:tcBorders>
              <w:top w:val="single" w:color="auto" w:sz="4" w:space="0"/>
              <w:left w:val="nil"/>
              <w:bottom w:val="single" w:color="auto" w:sz="4" w:space="0"/>
              <w:right w:val="single" w:color="auto" w:sz="4" w:space="0"/>
            </w:tcBorders>
            <w:shd w:val="clear" w:color="auto" w:fill="auto"/>
            <w:vAlign w:val="center"/>
          </w:tcPr>
          <w:p w14:paraId="14713207">
            <w:pPr>
              <w:widowControl/>
              <w:spacing w:line="240" w:lineRule="auto"/>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指标内容</w:t>
            </w:r>
          </w:p>
        </w:tc>
        <w:tc>
          <w:tcPr>
            <w:tcW w:w="1191" w:type="dxa"/>
            <w:tcBorders>
              <w:top w:val="single" w:color="auto" w:sz="4" w:space="0"/>
              <w:left w:val="nil"/>
              <w:bottom w:val="single" w:color="auto" w:sz="4" w:space="0"/>
              <w:right w:val="single" w:color="auto" w:sz="4" w:space="0"/>
            </w:tcBorders>
            <w:shd w:val="clear" w:color="auto" w:fill="auto"/>
            <w:vAlign w:val="center"/>
          </w:tcPr>
          <w:p w14:paraId="002C27FE">
            <w:pPr>
              <w:widowControl/>
              <w:spacing w:line="240" w:lineRule="auto"/>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指标值</w:t>
            </w:r>
          </w:p>
        </w:tc>
        <w:tc>
          <w:tcPr>
            <w:tcW w:w="1060" w:type="dxa"/>
            <w:tcBorders>
              <w:top w:val="single" w:color="auto" w:sz="4" w:space="0"/>
              <w:left w:val="nil"/>
              <w:bottom w:val="single" w:color="auto" w:sz="4" w:space="0"/>
              <w:right w:val="single" w:color="auto" w:sz="4" w:space="0"/>
            </w:tcBorders>
            <w:shd w:val="clear" w:color="auto" w:fill="auto"/>
            <w:vAlign w:val="center"/>
          </w:tcPr>
          <w:p w14:paraId="77AA55FA">
            <w:pPr>
              <w:widowControl/>
              <w:spacing w:line="240" w:lineRule="auto"/>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单价（元）</w:t>
            </w:r>
          </w:p>
        </w:tc>
        <w:tc>
          <w:tcPr>
            <w:tcW w:w="1060" w:type="dxa"/>
            <w:tcBorders>
              <w:top w:val="single" w:color="auto" w:sz="4" w:space="0"/>
              <w:left w:val="nil"/>
              <w:bottom w:val="single" w:color="auto" w:sz="4" w:space="0"/>
              <w:right w:val="single" w:color="auto" w:sz="4" w:space="0"/>
            </w:tcBorders>
            <w:shd w:val="clear" w:color="auto" w:fill="auto"/>
            <w:vAlign w:val="center"/>
          </w:tcPr>
          <w:p w14:paraId="0C8B6C2F">
            <w:pPr>
              <w:widowControl/>
              <w:spacing w:line="240" w:lineRule="auto"/>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合计（元）</w:t>
            </w:r>
          </w:p>
        </w:tc>
      </w:tr>
      <w:tr w14:paraId="3B57A3C8">
        <w:tblPrEx>
          <w:tblCellMar>
            <w:top w:w="0" w:type="dxa"/>
            <w:left w:w="108" w:type="dxa"/>
            <w:bottom w:w="0" w:type="dxa"/>
            <w:right w:w="108" w:type="dxa"/>
          </w:tblCellMar>
        </w:tblPrEx>
        <w:trPr>
          <w:trHeight w:val="562" w:hRule="atLeast"/>
          <w:jc w:val="center"/>
        </w:trPr>
        <w:tc>
          <w:tcPr>
            <w:tcW w:w="911" w:type="dxa"/>
            <w:tcBorders>
              <w:top w:val="nil"/>
              <w:left w:val="single" w:color="auto" w:sz="4" w:space="0"/>
              <w:bottom w:val="single" w:color="auto" w:sz="4" w:space="0"/>
              <w:right w:val="single" w:color="auto" w:sz="4" w:space="0"/>
            </w:tcBorders>
            <w:shd w:val="clear" w:color="auto" w:fill="auto"/>
            <w:noWrap/>
            <w:vAlign w:val="center"/>
          </w:tcPr>
          <w:p w14:paraId="4A6380D0">
            <w:pPr>
              <w:widowControl/>
              <w:spacing w:line="240" w:lineRule="auto"/>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1</w:t>
            </w:r>
          </w:p>
        </w:tc>
        <w:tc>
          <w:tcPr>
            <w:tcW w:w="4848" w:type="dxa"/>
            <w:tcBorders>
              <w:top w:val="nil"/>
              <w:left w:val="nil"/>
              <w:bottom w:val="single" w:color="auto" w:sz="4" w:space="0"/>
              <w:right w:val="single" w:color="auto" w:sz="4" w:space="0"/>
            </w:tcBorders>
            <w:shd w:val="clear" w:color="auto" w:fill="auto"/>
            <w:vAlign w:val="center"/>
          </w:tcPr>
          <w:p w14:paraId="6A275380">
            <w:pPr>
              <w:widowControl/>
              <w:spacing w:line="300" w:lineRule="auto"/>
              <w:rPr>
                <w:rFonts w:ascii="宋体" w:hAnsi="宋体" w:eastAsia="宋体" w:cs="宋体"/>
                <w:color w:val="000000"/>
                <w:kern w:val="0"/>
                <w:sz w:val="28"/>
                <w:szCs w:val="28"/>
              </w:rPr>
            </w:pPr>
            <w:r>
              <w:rPr>
                <w:rFonts w:hint="eastAsia" w:ascii="仿宋_GB2312" w:hAnsi="仿宋_GB2312" w:eastAsia="仿宋_GB2312" w:cs="仿宋_GB2312"/>
                <w:color w:val="000000"/>
                <w:kern w:val="0"/>
                <w:sz w:val="32"/>
                <w:szCs w:val="32"/>
              </w:rPr>
              <w:t>开展各类</w:t>
            </w:r>
            <w:r>
              <w:rPr>
                <w:rFonts w:hint="eastAsia" w:ascii="仿宋_GB2312" w:hAnsi="仿宋_GB2312" w:eastAsia="仿宋_GB2312" w:cs="仿宋_GB2312"/>
                <w:color w:val="000000"/>
                <w:kern w:val="0"/>
                <w:sz w:val="32"/>
                <w:szCs w:val="32"/>
                <w:lang w:val="en-US" w:eastAsia="zh-CN"/>
              </w:rPr>
              <w:t>救助对象抽样</w:t>
            </w:r>
            <w:r>
              <w:rPr>
                <w:rFonts w:hint="eastAsia" w:ascii="仿宋_GB2312" w:hAnsi="仿宋_GB2312" w:eastAsia="仿宋_GB2312" w:cs="仿宋_GB2312"/>
                <w:color w:val="000000"/>
                <w:kern w:val="0"/>
                <w:sz w:val="32"/>
                <w:szCs w:val="32"/>
              </w:rPr>
              <w:t>入户走访</w:t>
            </w:r>
            <w:r>
              <w:rPr>
                <w:rFonts w:hint="eastAsia" w:ascii="仿宋_GB2312" w:hAnsi="仿宋_GB2312" w:eastAsia="仿宋_GB2312" w:cs="仿宋_GB2312"/>
                <w:color w:val="000000"/>
                <w:kern w:val="0"/>
                <w:sz w:val="32"/>
                <w:szCs w:val="32"/>
                <w:lang w:val="en-US" w:eastAsia="zh-CN"/>
              </w:rPr>
              <w:t>家计调查</w:t>
            </w:r>
          </w:p>
        </w:tc>
        <w:tc>
          <w:tcPr>
            <w:tcW w:w="1191" w:type="dxa"/>
            <w:tcBorders>
              <w:top w:val="nil"/>
              <w:left w:val="nil"/>
              <w:bottom w:val="single" w:color="auto" w:sz="4" w:space="0"/>
              <w:right w:val="single" w:color="auto" w:sz="4" w:space="0"/>
            </w:tcBorders>
            <w:shd w:val="clear" w:color="auto" w:fill="auto"/>
            <w:vAlign w:val="center"/>
          </w:tcPr>
          <w:p w14:paraId="4FE6F6D7">
            <w:pPr>
              <w:widowControl/>
              <w:spacing w:line="240" w:lineRule="auto"/>
              <w:jc w:val="center"/>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lang w:val="en-US" w:eastAsia="zh-CN"/>
              </w:rPr>
              <w:t>300</w:t>
            </w:r>
            <w:r>
              <w:rPr>
                <w:rFonts w:ascii="Times New Roman" w:hAnsi="Times New Roman" w:eastAsia="宋体" w:cs="Times New Roman"/>
                <w:kern w:val="0"/>
                <w:sz w:val="28"/>
                <w:szCs w:val="28"/>
              </w:rPr>
              <w:t>户</w:t>
            </w:r>
          </w:p>
        </w:tc>
        <w:tc>
          <w:tcPr>
            <w:tcW w:w="1060" w:type="dxa"/>
            <w:tcBorders>
              <w:top w:val="nil"/>
              <w:left w:val="nil"/>
              <w:bottom w:val="single" w:color="auto" w:sz="4" w:space="0"/>
              <w:right w:val="single" w:color="auto" w:sz="4" w:space="0"/>
            </w:tcBorders>
            <w:shd w:val="clear" w:color="auto" w:fill="auto"/>
            <w:vAlign w:val="center"/>
          </w:tcPr>
          <w:p w14:paraId="34B36C96">
            <w:pPr>
              <w:widowControl/>
              <w:spacing w:line="240" w:lineRule="auto"/>
              <w:jc w:val="center"/>
              <w:rPr>
                <w:rFonts w:ascii="宋体" w:hAnsi="宋体" w:eastAsia="宋体" w:cs="宋体"/>
                <w:color w:val="000000"/>
                <w:kern w:val="0"/>
                <w:sz w:val="28"/>
                <w:szCs w:val="28"/>
              </w:rPr>
            </w:pPr>
          </w:p>
        </w:tc>
        <w:tc>
          <w:tcPr>
            <w:tcW w:w="1060" w:type="dxa"/>
            <w:tcBorders>
              <w:top w:val="nil"/>
              <w:left w:val="nil"/>
              <w:bottom w:val="single" w:color="auto" w:sz="4" w:space="0"/>
              <w:right w:val="single" w:color="auto" w:sz="4" w:space="0"/>
            </w:tcBorders>
            <w:shd w:val="clear" w:color="auto" w:fill="auto"/>
            <w:vAlign w:val="center"/>
          </w:tcPr>
          <w:p w14:paraId="70FE1DEA">
            <w:pPr>
              <w:widowControl/>
              <w:spacing w:line="240" w:lineRule="auto"/>
              <w:jc w:val="center"/>
              <w:rPr>
                <w:rFonts w:ascii="宋体" w:hAnsi="宋体" w:eastAsia="宋体" w:cs="宋体"/>
                <w:color w:val="000000"/>
                <w:kern w:val="0"/>
                <w:sz w:val="28"/>
                <w:szCs w:val="28"/>
              </w:rPr>
            </w:pPr>
          </w:p>
        </w:tc>
      </w:tr>
      <w:tr w14:paraId="0E212FBB">
        <w:tblPrEx>
          <w:tblCellMar>
            <w:top w:w="0" w:type="dxa"/>
            <w:left w:w="108" w:type="dxa"/>
            <w:bottom w:w="0" w:type="dxa"/>
            <w:right w:w="108" w:type="dxa"/>
          </w:tblCellMar>
        </w:tblPrEx>
        <w:trPr>
          <w:trHeight w:val="556" w:hRule="atLeast"/>
          <w:jc w:val="center"/>
        </w:trPr>
        <w:tc>
          <w:tcPr>
            <w:tcW w:w="911" w:type="dxa"/>
            <w:tcBorders>
              <w:top w:val="nil"/>
              <w:left w:val="single" w:color="auto" w:sz="4" w:space="0"/>
              <w:bottom w:val="single" w:color="auto" w:sz="4" w:space="0"/>
              <w:right w:val="single" w:color="auto" w:sz="4" w:space="0"/>
            </w:tcBorders>
            <w:shd w:val="clear" w:color="auto" w:fill="auto"/>
            <w:noWrap/>
            <w:vAlign w:val="center"/>
          </w:tcPr>
          <w:p w14:paraId="1783C4E0">
            <w:pPr>
              <w:widowControl/>
              <w:spacing w:line="240" w:lineRule="auto"/>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2</w:t>
            </w:r>
          </w:p>
        </w:tc>
        <w:tc>
          <w:tcPr>
            <w:tcW w:w="4848" w:type="dxa"/>
            <w:tcBorders>
              <w:top w:val="nil"/>
              <w:left w:val="nil"/>
              <w:bottom w:val="single" w:color="auto" w:sz="4" w:space="0"/>
              <w:right w:val="single" w:color="auto" w:sz="4" w:space="0"/>
            </w:tcBorders>
            <w:shd w:val="clear" w:color="auto" w:fill="auto"/>
            <w:vAlign w:val="center"/>
          </w:tcPr>
          <w:p w14:paraId="21023C98">
            <w:pPr>
              <w:widowControl/>
              <w:spacing w:line="300" w:lineRule="auto"/>
              <w:rPr>
                <w:rFonts w:ascii="宋体" w:hAnsi="宋体" w:eastAsia="宋体" w:cs="宋体"/>
                <w:color w:val="000000"/>
                <w:kern w:val="0"/>
                <w:sz w:val="28"/>
                <w:szCs w:val="28"/>
              </w:rPr>
            </w:pPr>
            <w:r>
              <w:rPr>
                <w:rFonts w:hint="eastAsia" w:ascii="Times New Roman" w:hAnsi="Times New Roman" w:eastAsia="仿宋_GB2312" w:cs="Times New Roman"/>
                <w:color w:val="000000"/>
                <w:sz w:val="32"/>
                <w:szCs w:val="32"/>
                <w:lang w:val="en-US" w:eastAsia="zh-CN"/>
              </w:rPr>
              <w:t>社会救助对象信息管理</w:t>
            </w:r>
          </w:p>
        </w:tc>
        <w:tc>
          <w:tcPr>
            <w:tcW w:w="1191" w:type="dxa"/>
            <w:tcBorders>
              <w:top w:val="nil"/>
              <w:left w:val="nil"/>
              <w:bottom w:val="single" w:color="auto" w:sz="4" w:space="0"/>
              <w:right w:val="single" w:color="auto" w:sz="4" w:space="0"/>
            </w:tcBorders>
            <w:shd w:val="clear" w:color="auto" w:fill="auto"/>
            <w:vAlign w:val="center"/>
          </w:tcPr>
          <w:p w14:paraId="2F200C0E">
            <w:pPr>
              <w:widowControl/>
              <w:spacing w:line="240" w:lineRule="auto"/>
              <w:jc w:val="center"/>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lang w:val="en-US" w:eastAsia="zh-CN"/>
              </w:rPr>
              <w:t>90</w:t>
            </w:r>
            <w:r>
              <w:rPr>
                <w:rFonts w:ascii="Times New Roman" w:hAnsi="Times New Roman" w:eastAsia="宋体" w:cs="Times New Roman"/>
                <w:kern w:val="0"/>
                <w:sz w:val="28"/>
                <w:szCs w:val="28"/>
              </w:rPr>
              <w:t>000人次</w:t>
            </w:r>
          </w:p>
        </w:tc>
        <w:tc>
          <w:tcPr>
            <w:tcW w:w="1060" w:type="dxa"/>
            <w:tcBorders>
              <w:top w:val="nil"/>
              <w:left w:val="nil"/>
              <w:bottom w:val="single" w:color="auto" w:sz="4" w:space="0"/>
              <w:right w:val="single" w:color="auto" w:sz="4" w:space="0"/>
            </w:tcBorders>
            <w:shd w:val="clear" w:color="auto" w:fill="auto"/>
            <w:vAlign w:val="center"/>
          </w:tcPr>
          <w:p w14:paraId="7302DFEB">
            <w:pPr>
              <w:widowControl/>
              <w:spacing w:line="240" w:lineRule="auto"/>
              <w:jc w:val="center"/>
              <w:rPr>
                <w:rFonts w:ascii="宋体" w:hAnsi="宋体" w:eastAsia="宋体" w:cs="宋体"/>
                <w:color w:val="000000"/>
                <w:kern w:val="0"/>
                <w:sz w:val="28"/>
                <w:szCs w:val="28"/>
              </w:rPr>
            </w:pPr>
          </w:p>
        </w:tc>
        <w:tc>
          <w:tcPr>
            <w:tcW w:w="1060" w:type="dxa"/>
            <w:tcBorders>
              <w:top w:val="nil"/>
              <w:left w:val="nil"/>
              <w:bottom w:val="single" w:color="auto" w:sz="4" w:space="0"/>
              <w:right w:val="single" w:color="auto" w:sz="4" w:space="0"/>
            </w:tcBorders>
            <w:shd w:val="clear" w:color="auto" w:fill="auto"/>
            <w:vAlign w:val="center"/>
          </w:tcPr>
          <w:p w14:paraId="2CAC9892">
            <w:pPr>
              <w:widowControl/>
              <w:spacing w:line="240" w:lineRule="auto"/>
              <w:jc w:val="center"/>
              <w:rPr>
                <w:rFonts w:ascii="宋体" w:hAnsi="宋体" w:eastAsia="宋体" w:cs="宋体"/>
                <w:color w:val="000000"/>
                <w:kern w:val="0"/>
                <w:sz w:val="28"/>
                <w:szCs w:val="28"/>
              </w:rPr>
            </w:pPr>
          </w:p>
        </w:tc>
      </w:tr>
      <w:tr w14:paraId="544272B7">
        <w:tblPrEx>
          <w:tblCellMar>
            <w:top w:w="0" w:type="dxa"/>
            <w:left w:w="108" w:type="dxa"/>
            <w:bottom w:w="0" w:type="dxa"/>
            <w:right w:w="108" w:type="dxa"/>
          </w:tblCellMar>
        </w:tblPrEx>
        <w:trPr>
          <w:trHeight w:val="550" w:hRule="atLeast"/>
          <w:jc w:val="center"/>
        </w:trPr>
        <w:tc>
          <w:tcPr>
            <w:tcW w:w="911" w:type="dxa"/>
            <w:tcBorders>
              <w:top w:val="nil"/>
              <w:left w:val="single" w:color="auto" w:sz="4" w:space="0"/>
              <w:bottom w:val="single" w:color="auto" w:sz="4" w:space="0"/>
              <w:right w:val="single" w:color="auto" w:sz="4" w:space="0"/>
            </w:tcBorders>
            <w:shd w:val="clear" w:color="auto" w:fill="auto"/>
            <w:noWrap/>
            <w:vAlign w:val="center"/>
          </w:tcPr>
          <w:p w14:paraId="508964D1">
            <w:pPr>
              <w:widowControl/>
              <w:spacing w:line="240" w:lineRule="auto"/>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3</w:t>
            </w:r>
          </w:p>
        </w:tc>
        <w:tc>
          <w:tcPr>
            <w:tcW w:w="4848" w:type="dxa"/>
            <w:tcBorders>
              <w:top w:val="nil"/>
              <w:left w:val="nil"/>
              <w:bottom w:val="single" w:color="auto" w:sz="4" w:space="0"/>
              <w:right w:val="single" w:color="auto" w:sz="4" w:space="0"/>
            </w:tcBorders>
            <w:shd w:val="clear" w:color="auto" w:fill="auto"/>
            <w:vAlign w:val="center"/>
          </w:tcPr>
          <w:p w14:paraId="141DF26D">
            <w:pPr>
              <w:widowControl/>
              <w:spacing w:line="300" w:lineRule="auto"/>
              <w:rPr>
                <w:rFonts w:ascii="宋体" w:hAnsi="宋体" w:eastAsia="宋体" w:cs="宋体"/>
                <w:color w:val="000000"/>
                <w:kern w:val="0"/>
                <w:sz w:val="28"/>
                <w:szCs w:val="28"/>
              </w:rPr>
            </w:pPr>
            <w:r>
              <w:rPr>
                <w:rFonts w:hint="eastAsia" w:ascii="Times New Roman" w:hAnsi="Times New Roman" w:eastAsia="仿宋_GB2312" w:cs="Times New Roman"/>
                <w:color w:val="000000"/>
                <w:sz w:val="32"/>
                <w:szCs w:val="32"/>
                <w:lang w:val="en-US" w:eastAsia="zh-CN"/>
              </w:rPr>
              <w:t>开展救助政策咨询答疑、</w:t>
            </w:r>
            <w:r>
              <w:rPr>
                <w:rFonts w:hint="default" w:ascii="Times New Roman" w:hAnsi="Times New Roman" w:eastAsia="仿宋_GB2312" w:cs="Times New Roman"/>
                <w:color w:val="000000"/>
                <w:sz w:val="32"/>
                <w:szCs w:val="32"/>
              </w:rPr>
              <w:t>成效回访</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满意度调查</w:t>
            </w:r>
            <w:r>
              <w:rPr>
                <w:rFonts w:hint="eastAsia" w:ascii="仿宋_GB2312" w:hAnsi="仿宋_GB2312" w:eastAsia="仿宋_GB2312" w:cs="仿宋_GB2312"/>
                <w:color w:val="000000"/>
                <w:kern w:val="0"/>
                <w:sz w:val="32"/>
                <w:szCs w:val="32"/>
              </w:rPr>
              <w:t>等</w:t>
            </w:r>
          </w:p>
        </w:tc>
        <w:tc>
          <w:tcPr>
            <w:tcW w:w="1191" w:type="dxa"/>
            <w:tcBorders>
              <w:top w:val="nil"/>
              <w:left w:val="nil"/>
              <w:bottom w:val="single" w:color="auto" w:sz="4" w:space="0"/>
              <w:right w:val="single" w:color="auto" w:sz="4" w:space="0"/>
            </w:tcBorders>
            <w:shd w:val="clear" w:color="auto" w:fill="auto"/>
            <w:vAlign w:val="center"/>
          </w:tcPr>
          <w:p w14:paraId="1C4E30C0">
            <w:pPr>
              <w:widowControl/>
              <w:spacing w:line="240" w:lineRule="auto"/>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1200宗</w:t>
            </w:r>
          </w:p>
        </w:tc>
        <w:tc>
          <w:tcPr>
            <w:tcW w:w="1060" w:type="dxa"/>
            <w:tcBorders>
              <w:top w:val="nil"/>
              <w:left w:val="nil"/>
              <w:bottom w:val="single" w:color="auto" w:sz="4" w:space="0"/>
              <w:right w:val="single" w:color="auto" w:sz="4" w:space="0"/>
            </w:tcBorders>
            <w:shd w:val="clear" w:color="auto" w:fill="auto"/>
            <w:vAlign w:val="center"/>
          </w:tcPr>
          <w:p w14:paraId="223C89A7">
            <w:pPr>
              <w:widowControl/>
              <w:spacing w:line="240" w:lineRule="auto"/>
              <w:jc w:val="center"/>
              <w:rPr>
                <w:rFonts w:hint="eastAsia" w:ascii="宋体" w:hAnsi="宋体" w:eastAsia="宋体" w:cs="宋体"/>
                <w:color w:val="000000"/>
                <w:kern w:val="0"/>
                <w:sz w:val="28"/>
                <w:szCs w:val="28"/>
                <w:lang w:val="en-US" w:eastAsia="zh-CN"/>
              </w:rPr>
            </w:pPr>
          </w:p>
        </w:tc>
        <w:tc>
          <w:tcPr>
            <w:tcW w:w="1060" w:type="dxa"/>
            <w:tcBorders>
              <w:top w:val="nil"/>
              <w:left w:val="nil"/>
              <w:bottom w:val="single" w:color="auto" w:sz="4" w:space="0"/>
              <w:right w:val="single" w:color="auto" w:sz="4" w:space="0"/>
            </w:tcBorders>
            <w:shd w:val="clear" w:color="auto" w:fill="auto"/>
            <w:vAlign w:val="center"/>
          </w:tcPr>
          <w:p w14:paraId="76FDD6BF">
            <w:pPr>
              <w:widowControl/>
              <w:spacing w:line="240" w:lineRule="auto"/>
              <w:jc w:val="center"/>
              <w:rPr>
                <w:rFonts w:ascii="宋体" w:hAnsi="宋体" w:eastAsia="宋体" w:cs="宋体"/>
                <w:color w:val="000000"/>
                <w:kern w:val="0"/>
                <w:sz w:val="28"/>
                <w:szCs w:val="28"/>
              </w:rPr>
            </w:pPr>
          </w:p>
        </w:tc>
      </w:tr>
      <w:tr w14:paraId="771737AE">
        <w:tblPrEx>
          <w:tblCellMar>
            <w:top w:w="0" w:type="dxa"/>
            <w:left w:w="108" w:type="dxa"/>
            <w:bottom w:w="0" w:type="dxa"/>
            <w:right w:w="108" w:type="dxa"/>
          </w:tblCellMar>
        </w:tblPrEx>
        <w:trPr>
          <w:trHeight w:val="558" w:hRule="atLeast"/>
          <w:jc w:val="center"/>
        </w:trPr>
        <w:tc>
          <w:tcPr>
            <w:tcW w:w="911" w:type="dxa"/>
            <w:tcBorders>
              <w:top w:val="nil"/>
              <w:left w:val="single" w:color="auto" w:sz="4" w:space="0"/>
              <w:bottom w:val="single" w:color="auto" w:sz="4" w:space="0"/>
              <w:right w:val="single" w:color="auto" w:sz="4" w:space="0"/>
            </w:tcBorders>
            <w:shd w:val="clear" w:color="auto" w:fill="auto"/>
            <w:noWrap/>
            <w:vAlign w:val="center"/>
          </w:tcPr>
          <w:p w14:paraId="0D142720">
            <w:pPr>
              <w:widowControl/>
              <w:spacing w:line="240" w:lineRule="auto"/>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4</w:t>
            </w:r>
          </w:p>
        </w:tc>
        <w:tc>
          <w:tcPr>
            <w:tcW w:w="4848" w:type="dxa"/>
            <w:tcBorders>
              <w:top w:val="nil"/>
              <w:left w:val="nil"/>
              <w:bottom w:val="single" w:color="auto" w:sz="4" w:space="0"/>
              <w:right w:val="single" w:color="auto" w:sz="4" w:space="0"/>
            </w:tcBorders>
            <w:shd w:val="clear" w:color="auto" w:fill="auto"/>
            <w:vAlign w:val="center"/>
          </w:tcPr>
          <w:p w14:paraId="7F53D47D">
            <w:pPr>
              <w:widowControl/>
              <w:spacing w:line="300" w:lineRule="auto"/>
              <w:rPr>
                <w:rFonts w:ascii="宋体" w:hAnsi="宋体" w:eastAsia="宋体" w:cs="宋体"/>
                <w:color w:val="000000"/>
                <w:kern w:val="0"/>
                <w:sz w:val="28"/>
                <w:szCs w:val="28"/>
              </w:rPr>
            </w:pPr>
            <w:r>
              <w:rPr>
                <w:rFonts w:hint="eastAsia" w:ascii="仿宋_GB2312" w:hAnsi="仿宋_GB2312" w:eastAsia="仿宋_GB2312" w:cs="仿宋_GB2312"/>
                <w:color w:val="000000"/>
                <w:kern w:val="0"/>
                <w:sz w:val="32"/>
                <w:szCs w:val="32"/>
                <w:lang w:val="en-US" w:eastAsia="zh-CN"/>
              </w:rPr>
              <w:t>帮助社会救助对象</w:t>
            </w:r>
            <w:r>
              <w:rPr>
                <w:rFonts w:hint="eastAsia" w:ascii="仿宋_GB2312" w:hAnsi="仿宋_GB2312" w:eastAsia="仿宋_GB2312" w:cs="仿宋_GB2312"/>
                <w:color w:val="000000"/>
                <w:kern w:val="0"/>
                <w:sz w:val="32"/>
                <w:szCs w:val="32"/>
              </w:rPr>
              <w:t>组织材料申请医疗、助学等慈善帮扶</w:t>
            </w:r>
          </w:p>
        </w:tc>
        <w:tc>
          <w:tcPr>
            <w:tcW w:w="1191" w:type="dxa"/>
            <w:tcBorders>
              <w:top w:val="nil"/>
              <w:left w:val="nil"/>
              <w:bottom w:val="single" w:color="auto" w:sz="4" w:space="0"/>
              <w:right w:val="single" w:color="auto" w:sz="4" w:space="0"/>
            </w:tcBorders>
            <w:shd w:val="clear" w:color="auto" w:fill="auto"/>
            <w:vAlign w:val="center"/>
          </w:tcPr>
          <w:p w14:paraId="447B7413">
            <w:pPr>
              <w:widowControl/>
              <w:spacing w:line="240" w:lineRule="auto"/>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1650人次</w:t>
            </w:r>
          </w:p>
        </w:tc>
        <w:tc>
          <w:tcPr>
            <w:tcW w:w="1060" w:type="dxa"/>
            <w:tcBorders>
              <w:top w:val="nil"/>
              <w:left w:val="nil"/>
              <w:bottom w:val="single" w:color="auto" w:sz="4" w:space="0"/>
              <w:right w:val="single" w:color="auto" w:sz="4" w:space="0"/>
            </w:tcBorders>
            <w:shd w:val="clear" w:color="auto" w:fill="auto"/>
            <w:vAlign w:val="center"/>
          </w:tcPr>
          <w:p w14:paraId="1676EC75">
            <w:pPr>
              <w:widowControl/>
              <w:spacing w:line="240" w:lineRule="auto"/>
              <w:jc w:val="center"/>
              <w:rPr>
                <w:rFonts w:ascii="宋体" w:hAnsi="宋体" w:eastAsia="宋体" w:cs="宋体"/>
                <w:color w:val="000000"/>
                <w:kern w:val="0"/>
                <w:sz w:val="28"/>
                <w:szCs w:val="28"/>
              </w:rPr>
            </w:pPr>
          </w:p>
        </w:tc>
        <w:tc>
          <w:tcPr>
            <w:tcW w:w="1060" w:type="dxa"/>
            <w:tcBorders>
              <w:top w:val="nil"/>
              <w:left w:val="nil"/>
              <w:bottom w:val="single" w:color="auto" w:sz="4" w:space="0"/>
              <w:right w:val="single" w:color="auto" w:sz="4" w:space="0"/>
            </w:tcBorders>
            <w:shd w:val="clear" w:color="auto" w:fill="auto"/>
            <w:vAlign w:val="center"/>
          </w:tcPr>
          <w:p w14:paraId="32F4AC0F">
            <w:pPr>
              <w:widowControl/>
              <w:spacing w:line="240" w:lineRule="auto"/>
              <w:jc w:val="center"/>
              <w:rPr>
                <w:rFonts w:ascii="宋体" w:hAnsi="宋体" w:eastAsia="宋体" w:cs="宋体"/>
                <w:color w:val="000000"/>
                <w:kern w:val="0"/>
                <w:sz w:val="28"/>
                <w:szCs w:val="28"/>
              </w:rPr>
            </w:pPr>
          </w:p>
        </w:tc>
      </w:tr>
      <w:tr w14:paraId="57285B43">
        <w:tblPrEx>
          <w:tblCellMar>
            <w:top w:w="0" w:type="dxa"/>
            <w:left w:w="108" w:type="dxa"/>
            <w:bottom w:w="0" w:type="dxa"/>
            <w:right w:w="108" w:type="dxa"/>
          </w:tblCellMar>
        </w:tblPrEx>
        <w:trPr>
          <w:trHeight w:val="552" w:hRule="atLeast"/>
          <w:jc w:val="center"/>
        </w:trPr>
        <w:tc>
          <w:tcPr>
            <w:tcW w:w="911" w:type="dxa"/>
            <w:tcBorders>
              <w:top w:val="nil"/>
              <w:left w:val="single" w:color="auto" w:sz="4" w:space="0"/>
              <w:bottom w:val="single" w:color="auto" w:sz="4" w:space="0"/>
              <w:right w:val="single" w:color="auto" w:sz="4" w:space="0"/>
            </w:tcBorders>
            <w:shd w:val="clear" w:color="auto" w:fill="auto"/>
            <w:noWrap/>
            <w:vAlign w:val="center"/>
          </w:tcPr>
          <w:p w14:paraId="14FE4B83">
            <w:pPr>
              <w:widowControl/>
              <w:spacing w:line="240" w:lineRule="auto"/>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5</w:t>
            </w:r>
          </w:p>
        </w:tc>
        <w:tc>
          <w:tcPr>
            <w:tcW w:w="4848" w:type="dxa"/>
            <w:tcBorders>
              <w:top w:val="nil"/>
              <w:left w:val="nil"/>
              <w:bottom w:val="single" w:color="auto" w:sz="4" w:space="0"/>
              <w:right w:val="single" w:color="auto" w:sz="4" w:space="0"/>
            </w:tcBorders>
            <w:shd w:val="clear" w:color="auto" w:fill="auto"/>
            <w:vAlign w:val="center"/>
          </w:tcPr>
          <w:p w14:paraId="7AE0B43C">
            <w:pPr>
              <w:widowControl/>
              <w:spacing w:line="300" w:lineRule="auto"/>
              <w:rPr>
                <w:rFonts w:ascii="宋体" w:hAnsi="宋体" w:eastAsia="宋体" w:cs="宋体"/>
                <w:color w:val="000000"/>
                <w:kern w:val="0"/>
                <w:sz w:val="28"/>
                <w:szCs w:val="28"/>
              </w:rPr>
            </w:pPr>
            <w:r>
              <w:rPr>
                <w:rFonts w:hint="eastAsia" w:ascii="仿宋_GB2312" w:hAnsi="仿宋_GB2312" w:eastAsia="仿宋_GB2312" w:cs="仿宋_GB2312"/>
                <w:color w:val="000000"/>
                <w:kern w:val="0"/>
                <w:sz w:val="32"/>
                <w:szCs w:val="32"/>
              </w:rPr>
              <w:t>收集并统计比对困难群众信息化医疗费用发生数据</w:t>
            </w:r>
            <w:r>
              <w:rPr>
                <w:rFonts w:hint="eastAsia" w:ascii="仿宋_GB2312" w:hAnsi="仿宋_GB2312" w:eastAsia="仿宋_GB2312" w:cs="仿宋_GB2312"/>
                <w:color w:val="000000"/>
                <w:kern w:val="0"/>
                <w:sz w:val="32"/>
                <w:szCs w:val="32"/>
                <w:lang w:eastAsia="zh-CN"/>
              </w:rPr>
              <w:t>，</w:t>
            </w:r>
            <w:r>
              <w:rPr>
                <w:rFonts w:hint="eastAsia" w:eastAsia="仿宋_GB2312"/>
                <w:b w:val="0"/>
                <w:bCs w:val="0"/>
                <w:sz w:val="32"/>
                <w:szCs w:val="32"/>
                <w:lang w:val="en-US" w:eastAsia="zh-CN"/>
              </w:rPr>
              <w:t>排查患病社会救助对象</w:t>
            </w:r>
          </w:p>
        </w:tc>
        <w:tc>
          <w:tcPr>
            <w:tcW w:w="1191" w:type="dxa"/>
            <w:tcBorders>
              <w:top w:val="nil"/>
              <w:left w:val="nil"/>
              <w:bottom w:val="single" w:color="auto" w:sz="4" w:space="0"/>
              <w:right w:val="single" w:color="auto" w:sz="4" w:space="0"/>
            </w:tcBorders>
            <w:shd w:val="clear" w:color="auto" w:fill="auto"/>
            <w:vAlign w:val="center"/>
          </w:tcPr>
          <w:p w14:paraId="26E25EA6">
            <w:pPr>
              <w:widowControl/>
              <w:spacing w:line="240" w:lineRule="auto"/>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120000条</w:t>
            </w:r>
          </w:p>
        </w:tc>
        <w:tc>
          <w:tcPr>
            <w:tcW w:w="1060" w:type="dxa"/>
            <w:tcBorders>
              <w:top w:val="nil"/>
              <w:left w:val="nil"/>
              <w:bottom w:val="single" w:color="auto" w:sz="4" w:space="0"/>
              <w:right w:val="single" w:color="auto" w:sz="4" w:space="0"/>
            </w:tcBorders>
            <w:shd w:val="clear" w:color="auto" w:fill="auto"/>
            <w:vAlign w:val="center"/>
          </w:tcPr>
          <w:p w14:paraId="2D6A42F3">
            <w:pPr>
              <w:widowControl/>
              <w:spacing w:line="240" w:lineRule="auto"/>
              <w:jc w:val="center"/>
              <w:rPr>
                <w:rFonts w:ascii="宋体" w:hAnsi="宋体" w:eastAsia="宋体" w:cs="宋体"/>
                <w:color w:val="000000"/>
                <w:kern w:val="0"/>
                <w:sz w:val="28"/>
                <w:szCs w:val="28"/>
              </w:rPr>
            </w:pPr>
          </w:p>
        </w:tc>
        <w:tc>
          <w:tcPr>
            <w:tcW w:w="1060" w:type="dxa"/>
            <w:tcBorders>
              <w:top w:val="nil"/>
              <w:left w:val="nil"/>
              <w:bottom w:val="single" w:color="auto" w:sz="4" w:space="0"/>
              <w:right w:val="single" w:color="auto" w:sz="4" w:space="0"/>
            </w:tcBorders>
            <w:shd w:val="clear" w:color="auto" w:fill="auto"/>
            <w:vAlign w:val="center"/>
          </w:tcPr>
          <w:p w14:paraId="0B78EBFE">
            <w:pPr>
              <w:widowControl/>
              <w:spacing w:line="240" w:lineRule="auto"/>
              <w:jc w:val="center"/>
              <w:rPr>
                <w:rFonts w:ascii="宋体" w:hAnsi="宋体" w:eastAsia="宋体" w:cs="宋体"/>
                <w:color w:val="000000"/>
                <w:kern w:val="0"/>
                <w:sz w:val="28"/>
                <w:szCs w:val="28"/>
              </w:rPr>
            </w:pPr>
          </w:p>
        </w:tc>
      </w:tr>
      <w:tr w14:paraId="379AA7C5">
        <w:tblPrEx>
          <w:tblCellMar>
            <w:top w:w="0" w:type="dxa"/>
            <w:left w:w="108" w:type="dxa"/>
            <w:bottom w:w="0" w:type="dxa"/>
            <w:right w:w="108" w:type="dxa"/>
          </w:tblCellMar>
        </w:tblPrEx>
        <w:trPr>
          <w:trHeight w:val="574" w:hRule="atLeast"/>
          <w:jc w:val="center"/>
        </w:trPr>
        <w:tc>
          <w:tcPr>
            <w:tcW w:w="911" w:type="dxa"/>
            <w:tcBorders>
              <w:top w:val="nil"/>
              <w:left w:val="single" w:color="auto" w:sz="4" w:space="0"/>
              <w:bottom w:val="single" w:color="auto" w:sz="4" w:space="0"/>
              <w:right w:val="single" w:color="auto" w:sz="4" w:space="0"/>
            </w:tcBorders>
            <w:shd w:val="clear" w:color="auto" w:fill="auto"/>
            <w:noWrap/>
            <w:vAlign w:val="center"/>
          </w:tcPr>
          <w:p w14:paraId="78EF230F">
            <w:pPr>
              <w:widowControl/>
              <w:spacing w:line="240" w:lineRule="auto"/>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6</w:t>
            </w:r>
          </w:p>
        </w:tc>
        <w:tc>
          <w:tcPr>
            <w:tcW w:w="4848" w:type="dxa"/>
            <w:tcBorders>
              <w:top w:val="nil"/>
              <w:left w:val="nil"/>
              <w:bottom w:val="single" w:color="auto" w:sz="4" w:space="0"/>
              <w:right w:val="single" w:color="auto" w:sz="4" w:space="0"/>
            </w:tcBorders>
            <w:shd w:val="clear" w:color="auto" w:fill="auto"/>
            <w:vAlign w:val="center"/>
          </w:tcPr>
          <w:p w14:paraId="4B9D9F60">
            <w:pPr>
              <w:widowControl/>
              <w:spacing w:line="300" w:lineRule="auto"/>
              <w:rPr>
                <w:rFonts w:ascii="宋体" w:hAnsi="宋体" w:eastAsia="宋体" w:cs="宋体"/>
                <w:color w:val="000000"/>
                <w:kern w:val="0"/>
                <w:sz w:val="28"/>
                <w:szCs w:val="28"/>
              </w:rPr>
            </w:pPr>
            <w:r>
              <w:rPr>
                <w:rFonts w:hint="eastAsia" w:ascii="仿宋_GB2312" w:hAnsi="仿宋_GB2312" w:eastAsia="仿宋_GB2312" w:cs="仿宋_GB2312"/>
                <w:color w:val="000000"/>
                <w:kern w:val="0"/>
                <w:sz w:val="32"/>
                <w:szCs w:val="32"/>
              </w:rPr>
              <w:t>对接社会帮扶物资并按需配送给困难群众</w:t>
            </w:r>
          </w:p>
        </w:tc>
        <w:tc>
          <w:tcPr>
            <w:tcW w:w="1191" w:type="dxa"/>
            <w:tcBorders>
              <w:top w:val="nil"/>
              <w:left w:val="nil"/>
              <w:bottom w:val="single" w:color="auto" w:sz="4" w:space="0"/>
              <w:right w:val="single" w:color="auto" w:sz="4" w:space="0"/>
            </w:tcBorders>
            <w:shd w:val="clear" w:color="auto" w:fill="auto"/>
            <w:vAlign w:val="center"/>
          </w:tcPr>
          <w:p w14:paraId="094079D4">
            <w:pPr>
              <w:widowControl/>
              <w:spacing w:line="240" w:lineRule="auto"/>
              <w:jc w:val="center"/>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12000件</w:t>
            </w:r>
          </w:p>
        </w:tc>
        <w:tc>
          <w:tcPr>
            <w:tcW w:w="1060" w:type="dxa"/>
            <w:tcBorders>
              <w:top w:val="nil"/>
              <w:left w:val="nil"/>
              <w:bottom w:val="single" w:color="auto" w:sz="4" w:space="0"/>
              <w:right w:val="single" w:color="auto" w:sz="4" w:space="0"/>
            </w:tcBorders>
            <w:shd w:val="clear" w:color="auto" w:fill="auto"/>
            <w:vAlign w:val="center"/>
          </w:tcPr>
          <w:p w14:paraId="4B36C28D">
            <w:pPr>
              <w:widowControl/>
              <w:spacing w:line="240" w:lineRule="auto"/>
              <w:jc w:val="center"/>
              <w:rPr>
                <w:rFonts w:ascii="宋体" w:hAnsi="宋体" w:eastAsia="宋体" w:cs="宋体"/>
                <w:color w:val="000000"/>
                <w:kern w:val="0"/>
                <w:sz w:val="28"/>
                <w:szCs w:val="28"/>
              </w:rPr>
            </w:pPr>
          </w:p>
        </w:tc>
        <w:tc>
          <w:tcPr>
            <w:tcW w:w="1060" w:type="dxa"/>
            <w:tcBorders>
              <w:top w:val="nil"/>
              <w:left w:val="nil"/>
              <w:bottom w:val="single" w:color="auto" w:sz="4" w:space="0"/>
              <w:right w:val="single" w:color="auto" w:sz="4" w:space="0"/>
            </w:tcBorders>
            <w:shd w:val="clear" w:color="auto" w:fill="auto"/>
            <w:vAlign w:val="center"/>
          </w:tcPr>
          <w:p w14:paraId="70E7B8DA">
            <w:pPr>
              <w:widowControl/>
              <w:spacing w:line="240" w:lineRule="auto"/>
              <w:jc w:val="center"/>
              <w:rPr>
                <w:rFonts w:ascii="宋体" w:hAnsi="宋体" w:eastAsia="宋体" w:cs="宋体"/>
                <w:color w:val="000000"/>
                <w:kern w:val="0"/>
                <w:sz w:val="28"/>
                <w:szCs w:val="28"/>
              </w:rPr>
            </w:pPr>
          </w:p>
        </w:tc>
      </w:tr>
      <w:tr w14:paraId="7262203A">
        <w:tblPrEx>
          <w:tblCellMar>
            <w:top w:w="0" w:type="dxa"/>
            <w:left w:w="108" w:type="dxa"/>
            <w:bottom w:w="0" w:type="dxa"/>
            <w:right w:w="108" w:type="dxa"/>
          </w:tblCellMar>
        </w:tblPrEx>
        <w:trPr>
          <w:trHeight w:val="636" w:hRule="atLeast"/>
          <w:jc w:val="center"/>
        </w:trPr>
        <w:tc>
          <w:tcPr>
            <w:tcW w:w="911" w:type="dxa"/>
            <w:tcBorders>
              <w:top w:val="nil"/>
              <w:left w:val="single" w:color="auto" w:sz="4" w:space="0"/>
              <w:bottom w:val="single" w:color="auto" w:sz="4" w:space="0"/>
              <w:right w:val="single" w:color="auto" w:sz="4" w:space="0"/>
            </w:tcBorders>
            <w:shd w:val="clear" w:color="auto" w:fill="auto"/>
            <w:noWrap/>
            <w:vAlign w:val="center"/>
          </w:tcPr>
          <w:p w14:paraId="2487DEF1">
            <w:pPr>
              <w:widowControl/>
              <w:spacing w:line="240" w:lineRule="auto"/>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c>
          <w:tcPr>
            <w:tcW w:w="6039" w:type="dxa"/>
            <w:gridSpan w:val="2"/>
            <w:tcBorders>
              <w:top w:val="single" w:color="auto" w:sz="4" w:space="0"/>
              <w:left w:val="nil"/>
              <w:bottom w:val="single" w:color="auto" w:sz="4" w:space="0"/>
              <w:right w:val="single" w:color="auto" w:sz="4" w:space="0"/>
            </w:tcBorders>
            <w:shd w:val="clear" w:color="auto" w:fill="auto"/>
            <w:vAlign w:val="center"/>
          </w:tcPr>
          <w:p w14:paraId="327406F8">
            <w:pPr>
              <w:widowControl/>
              <w:spacing w:line="240" w:lineRule="auto"/>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总计：（元）</w:t>
            </w:r>
          </w:p>
        </w:tc>
        <w:tc>
          <w:tcPr>
            <w:tcW w:w="2120" w:type="dxa"/>
            <w:gridSpan w:val="2"/>
            <w:tcBorders>
              <w:top w:val="single" w:color="auto" w:sz="4" w:space="0"/>
              <w:left w:val="nil"/>
              <w:bottom w:val="single" w:color="auto" w:sz="4" w:space="0"/>
              <w:right w:val="single" w:color="000000" w:sz="4" w:space="0"/>
            </w:tcBorders>
            <w:shd w:val="clear" w:color="auto" w:fill="auto"/>
            <w:vAlign w:val="center"/>
          </w:tcPr>
          <w:p w14:paraId="2353D8BC">
            <w:pPr>
              <w:widowControl/>
              <w:spacing w:line="240" w:lineRule="auto"/>
              <w:jc w:val="center"/>
              <w:rPr>
                <w:rFonts w:ascii="宋体" w:hAnsi="宋体" w:eastAsia="宋体" w:cs="宋体"/>
                <w:b/>
                <w:bCs/>
                <w:color w:val="000000"/>
                <w:kern w:val="0"/>
                <w:sz w:val="28"/>
                <w:szCs w:val="28"/>
              </w:rPr>
            </w:pPr>
          </w:p>
        </w:tc>
      </w:tr>
    </w:tbl>
    <w:p w14:paraId="41B8085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三、项目经费及拨付方式</w:t>
      </w:r>
    </w:p>
    <w:p w14:paraId="5E82FB58">
      <w:pPr>
        <w:keepNext w:val="0"/>
        <w:keepLines w:val="0"/>
        <w:pageBreakBefore w:val="0"/>
        <w:numPr>
          <w:ilvl w:val="0"/>
          <w:numId w:val="2"/>
        </w:numPr>
        <w:tabs>
          <w:tab w:val="left" w:pos="731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color w:val="auto"/>
          <w:kern w:val="28"/>
          <w:sz w:val="32"/>
          <w:szCs w:val="32"/>
        </w:rPr>
      </w:pPr>
      <w:r>
        <w:rPr>
          <w:rFonts w:hint="default" w:ascii="Times New Roman" w:hAnsi="Times New Roman" w:eastAsia="楷体_GB2312" w:cs="Times New Roman"/>
          <w:b w:val="0"/>
          <w:bCs/>
          <w:color w:val="auto"/>
          <w:kern w:val="28"/>
          <w:sz w:val="32"/>
          <w:szCs w:val="32"/>
        </w:rPr>
        <w:t>项目经费</w:t>
      </w:r>
      <w:r>
        <w:rPr>
          <w:rFonts w:hint="default" w:ascii="Times New Roman" w:hAnsi="Times New Roman" w:eastAsia="仿宋_GB2312" w:cs="Times New Roman"/>
          <w:b/>
          <w:color w:val="auto"/>
          <w:kern w:val="28"/>
          <w:sz w:val="32"/>
          <w:szCs w:val="32"/>
          <w:lang w:eastAsia="zh-CN"/>
        </w:rPr>
        <w:tab/>
      </w:r>
    </w:p>
    <w:p w14:paraId="01BC9A49">
      <w:pPr>
        <w:pStyle w:val="2"/>
        <w:keepNext w:val="0"/>
        <w:keepLines w:val="0"/>
        <w:pageBreakBefore w:val="0"/>
        <w:kinsoku/>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项目经费合计人民币</w:t>
      </w:r>
      <w:r>
        <w:rPr>
          <w:rFonts w:hint="default" w:ascii="Times New Roman" w:hAnsi="Times New Roman" w:eastAsia="仿宋_GB2312" w:cs="Times New Roman"/>
          <w:color w:val="auto"/>
          <w:sz w:val="32"/>
          <w:szCs w:val="32"/>
          <w:highlight w:val="none"/>
        </w:rPr>
        <w:t>￥</w:t>
      </w:r>
      <w:r>
        <w:rPr>
          <w:rFonts w:hint="default" w:ascii="Times New Roman" w:hAnsi="Times New Roman" w:eastAsia="宋体" w:cs="Times New Roman"/>
          <w:color w:val="auto"/>
          <w:sz w:val="28"/>
          <w:szCs w:val="28"/>
          <w:lang w:val="en-US" w:eastAsia="zh-CN"/>
        </w:rPr>
        <w:t>______</w:t>
      </w:r>
      <w:r>
        <w:rPr>
          <w:rFonts w:hint="default" w:ascii="Times New Roman" w:hAnsi="Times New Roman" w:eastAsia="仿宋_GB2312" w:cs="Times New Roman"/>
          <w:color w:val="auto"/>
          <w:sz w:val="28"/>
          <w:szCs w:val="28"/>
        </w:rPr>
        <w:t>元</w:t>
      </w:r>
      <w:r>
        <w:rPr>
          <w:rFonts w:hint="default" w:ascii="Times New Roman" w:hAnsi="Times New Roman" w:eastAsia="仿宋_GB2312" w:cs="Times New Roman"/>
          <w:color w:val="auto"/>
          <w:sz w:val="32"/>
          <w:szCs w:val="32"/>
        </w:rPr>
        <w:t>（大写：</w:t>
      </w:r>
      <w:r>
        <w:rPr>
          <w:rFonts w:hint="default" w:ascii="Times New Roman" w:hAnsi="Times New Roman" w:eastAsia="宋体" w:cs="Times New Roman"/>
          <w:color w:val="auto"/>
          <w:sz w:val="28"/>
          <w:szCs w:val="28"/>
          <w:lang w:val="en-US" w:eastAsia="zh-CN"/>
        </w:rPr>
        <w:t>______</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含税）</w:t>
      </w:r>
    </w:p>
    <w:p w14:paraId="2B56FCA2">
      <w:pPr>
        <w:keepNext w:val="0"/>
        <w:keepLines w:val="0"/>
        <w:pageBreakBefore w:val="0"/>
        <w:numPr>
          <w:ilvl w:val="0"/>
          <w:numId w:val="2"/>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color w:val="auto"/>
          <w:kern w:val="28"/>
          <w:sz w:val="32"/>
          <w:szCs w:val="32"/>
        </w:rPr>
      </w:pPr>
      <w:r>
        <w:rPr>
          <w:rFonts w:hint="default" w:ascii="Times New Roman" w:hAnsi="Times New Roman" w:eastAsia="楷体_GB2312" w:cs="Times New Roman"/>
          <w:b w:val="0"/>
          <w:bCs/>
          <w:color w:val="auto"/>
          <w:kern w:val="28"/>
          <w:sz w:val="32"/>
          <w:szCs w:val="32"/>
        </w:rPr>
        <w:t>支付方式</w:t>
      </w:r>
    </w:p>
    <w:p w14:paraId="5C2CB5F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经费分</w:t>
      </w:r>
      <w:r>
        <w:rPr>
          <w:rFonts w:hint="eastAsia"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rPr>
        <w:t>期支付：</w:t>
      </w:r>
    </w:p>
    <w:p w14:paraId="6A0BA3D7">
      <w:pPr>
        <w:pStyle w:val="2"/>
        <w:keepNext w:val="0"/>
        <w:keepLines w:val="0"/>
        <w:pageBreakBefore w:val="0"/>
        <w:kinsoku/>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第一期：双方签署</w:t>
      </w:r>
      <w:r>
        <w:rPr>
          <w:rFonts w:hint="default" w:ascii="Times New Roman" w:hAnsi="Times New Roman" w:eastAsia="仿宋_GB2312" w:cs="Times New Roman"/>
          <w:color w:val="auto"/>
          <w:sz w:val="32"/>
          <w:szCs w:val="32"/>
          <w:lang w:val="en-US" w:eastAsia="zh-CN"/>
        </w:rPr>
        <w:t>本合同</w:t>
      </w:r>
      <w:r>
        <w:rPr>
          <w:rFonts w:hint="default" w:ascii="Times New Roman" w:hAnsi="Times New Roman" w:eastAsia="仿宋_GB2312" w:cs="Times New Roman"/>
          <w:color w:val="auto"/>
          <w:sz w:val="32"/>
          <w:szCs w:val="32"/>
        </w:rPr>
        <w:t>后，甲方收到乙方开具</w:t>
      </w:r>
      <w:r>
        <w:rPr>
          <w:rFonts w:hint="default" w:ascii="Times New Roman" w:hAnsi="Times New Roman" w:eastAsia="仿宋_GB2312" w:cs="Times New Roman"/>
          <w:color w:val="auto"/>
          <w:sz w:val="32"/>
          <w:szCs w:val="32"/>
          <w:lang w:val="en-US" w:eastAsia="zh-Hans"/>
        </w:rPr>
        <w:t>的</w:t>
      </w:r>
      <w:r>
        <w:rPr>
          <w:rFonts w:hint="default" w:ascii="Times New Roman" w:hAnsi="Times New Roman" w:eastAsia="仿宋_GB2312" w:cs="Times New Roman"/>
          <w:color w:val="auto"/>
          <w:sz w:val="32"/>
          <w:szCs w:val="32"/>
        </w:rPr>
        <w:t>有效发票后，在15个工作日内向乙方支付合同总金额的30%</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highlight w:val="none"/>
        </w:rPr>
        <w:t>人民币￥______元，大写</w:t>
      </w:r>
      <w:r>
        <w:rPr>
          <w:rFonts w:hint="default" w:ascii="Times New Roman" w:hAnsi="Times New Roman" w:eastAsia="仿宋_GB2312" w:cs="Times New Roman"/>
          <w:color w:val="auto"/>
          <w:sz w:val="32"/>
          <w:szCs w:val="32"/>
          <w:highlight w:val="none"/>
          <w:lang w:eastAsia="zh-CN"/>
        </w:rPr>
        <w:t>：_</w:t>
      </w:r>
      <w:r>
        <w:rPr>
          <w:rFonts w:hint="default" w:ascii="Times New Roman" w:hAnsi="Times New Roman" w:eastAsia="仿宋_GB2312" w:cs="Times New Roman"/>
          <w:color w:val="auto"/>
          <w:sz w:val="32"/>
          <w:szCs w:val="32"/>
          <w:highlight w:val="none"/>
        </w:rPr>
        <w:t>_____。</w:t>
      </w:r>
    </w:p>
    <w:p w14:paraId="71400A0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第二期：</w:t>
      </w:r>
      <w:r>
        <w:rPr>
          <w:rFonts w:hint="eastAsia" w:ascii="Times New Roman" w:hAnsi="Times New Roman" w:eastAsia="仿宋_GB2312" w:cs="Times New Roman"/>
          <w:color w:val="auto"/>
          <w:sz w:val="32"/>
          <w:szCs w:val="32"/>
          <w:highlight w:val="none"/>
          <w:lang w:val="en-US" w:eastAsia="zh-CN"/>
        </w:rPr>
        <w:t>当乙方完成50%的项目指标</w:t>
      </w:r>
      <w:r>
        <w:rPr>
          <w:rFonts w:hint="default" w:ascii="Times New Roman" w:hAnsi="Times New Roman" w:eastAsia="仿宋_GB2312" w:cs="Times New Roman"/>
          <w:color w:val="auto"/>
          <w:sz w:val="32"/>
          <w:szCs w:val="32"/>
          <w:highlight w:val="none"/>
          <w:lang w:val="en-US" w:eastAsia="zh-CN"/>
        </w:rPr>
        <w:t>，并通过甲方阶段验收后，</w:t>
      </w:r>
      <w:r>
        <w:rPr>
          <w:rFonts w:hint="default" w:ascii="Times New Roman" w:hAnsi="Times New Roman" w:eastAsia="仿宋_GB2312" w:cs="Times New Roman"/>
          <w:color w:val="auto"/>
          <w:sz w:val="32"/>
          <w:szCs w:val="32"/>
          <w:highlight w:val="none"/>
        </w:rPr>
        <w:t>甲方收到乙方开具</w:t>
      </w:r>
      <w:r>
        <w:rPr>
          <w:rFonts w:hint="default" w:ascii="Times New Roman" w:hAnsi="Times New Roman" w:eastAsia="仿宋_GB2312" w:cs="Times New Roman"/>
          <w:color w:val="auto"/>
          <w:sz w:val="32"/>
          <w:szCs w:val="32"/>
          <w:highlight w:val="none"/>
          <w:lang w:val="en-US" w:eastAsia="zh-Hans"/>
        </w:rPr>
        <w:t>的</w:t>
      </w:r>
      <w:r>
        <w:rPr>
          <w:rFonts w:hint="default" w:ascii="Times New Roman" w:hAnsi="Times New Roman" w:eastAsia="仿宋_GB2312" w:cs="Times New Roman"/>
          <w:color w:val="auto"/>
          <w:sz w:val="32"/>
          <w:szCs w:val="32"/>
          <w:highlight w:val="none"/>
        </w:rPr>
        <w:t>有效发票后，</w:t>
      </w:r>
      <w:r>
        <w:rPr>
          <w:rFonts w:hint="default" w:ascii="Times New Roman" w:hAnsi="Times New Roman" w:eastAsia="仿宋_GB2312" w:cs="Times New Roman"/>
          <w:color w:val="auto"/>
          <w:sz w:val="32"/>
          <w:szCs w:val="32"/>
        </w:rPr>
        <w:t>在15个工作日内向乙方支付合同总金额的</w:t>
      </w:r>
      <w:r>
        <w:rPr>
          <w:rFonts w:hint="eastAsia"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人民币</w:t>
      </w:r>
      <w:r>
        <w:rPr>
          <w:rFonts w:hint="default" w:ascii="Times New Roman" w:hAnsi="Times New Roman" w:eastAsia="仿宋_GB2312" w:cs="Times New Roman"/>
          <w:color w:val="auto"/>
          <w:sz w:val="32"/>
          <w:szCs w:val="32"/>
          <w:highlight w:val="none"/>
        </w:rPr>
        <w:t>￥______元，大写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______。</w:t>
      </w:r>
    </w:p>
    <w:p w14:paraId="14DC2C2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第三期</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当乙方完成80%的项目指标</w:t>
      </w:r>
      <w:r>
        <w:rPr>
          <w:rFonts w:hint="default" w:ascii="Times New Roman" w:hAnsi="Times New Roman" w:eastAsia="仿宋_GB2312" w:cs="Times New Roman"/>
          <w:color w:val="auto"/>
          <w:sz w:val="32"/>
          <w:szCs w:val="32"/>
          <w:highlight w:val="none"/>
          <w:lang w:val="en-US" w:eastAsia="zh-CN"/>
        </w:rPr>
        <w:t>，并通过甲方阶段验收后，</w:t>
      </w:r>
      <w:r>
        <w:rPr>
          <w:rFonts w:hint="default" w:ascii="Times New Roman" w:hAnsi="Times New Roman" w:eastAsia="仿宋_GB2312" w:cs="Times New Roman"/>
          <w:color w:val="auto"/>
          <w:sz w:val="32"/>
          <w:szCs w:val="32"/>
          <w:highlight w:val="none"/>
        </w:rPr>
        <w:t>甲方收到乙方开具</w:t>
      </w:r>
      <w:r>
        <w:rPr>
          <w:rFonts w:hint="default" w:ascii="Times New Roman" w:hAnsi="Times New Roman" w:eastAsia="仿宋_GB2312" w:cs="Times New Roman"/>
          <w:color w:val="auto"/>
          <w:sz w:val="32"/>
          <w:szCs w:val="32"/>
          <w:highlight w:val="none"/>
          <w:lang w:val="en-US" w:eastAsia="zh-Hans"/>
        </w:rPr>
        <w:t>的</w:t>
      </w:r>
      <w:r>
        <w:rPr>
          <w:rFonts w:hint="default" w:ascii="Times New Roman" w:hAnsi="Times New Roman" w:eastAsia="仿宋_GB2312" w:cs="Times New Roman"/>
          <w:color w:val="auto"/>
          <w:sz w:val="32"/>
          <w:szCs w:val="32"/>
          <w:highlight w:val="none"/>
        </w:rPr>
        <w:t>有效发票后，</w:t>
      </w:r>
      <w:r>
        <w:rPr>
          <w:rFonts w:hint="default" w:ascii="Times New Roman" w:hAnsi="Times New Roman" w:eastAsia="仿宋_GB2312" w:cs="Times New Roman"/>
          <w:color w:val="auto"/>
          <w:sz w:val="32"/>
          <w:szCs w:val="32"/>
        </w:rPr>
        <w:t>在15个工作日内向乙方支付合同总金额的</w:t>
      </w:r>
      <w:r>
        <w:rPr>
          <w:rFonts w:hint="eastAsia"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人民币</w:t>
      </w:r>
      <w:r>
        <w:rPr>
          <w:rFonts w:hint="default" w:ascii="Times New Roman" w:hAnsi="Times New Roman" w:eastAsia="仿宋_GB2312" w:cs="Times New Roman"/>
          <w:color w:val="auto"/>
          <w:sz w:val="32"/>
          <w:szCs w:val="32"/>
          <w:highlight w:val="none"/>
        </w:rPr>
        <w:t>￥______元，大写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______。</w:t>
      </w:r>
    </w:p>
    <w:p w14:paraId="77AF35BA">
      <w:pPr>
        <w:pStyle w:val="2"/>
        <w:keepNext w:val="0"/>
        <w:keepLines w:val="0"/>
        <w:pageBreakBefore w:val="0"/>
        <w:kinsoku/>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第四期：</w:t>
      </w:r>
      <w:r>
        <w:rPr>
          <w:rFonts w:hint="default" w:ascii="Times New Roman" w:hAnsi="Times New Roman" w:eastAsia="仿宋_GB2312" w:cs="Times New Roman"/>
          <w:color w:val="auto"/>
          <w:sz w:val="32"/>
          <w:szCs w:val="32"/>
          <w:highlight w:val="none"/>
          <w:lang w:val="en-US" w:eastAsia="zh-CN"/>
        </w:rPr>
        <w:t>服务期届满后，</w:t>
      </w:r>
      <w:r>
        <w:rPr>
          <w:rFonts w:hint="eastAsia" w:ascii="Times New Roman" w:hAnsi="Times New Roman" w:eastAsia="仿宋_GB2312" w:cs="Times New Roman"/>
          <w:color w:val="auto"/>
          <w:sz w:val="32"/>
          <w:szCs w:val="32"/>
          <w:highlight w:val="none"/>
          <w:lang w:val="en-US" w:eastAsia="zh-CN"/>
        </w:rPr>
        <w:t>双方结合实际完成量对照上述计价表进行验收结算，甲方</w:t>
      </w:r>
      <w:r>
        <w:rPr>
          <w:rFonts w:hint="default" w:ascii="Times New Roman" w:hAnsi="Times New Roman" w:eastAsia="仿宋_GB2312" w:cs="Times New Roman"/>
          <w:color w:val="auto"/>
          <w:sz w:val="32"/>
          <w:szCs w:val="32"/>
          <w:highlight w:val="none"/>
        </w:rPr>
        <w:t>向乙方支付</w:t>
      </w:r>
      <w:r>
        <w:rPr>
          <w:rFonts w:hint="default" w:ascii="Times New Roman" w:hAnsi="Times New Roman" w:eastAsia="仿宋_GB2312" w:cs="Times New Roman"/>
          <w:color w:val="auto"/>
          <w:sz w:val="32"/>
          <w:szCs w:val="32"/>
        </w:rPr>
        <w:t>合同</w:t>
      </w:r>
      <w:r>
        <w:rPr>
          <w:rFonts w:hint="eastAsia" w:ascii="Times New Roman" w:hAnsi="Times New Roman" w:eastAsia="仿宋_GB2312" w:cs="Times New Roman"/>
          <w:color w:val="auto"/>
          <w:sz w:val="32"/>
          <w:szCs w:val="32"/>
          <w:lang w:val="en-US" w:eastAsia="zh-CN"/>
        </w:rPr>
        <w:t>余款</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结算价格少于已支付款项的，乙方将多出部分退还甲方。</w:t>
      </w:r>
    </w:p>
    <w:p w14:paraId="3BD1C9A8">
      <w:pPr>
        <w:pStyle w:val="2"/>
        <w:keepNext w:val="0"/>
        <w:keepLines w:val="0"/>
        <w:pageBreakBefore w:val="0"/>
        <w:kinsoku/>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highlight w:val="none"/>
        </w:rPr>
        <w:t>乙方须于每期支付</w:t>
      </w:r>
      <w:r>
        <w:rPr>
          <w:rFonts w:hint="default" w:ascii="Times New Roman" w:hAnsi="Times New Roman" w:eastAsia="仿宋_GB2312" w:cs="Times New Roman"/>
          <w:color w:val="auto"/>
          <w:sz w:val="32"/>
          <w:szCs w:val="32"/>
          <w:highlight w:val="none"/>
          <w:lang w:val="en-US" w:eastAsia="zh-CN"/>
        </w:rPr>
        <w:t>前，</w:t>
      </w:r>
      <w:r>
        <w:rPr>
          <w:rFonts w:hint="default" w:ascii="Times New Roman" w:hAnsi="Times New Roman" w:eastAsia="仿宋_GB2312" w:cs="Times New Roman"/>
          <w:color w:val="auto"/>
          <w:sz w:val="32"/>
          <w:szCs w:val="32"/>
          <w:highlight w:val="none"/>
        </w:rPr>
        <w:t>向甲方</w:t>
      </w:r>
      <w:r>
        <w:rPr>
          <w:rFonts w:hint="default" w:ascii="Times New Roman" w:hAnsi="Times New Roman" w:eastAsia="仿宋_GB2312" w:cs="Times New Roman"/>
          <w:color w:val="auto"/>
          <w:sz w:val="32"/>
          <w:szCs w:val="32"/>
          <w:highlight w:val="none"/>
          <w:lang w:eastAsia="zh-CN"/>
        </w:rPr>
        <w:t>开具</w:t>
      </w:r>
      <w:r>
        <w:rPr>
          <w:rFonts w:hint="default" w:ascii="Times New Roman" w:hAnsi="Times New Roman" w:eastAsia="仿宋_GB2312" w:cs="Times New Roman"/>
          <w:color w:val="auto"/>
          <w:sz w:val="32"/>
          <w:szCs w:val="32"/>
          <w:highlight w:val="none"/>
        </w:rPr>
        <w:t>相应金额的合法</w:t>
      </w:r>
      <w:r>
        <w:rPr>
          <w:rFonts w:hint="default" w:ascii="Times New Roman" w:hAnsi="Times New Roman" w:eastAsia="仿宋_GB2312" w:cs="Times New Roman"/>
          <w:color w:val="auto"/>
          <w:sz w:val="32"/>
          <w:szCs w:val="32"/>
        </w:rPr>
        <w:t>有效发票。</w:t>
      </w:r>
      <w:r>
        <w:rPr>
          <w:rFonts w:hint="default" w:ascii="Times New Roman" w:hAnsi="Times New Roman" w:eastAsia="仿宋_GB2312" w:cs="Times New Roman"/>
          <w:color w:val="auto"/>
          <w:sz w:val="32"/>
          <w:szCs w:val="32"/>
          <w:lang w:val="en-US" w:eastAsia="zh-CN"/>
        </w:rPr>
        <w:t>乙方迟延提供发票的，甲方的付款时间相应顺延。</w:t>
      </w:r>
    </w:p>
    <w:p w14:paraId="42BEBBBF">
      <w:pPr>
        <w:keepNext w:val="0"/>
        <w:keepLines w:val="0"/>
        <w:pageBreakBefore w:val="0"/>
        <w:numPr>
          <w:ilvl w:val="0"/>
          <w:numId w:val="2"/>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color w:val="auto"/>
          <w:kern w:val="28"/>
          <w:sz w:val="32"/>
          <w:szCs w:val="32"/>
        </w:rPr>
      </w:pPr>
      <w:r>
        <w:rPr>
          <w:rFonts w:hint="default" w:ascii="Times New Roman" w:hAnsi="Times New Roman" w:eastAsia="楷体_GB2312" w:cs="Times New Roman"/>
          <w:b w:val="0"/>
          <w:bCs/>
          <w:color w:val="auto"/>
          <w:kern w:val="28"/>
          <w:sz w:val="32"/>
          <w:szCs w:val="32"/>
        </w:rPr>
        <w:t>乙方账户信息</w:t>
      </w:r>
    </w:p>
    <w:p w14:paraId="5F4716A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u w:val="single"/>
          <w:lang w:val="en-US" w:eastAsia="zh-CN"/>
        </w:rPr>
      </w:pPr>
      <w:r>
        <w:rPr>
          <w:rFonts w:hint="default" w:ascii="Times New Roman" w:hAnsi="Times New Roman" w:eastAsia="仿宋_GB2312" w:cs="Times New Roman"/>
          <w:color w:val="auto"/>
          <w:sz w:val="32"/>
          <w:szCs w:val="32"/>
        </w:rPr>
        <w:t>户名：</w:t>
      </w:r>
      <w:r>
        <w:rPr>
          <w:rFonts w:hint="default" w:ascii="Times New Roman" w:hAnsi="Times New Roman" w:eastAsia="仿宋_GB2312" w:cs="Times New Roman"/>
          <w:color w:val="auto"/>
          <w:sz w:val="32"/>
          <w:szCs w:val="32"/>
          <w:u w:val="single"/>
          <w:lang w:val="en-US" w:eastAsia="zh-CN"/>
        </w:rPr>
        <w:t xml:space="preserve">                   </w:t>
      </w:r>
    </w:p>
    <w:p w14:paraId="104A969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账号：</w:t>
      </w:r>
      <w:r>
        <w:rPr>
          <w:rFonts w:hint="default" w:ascii="Times New Roman" w:hAnsi="Times New Roman" w:eastAsia="仿宋_GB2312" w:cs="Times New Roman"/>
          <w:color w:val="auto"/>
          <w:sz w:val="32"/>
          <w:szCs w:val="32"/>
          <w:u w:val="single"/>
          <w:lang w:val="en-US" w:eastAsia="zh-CN"/>
        </w:rPr>
        <w:t xml:space="preserve">                   </w:t>
      </w:r>
    </w:p>
    <w:p w14:paraId="3ABC43E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仿宋_GB2312" w:cs="Times New Roman"/>
          <w:color w:val="auto"/>
          <w:sz w:val="32"/>
          <w:szCs w:val="32"/>
        </w:rPr>
        <w:t>开户行：</w:t>
      </w:r>
      <w:r>
        <w:rPr>
          <w:rFonts w:hint="default" w:ascii="Times New Roman" w:hAnsi="Times New Roman" w:eastAsia="仿宋_GB2312" w:cs="Times New Roman"/>
          <w:color w:val="auto"/>
          <w:sz w:val="32"/>
          <w:szCs w:val="32"/>
          <w:u w:val="single"/>
          <w:lang w:val="en-US" w:eastAsia="zh-CN"/>
        </w:rPr>
        <w:t xml:space="preserve">                  </w:t>
      </w:r>
    </w:p>
    <w:p w14:paraId="3CE5A0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0"/>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四、各方权利义务</w:t>
      </w:r>
    </w:p>
    <w:p w14:paraId="725544EF">
      <w:pPr>
        <w:keepNext w:val="0"/>
        <w:keepLines w:val="0"/>
        <w:pageBreakBefore w:val="0"/>
        <w:numPr>
          <w:ilvl w:val="0"/>
          <w:numId w:val="3"/>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color w:val="auto"/>
          <w:kern w:val="28"/>
          <w:sz w:val="32"/>
          <w:szCs w:val="32"/>
        </w:rPr>
      </w:pPr>
      <w:r>
        <w:rPr>
          <w:rFonts w:hint="default" w:ascii="Times New Roman" w:hAnsi="Times New Roman" w:eastAsia="楷体_GB2312" w:cs="Times New Roman"/>
          <w:b w:val="0"/>
          <w:bCs/>
          <w:color w:val="auto"/>
          <w:kern w:val="28"/>
          <w:sz w:val="32"/>
          <w:szCs w:val="32"/>
        </w:rPr>
        <w:t>甲方</w:t>
      </w:r>
    </w:p>
    <w:p w14:paraId="6C90CBAF">
      <w:pPr>
        <w:keepNext w:val="0"/>
        <w:keepLines w:val="0"/>
        <w:pageBreakBefore w:val="0"/>
        <w:tabs>
          <w:tab w:val="left" w:pos="108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8"/>
          <w:sz w:val="32"/>
          <w:szCs w:val="32"/>
        </w:rPr>
      </w:pPr>
      <w:r>
        <w:rPr>
          <w:rFonts w:hint="default" w:ascii="Times New Roman" w:hAnsi="Times New Roman" w:eastAsia="仿宋_GB2312" w:cs="Times New Roman"/>
          <w:color w:val="auto"/>
          <w:kern w:val="28"/>
          <w:sz w:val="32"/>
          <w:szCs w:val="32"/>
          <w:lang w:eastAsia="zh-CN"/>
        </w:rPr>
        <w:t>1.</w:t>
      </w:r>
      <w:r>
        <w:rPr>
          <w:rFonts w:hint="default" w:ascii="Times New Roman" w:hAnsi="Times New Roman" w:eastAsia="仿宋_GB2312" w:cs="Times New Roman"/>
          <w:color w:val="auto"/>
          <w:kern w:val="28"/>
          <w:sz w:val="32"/>
          <w:szCs w:val="32"/>
        </w:rPr>
        <w:t>甲方负责指导本项目工作，对乙方在项目运作过程中各项工作目标的完成情况、项目经费使用及各项机制落实情况进行监管、考核、验收，必要时提出修改意见和建议。</w:t>
      </w:r>
    </w:p>
    <w:p w14:paraId="2CA1B7F0">
      <w:pPr>
        <w:keepNext w:val="0"/>
        <w:keepLines w:val="0"/>
        <w:pageBreakBefore w:val="0"/>
        <w:tabs>
          <w:tab w:val="left" w:pos="108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8"/>
          <w:sz w:val="32"/>
          <w:szCs w:val="32"/>
        </w:rPr>
      </w:pPr>
      <w:r>
        <w:rPr>
          <w:rFonts w:hint="default" w:ascii="Times New Roman" w:hAnsi="Times New Roman" w:eastAsia="仿宋_GB2312" w:cs="Times New Roman"/>
          <w:color w:val="auto"/>
          <w:kern w:val="28"/>
          <w:sz w:val="32"/>
          <w:szCs w:val="32"/>
          <w:lang w:eastAsia="zh-CN"/>
        </w:rPr>
        <w:t>2.</w:t>
      </w:r>
      <w:r>
        <w:rPr>
          <w:rFonts w:hint="default" w:ascii="Times New Roman" w:hAnsi="Times New Roman" w:eastAsia="仿宋_GB2312" w:cs="Times New Roman"/>
          <w:color w:val="auto"/>
          <w:kern w:val="28"/>
          <w:sz w:val="32"/>
          <w:szCs w:val="32"/>
        </w:rPr>
        <w:t>负责乙方在开展本项</w:t>
      </w:r>
      <w:r>
        <w:rPr>
          <w:rFonts w:hint="default" w:ascii="Times New Roman" w:hAnsi="Times New Roman" w:eastAsia="仿宋_GB2312" w:cs="Times New Roman"/>
          <w:color w:val="auto"/>
          <w:kern w:val="28"/>
          <w:sz w:val="32"/>
          <w:szCs w:val="32"/>
          <w:lang w:val="en-US" w:eastAsia="zh-CN"/>
        </w:rPr>
        <w:t>目</w:t>
      </w:r>
      <w:r>
        <w:rPr>
          <w:rFonts w:hint="default" w:ascii="Times New Roman" w:hAnsi="Times New Roman" w:eastAsia="仿宋_GB2312" w:cs="Times New Roman"/>
          <w:color w:val="auto"/>
          <w:kern w:val="28"/>
          <w:sz w:val="32"/>
          <w:szCs w:val="32"/>
        </w:rPr>
        <w:t>工作过程中与市、</w:t>
      </w:r>
      <w:r>
        <w:rPr>
          <w:rFonts w:hint="default" w:ascii="Times New Roman" w:hAnsi="Times New Roman" w:eastAsia="仿宋_GB2312" w:cs="Times New Roman"/>
          <w:color w:val="auto"/>
          <w:kern w:val="28"/>
          <w:sz w:val="32"/>
          <w:szCs w:val="32"/>
          <w:lang w:val="en-US" w:eastAsia="zh-CN"/>
        </w:rPr>
        <w:t>镇街</w:t>
      </w:r>
      <w:r>
        <w:rPr>
          <w:rFonts w:hint="default" w:ascii="Times New Roman" w:hAnsi="Times New Roman" w:eastAsia="仿宋_GB2312" w:cs="Times New Roman"/>
          <w:color w:val="auto"/>
          <w:kern w:val="28"/>
          <w:sz w:val="32"/>
          <w:szCs w:val="32"/>
        </w:rPr>
        <w:t>及有关部门的协调工作。</w:t>
      </w:r>
    </w:p>
    <w:p w14:paraId="09D4BB5D">
      <w:pPr>
        <w:keepNext w:val="0"/>
        <w:keepLines w:val="0"/>
        <w:pageBreakBefore w:val="0"/>
        <w:tabs>
          <w:tab w:val="left" w:pos="108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8"/>
          <w:sz w:val="32"/>
          <w:szCs w:val="32"/>
        </w:rPr>
      </w:pPr>
      <w:r>
        <w:rPr>
          <w:rFonts w:hint="default" w:ascii="Times New Roman" w:hAnsi="Times New Roman" w:eastAsia="仿宋_GB2312" w:cs="Times New Roman"/>
          <w:color w:val="auto"/>
          <w:kern w:val="28"/>
          <w:sz w:val="32"/>
          <w:szCs w:val="32"/>
          <w:lang w:eastAsia="zh-CN"/>
        </w:rPr>
        <w:t>3.</w:t>
      </w:r>
      <w:r>
        <w:rPr>
          <w:rFonts w:hint="default" w:ascii="Times New Roman" w:hAnsi="Times New Roman" w:eastAsia="仿宋_GB2312" w:cs="Times New Roman"/>
          <w:color w:val="auto"/>
          <w:kern w:val="28"/>
          <w:sz w:val="32"/>
          <w:szCs w:val="32"/>
        </w:rPr>
        <w:t>对乙方开展服务提供必要的协助及便利，包括：</w:t>
      </w:r>
      <w:r>
        <w:rPr>
          <w:rFonts w:hint="default" w:ascii="Times New Roman" w:hAnsi="Times New Roman" w:eastAsia="仿宋_GB2312" w:cs="Times New Roman"/>
          <w:color w:val="auto"/>
          <w:kern w:val="28"/>
          <w:sz w:val="32"/>
          <w:szCs w:val="32"/>
          <w:lang w:val="en-US" w:eastAsia="zh-CN"/>
        </w:rPr>
        <w:t>提供办公场所（含水电，无偿）；</w:t>
      </w:r>
      <w:r>
        <w:rPr>
          <w:rFonts w:hint="default" w:ascii="Times New Roman" w:hAnsi="Times New Roman" w:eastAsia="仿宋_GB2312" w:cs="Times New Roman"/>
          <w:color w:val="auto"/>
          <w:kern w:val="28"/>
          <w:sz w:val="32"/>
          <w:szCs w:val="32"/>
        </w:rPr>
        <w:t>业务指导和支持；有关情况及相关资料的提供；乙方社工及工作人员出入有关部门及场所的便利等。</w:t>
      </w:r>
    </w:p>
    <w:p w14:paraId="2D95975D">
      <w:pPr>
        <w:keepNext w:val="0"/>
        <w:keepLines w:val="0"/>
        <w:pageBreakBefore w:val="0"/>
        <w:tabs>
          <w:tab w:val="left" w:pos="108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auto"/>
        </w:rPr>
      </w:pPr>
      <w:r>
        <w:rPr>
          <w:rFonts w:hint="default" w:ascii="Times New Roman" w:hAnsi="Times New Roman" w:eastAsia="仿宋_GB2312" w:cs="Times New Roman"/>
          <w:color w:val="auto"/>
          <w:kern w:val="28"/>
          <w:sz w:val="32"/>
          <w:szCs w:val="32"/>
          <w:lang w:eastAsia="zh-CN"/>
        </w:rPr>
        <w:t>4.</w:t>
      </w:r>
      <w:r>
        <w:rPr>
          <w:rFonts w:hint="default" w:ascii="Times New Roman" w:hAnsi="Times New Roman" w:eastAsia="仿宋_GB2312" w:cs="Times New Roman"/>
          <w:color w:val="auto"/>
          <w:kern w:val="28"/>
          <w:sz w:val="32"/>
          <w:szCs w:val="32"/>
        </w:rPr>
        <w:t>按本</w:t>
      </w:r>
      <w:r>
        <w:rPr>
          <w:rFonts w:hint="default" w:ascii="Times New Roman" w:hAnsi="Times New Roman" w:eastAsia="仿宋_GB2312" w:cs="Times New Roman"/>
          <w:color w:val="auto"/>
          <w:kern w:val="28"/>
          <w:sz w:val="32"/>
          <w:szCs w:val="32"/>
          <w:lang w:val="en-US" w:eastAsia="zh-CN"/>
        </w:rPr>
        <w:t>合同</w:t>
      </w:r>
      <w:r>
        <w:rPr>
          <w:rFonts w:hint="default" w:ascii="Times New Roman" w:hAnsi="Times New Roman" w:eastAsia="仿宋_GB2312" w:cs="Times New Roman"/>
          <w:color w:val="auto"/>
          <w:kern w:val="28"/>
          <w:sz w:val="32"/>
          <w:szCs w:val="32"/>
        </w:rPr>
        <w:t>的约定，及时拨付项目经费。</w:t>
      </w:r>
    </w:p>
    <w:p w14:paraId="25B9A7B8">
      <w:pPr>
        <w:keepNext w:val="0"/>
        <w:keepLines w:val="0"/>
        <w:pageBreakBefore w:val="0"/>
        <w:numPr>
          <w:ilvl w:val="0"/>
          <w:numId w:val="3"/>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color w:val="auto"/>
          <w:kern w:val="28"/>
          <w:sz w:val="32"/>
          <w:szCs w:val="32"/>
        </w:rPr>
      </w:pPr>
      <w:r>
        <w:rPr>
          <w:rFonts w:hint="default" w:ascii="Times New Roman" w:hAnsi="Times New Roman" w:eastAsia="楷体_GB2312" w:cs="Times New Roman"/>
          <w:b w:val="0"/>
          <w:bCs/>
          <w:color w:val="auto"/>
          <w:kern w:val="28"/>
          <w:sz w:val="32"/>
          <w:szCs w:val="32"/>
        </w:rPr>
        <w:t>乙方</w:t>
      </w:r>
    </w:p>
    <w:p w14:paraId="0FB0D5F8">
      <w:pPr>
        <w:keepNext w:val="0"/>
        <w:keepLines w:val="0"/>
        <w:pageBreakBefore w:val="0"/>
        <w:tabs>
          <w:tab w:val="left" w:pos="108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8"/>
          <w:sz w:val="32"/>
          <w:szCs w:val="32"/>
        </w:rPr>
      </w:pPr>
      <w:r>
        <w:rPr>
          <w:rFonts w:hint="default" w:ascii="Times New Roman" w:hAnsi="Times New Roman" w:eastAsia="仿宋_GB2312" w:cs="Times New Roman"/>
          <w:color w:val="auto"/>
          <w:kern w:val="28"/>
          <w:sz w:val="32"/>
          <w:szCs w:val="32"/>
          <w:lang w:eastAsia="zh-CN"/>
        </w:rPr>
        <w:t>1.</w:t>
      </w:r>
      <w:r>
        <w:rPr>
          <w:rFonts w:hint="default" w:ascii="Times New Roman" w:hAnsi="Times New Roman" w:eastAsia="仿宋_GB2312" w:cs="Times New Roman"/>
          <w:color w:val="auto"/>
          <w:kern w:val="28"/>
          <w:sz w:val="32"/>
          <w:szCs w:val="32"/>
        </w:rPr>
        <w:t>根据本项目的目标要求，</w:t>
      </w:r>
      <w:r>
        <w:rPr>
          <w:rFonts w:hint="default" w:ascii="Times New Roman" w:hAnsi="Times New Roman" w:eastAsia="仿宋_GB2312" w:cs="Times New Roman"/>
          <w:color w:val="auto"/>
          <w:sz w:val="32"/>
          <w:szCs w:val="32"/>
        </w:rPr>
        <w:t>乙方于</w:t>
      </w:r>
      <w:r>
        <w:rPr>
          <w:rFonts w:hint="default" w:ascii="Times New Roman" w:hAnsi="Times New Roman" w:eastAsia="仿宋_GB2312" w:cs="Times New Roman"/>
          <w:color w:val="auto"/>
          <w:sz w:val="32"/>
          <w:szCs w:val="32"/>
          <w:lang w:val="en-US" w:eastAsia="zh-CN"/>
        </w:rPr>
        <w:t>本合同</w:t>
      </w:r>
      <w:r>
        <w:rPr>
          <w:rFonts w:hint="default" w:ascii="Times New Roman" w:hAnsi="Times New Roman" w:eastAsia="仿宋_GB2312" w:cs="Times New Roman"/>
          <w:color w:val="auto"/>
          <w:sz w:val="32"/>
          <w:szCs w:val="32"/>
        </w:rPr>
        <w:t>生效之日起10日内</w:t>
      </w:r>
      <w:r>
        <w:rPr>
          <w:rFonts w:hint="default" w:ascii="Times New Roman" w:hAnsi="Times New Roman" w:eastAsia="仿宋_GB2312" w:cs="Times New Roman"/>
          <w:color w:val="auto"/>
          <w:kern w:val="28"/>
          <w:sz w:val="32"/>
          <w:szCs w:val="32"/>
        </w:rPr>
        <w:t>配备专职项目人员，组建管理及服务团队，并报送甲方备案。合同期内，</w:t>
      </w:r>
      <w:r>
        <w:rPr>
          <w:rFonts w:hint="default" w:ascii="Times New Roman" w:hAnsi="Times New Roman" w:eastAsia="仿宋_GB2312" w:cs="Times New Roman"/>
          <w:color w:val="auto"/>
          <w:kern w:val="28"/>
          <w:sz w:val="32"/>
          <w:szCs w:val="32"/>
          <w:lang w:val="en-US" w:eastAsia="zh-CN"/>
        </w:rPr>
        <w:t>乙方应保持服务团队的人员稳定，如</w:t>
      </w:r>
      <w:r>
        <w:rPr>
          <w:rFonts w:hint="default" w:ascii="Times New Roman" w:hAnsi="Times New Roman" w:eastAsia="仿宋_GB2312" w:cs="Times New Roman"/>
          <w:color w:val="auto"/>
          <w:kern w:val="28"/>
          <w:sz w:val="32"/>
          <w:szCs w:val="32"/>
        </w:rPr>
        <w:t>工作人员因个人原因或因未能胜任本职工作而离岗及离职的，乙方应在</w:t>
      </w:r>
      <w:r>
        <w:rPr>
          <w:rFonts w:hint="default" w:ascii="Times New Roman" w:hAnsi="Times New Roman" w:eastAsia="仿宋_GB2312" w:cs="Times New Roman"/>
          <w:color w:val="auto"/>
          <w:kern w:val="28"/>
          <w:sz w:val="32"/>
          <w:szCs w:val="32"/>
          <w:lang w:val="en-US" w:eastAsia="zh-CN"/>
        </w:rPr>
        <w:t>工作人员</w:t>
      </w:r>
      <w:r>
        <w:rPr>
          <w:rFonts w:hint="default" w:ascii="Times New Roman" w:hAnsi="Times New Roman" w:eastAsia="仿宋_GB2312" w:cs="Times New Roman"/>
          <w:color w:val="auto"/>
          <w:kern w:val="28"/>
          <w:sz w:val="32"/>
          <w:szCs w:val="32"/>
        </w:rPr>
        <w:t>离岗或离职时及时补充，并报送甲方备案。</w:t>
      </w:r>
    </w:p>
    <w:p w14:paraId="113F2CCB">
      <w:pPr>
        <w:keepNext w:val="0"/>
        <w:keepLines w:val="0"/>
        <w:pageBreakBefore w:val="0"/>
        <w:tabs>
          <w:tab w:val="left" w:pos="108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8"/>
          <w:sz w:val="32"/>
          <w:szCs w:val="32"/>
        </w:rPr>
      </w:pPr>
      <w:r>
        <w:rPr>
          <w:rFonts w:hint="default" w:ascii="Times New Roman" w:hAnsi="Times New Roman" w:eastAsia="仿宋_GB2312" w:cs="Times New Roman"/>
          <w:color w:val="auto"/>
          <w:kern w:val="28"/>
          <w:sz w:val="32"/>
          <w:szCs w:val="32"/>
          <w:lang w:eastAsia="zh-CN"/>
        </w:rPr>
        <w:t>2.</w:t>
      </w:r>
      <w:r>
        <w:rPr>
          <w:rFonts w:hint="default" w:ascii="Times New Roman" w:hAnsi="Times New Roman" w:eastAsia="仿宋_GB2312" w:cs="Times New Roman"/>
          <w:color w:val="auto"/>
          <w:kern w:val="28"/>
          <w:sz w:val="32"/>
          <w:szCs w:val="32"/>
        </w:rPr>
        <w:t>乙方应根据项目的实际情况，制定并完善本项目计划，结合实际制定工作规划及具体实施方案。各项计划及有关实施方案应报甲方认可</w:t>
      </w:r>
      <w:r>
        <w:rPr>
          <w:rFonts w:hint="default" w:ascii="Times New Roman" w:hAnsi="Times New Roman" w:eastAsia="仿宋_GB2312" w:cs="Times New Roman"/>
          <w:color w:val="auto"/>
          <w:kern w:val="28"/>
          <w:sz w:val="32"/>
          <w:szCs w:val="32"/>
          <w:lang w:eastAsia="zh-CN"/>
        </w:rPr>
        <w:t>；</w:t>
      </w:r>
      <w:r>
        <w:rPr>
          <w:rFonts w:hint="default" w:ascii="Times New Roman" w:hAnsi="Times New Roman" w:eastAsia="仿宋_GB2312" w:cs="Times New Roman"/>
          <w:color w:val="auto"/>
          <w:kern w:val="28"/>
          <w:sz w:val="32"/>
          <w:szCs w:val="32"/>
        </w:rPr>
        <w:t>如有改变，应征得甲方同意。</w:t>
      </w:r>
    </w:p>
    <w:p w14:paraId="5F408BC6">
      <w:pPr>
        <w:keepNext w:val="0"/>
        <w:keepLines w:val="0"/>
        <w:pageBreakBefore w:val="0"/>
        <w:tabs>
          <w:tab w:val="left" w:pos="108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8"/>
          <w:sz w:val="32"/>
          <w:szCs w:val="32"/>
        </w:rPr>
      </w:pPr>
      <w:r>
        <w:rPr>
          <w:rFonts w:hint="default" w:ascii="Times New Roman" w:hAnsi="Times New Roman" w:eastAsia="仿宋_GB2312" w:cs="Times New Roman"/>
          <w:color w:val="auto"/>
          <w:kern w:val="28"/>
          <w:sz w:val="32"/>
          <w:szCs w:val="32"/>
          <w:lang w:eastAsia="zh-CN"/>
        </w:rPr>
        <w:t>3.</w:t>
      </w:r>
      <w:r>
        <w:rPr>
          <w:rFonts w:hint="default" w:ascii="Times New Roman" w:hAnsi="Times New Roman" w:eastAsia="仿宋_GB2312" w:cs="Times New Roman"/>
          <w:color w:val="auto"/>
          <w:kern w:val="28"/>
          <w:sz w:val="32"/>
          <w:szCs w:val="32"/>
        </w:rPr>
        <w:t>遵守国家法律法规及社会工作伦理道德，按照中山市的相关规定，执行项目计划，全面完成本项目的各项考核指标，为服务对象提供优质的服务。</w:t>
      </w:r>
    </w:p>
    <w:p w14:paraId="202371CC">
      <w:pPr>
        <w:keepNext w:val="0"/>
        <w:keepLines w:val="0"/>
        <w:pageBreakBefore w:val="0"/>
        <w:tabs>
          <w:tab w:val="left" w:pos="108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8"/>
          <w:sz w:val="32"/>
          <w:szCs w:val="32"/>
        </w:rPr>
      </w:pPr>
      <w:r>
        <w:rPr>
          <w:rFonts w:hint="default" w:ascii="Times New Roman" w:hAnsi="Times New Roman" w:eastAsia="仿宋_GB2312" w:cs="Times New Roman"/>
          <w:color w:val="auto"/>
          <w:kern w:val="28"/>
          <w:sz w:val="32"/>
          <w:szCs w:val="32"/>
          <w:lang w:eastAsia="zh-CN"/>
        </w:rPr>
        <w:t>4.</w:t>
      </w:r>
      <w:r>
        <w:rPr>
          <w:rFonts w:hint="default" w:ascii="Times New Roman" w:hAnsi="Times New Roman" w:eastAsia="仿宋_GB2312" w:cs="Times New Roman"/>
          <w:color w:val="auto"/>
          <w:kern w:val="28"/>
          <w:sz w:val="32"/>
          <w:szCs w:val="32"/>
        </w:rPr>
        <w:t>严格按照有关规定管理及使用经费，确保专款专用，并接受甲方及有关主管部门的监督。</w:t>
      </w:r>
    </w:p>
    <w:p w14:paraId="07DD2150">
      <w:pPr>
        <w:keepNext w:val="0"/>
        <w:keepLines w:val="0"/>
        <w:pageBreakBefore w:val="0"/>
        <w:tabs>
          <w:tab w:val="left" w:pos="108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8"/>
          <w:sz w:val="32"/>
          <w:szCs w:val="32"/>
        </w:rPr>
      </w:pPr>
      <w:r>
        <w:rPr>
          <w:rFonts w:hint="default" w:ascii="Times New Roman" w:hAnsi="Times New Roman" w:eastAsia="仿宋_GB2312" w:cs="Times New Roman"/>
          <w:color w:val="auto"/>
          <w:kern w:val="28"/>
          <w:sz w:val="32"/>
          <w:szCs w:val="32"/>
          <w:lang w:eastAsia="zh-CN"/>
        </w:rPr>
        <w:t>5.</w:t>
      </w:r>
      <w:r>
        <w:rPr>
          <w:rFonts w:hint="default" w:ascii="Times New Roman" w:hAnsi="Times New Roman" w:eastAsia="仿宋_GB2312" w:cs="Times New Roman"/>
          <w:color w:val="auto"/>
          <w:kern w:val="28"/>
          <w:sz w:val="32"/>
          <w:szCs w:val="32"/>
        </w:rPr>
        <w:t>乙方需根据《</w:t>
      </w:r>
      <w:r>
        <w:rPr>
          <w:rFonts w:hint="default" w:ascii="Times New Roman" w:hAnsi="Times New Roman" w:eastAsia="仿宋_GB2312" w:cs="Times New Roman"/>
          <w:color w:val="auto"/>
          <w:kern w:val="28"/>
          <w:sz w:val="32"/>
          <w:szCs w:val="32"/>
          <w:lang w:eastAsia="zh-CN"/>
        </w:rPr>
        <w:t>中华人民共和国劳动合同法</w:t>
      </w:r>
      <w:r>
        <w:rPr>
          <w:rFonts w:hint="default" w:ascii="Times New Roman" w:hAnsi="Times New Roman" w:eastAsia="仿宋_GB2312" w:cs="Times New Roman"/>
          <w:color w:val="auto"/>
          <w:kern w:val="28"/>
          <w:sz w:val="32"/>
          <w:szCs w:val="32"/>
        </w:rPr>
        <w:t>》</w:t>
      </w:r>
      <w:r>
        <w:rPr>
          <w:rFonts w:hint="default" w:ascii="Times New Roman" w:hAnsi="Times New Roman" w:eastAsia="仿宋_GB2312" w:cs="Times New Roman"/>
          <w:color w:val="auto"/>
          <w:kern w:val="28"/>
          <w:sz w:val="32"/>
          <w:szCs w:val="32"/>
          <w:lang w:val="en-US" w:eastAsia="zh-CN"/>
        </w:rPr>
        <w:t>等</w:t>
      </w:r>
      <w:r>
        <w:rPr>
          <w:rFonts w:hint="default" w:ascii="Times New Roman" w:hAnsi="Times New Roman" w:eastAsia="仿宋_GB2312" w:cs="Times New Roman"/>
          <w:color w:val="auto"/>
          <w:kern w:val="28"/>
          <w:sz w:val="32"/>
          <w:szCs w:val="32"/>
        </w:rPr>
        <w:t>相关</w:t>
      </w:r>
      <w:r>
        <w:rPr>
          <w:rFonts w:hint="default" w:ascii="Times New Roman" w:hAnsi="Times New Roman" w:eastAsia="仿宋_GB2312" w:cs="Times New Roman"/>
          <w:color w:val="auto"/>
          <w:kern w:val="28"/>
          <w:sz w:val="32"/>
          <w:szCs w:val="32"/>
          <w:lang w:val="en-US" w:eastAsia="zh-CN"/>
        </w:rPr>
        <w:t>法律法规</w:t>
      </w:r>
      <w:r>
        <w:rPr>
          <w:rFonts w:hint="default" w:ascii="Times New Roman" w:hAnsi="Times New Roman" w:eastAsia="仿宋_GB2312" w:cs="Times New Roman"/>
          <w:color w:val="auto"/>
          <w:kern w:val="28"/>
          <w:sz w:val="32"/>
          <w:szCs w:val="32"/>
        </w:rPr>
        <w:t>要求，为所配备的工作人员购买五险一金，保障工作人员在安全的环境中提供服务。</w:t>
      </w:r>
    </w:p>
    <w:p w14:paraId="6DEB3AD8">
      <w:pPr>
        <w:keepNext w:val="0"/>
        <w:keepLines w:val="0"/>
        <w:pageBreakBefore w:val="0"/>
        <w:tabs>
          <w:tab w:val="left" w:pos="108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8"/>
          <w:sz w:val="32"/>
          <w:szCs w:val="32"/>
        </w:rPr>
      </w:pPr>
      <w:r>
        <w:rPr>
          <w:rFonts w:hint="default" w:ascii="Times New Roman" w:hAnsi="Times New Roman" w:eastAsia="仿宋_GB2312" w:cs="Times New Roman"/>
          <w:color w:val="auto"/>
          <w:kern w:val="28"/>
          <w:sz w:val="32"/>
          <w:szCs w:val="32"/>
          <w:lang w:eastAsia="zh-CN"/>
        </w:rPr>
        <w:t>6.</w:t>
      </w:r>
      <w:r>
        <w:rPr>
          <w:rFonts w:hint="default" w:ascii="Times New Roman" w:hAnsi="Times New Roman" w:eastAsia="仿宋_GB2312" w:cs="Times New Roman"/>
          <w:color w:val="auto"/>
          <w:kern w:val="28"/>
          <w:sz w:val="32"/>
          <w:szCs w:val="32"/>
        </w:rPr>
        <w:t>乙方应对项目专职工作人员实施绩效考核。</w:t>
      </w:r>
    </w:p>
    <w:p w14:paraId="20DBFB32">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28"/>
          <w:sz w:val="32"/>
          <w:szCs w:val="32"/>
          <w:lang w:val="en-US" w:eastAsia="zh-CN"/>
        </w:rPr>
        <w:t>7.</w:t>
      </w:r>
      <w:r>
        <w:rPr>
          <w:rFonts w:hint="default" w:ascii="Times New Roman" w:hAnsi="Times New Roman" w:eastAsia="仿宋_GB2312" w:cs="Times New Roman"/>
          <w:color w:val="auto"/>
          <w:kern w:val="28"/>
          <w:sz w:val="32"/>
          <w:szCs w:val="32"/>
          <w:lang w:eastAsia="zh-CN"/>
        </w:rPr>
        <w:t>乙方应对因履行本合同而获知的服务对象信息、项目信息等承担保密义务，未经甲方书面许可，不得向第三人透露。</w:t>
      </w:r>
    </w:p>
    <w:p w14:paraId="4F285AE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0"/>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五、项目验收</w:t>
      </w:r>
    </w:p>
    <w:p w14:paraId="3939A70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8"/>
          <w:sz w:val="28"/>
          <w:szCs w:val="28"/>
        </w:rPr>
      </w:pPr>
      <w:r>
        <w:rPr>
          <w:rFonts w:hint="default" w:ascii="Times New Roman" w:hAnsi="Times New Roman" w:eastAsia="仿宋_GB2312" w:cs="Times New Roman"/>
          <w:color w:val="auto"/>
          <w:kern w:val="28"/>
          <w:sz w:val="32"/>
          <w:szCs w:val="32"/>
        </w:rPr>
        <w:t>乙方应于项目期结束前15天</w:t>
      </w:r>
      <w:r>
        <w:rPr>
          <w:rFonts w:hint="default" w:ascii="Times New Roman" w:hAnsi="Times New Roman" w:eastAsia="仿宋_GB2312" w:cs="Times New Roman"/>
          <w:color w:val="auto"/>
          <w:kern w:val="28"/>
          <w:sz w:val="32"/>
          <w:szCs w:val="32"/>
          <w:lang w:eastAsia="zh-CN"/>
        </w:rPr>
        <w:t>内向</w:t>
      </w:r>
      <w:r>
        <w:rPr>
          <w:rFonts w:hint="default" w:ascii="Times New Roman" w:hAnsi="Times New Roman" w:eastAsia="仿宋_GB2312" w:cs="Times New Roman"/>
          <w:color w:val="auto"/>
          <w:kern w:val="28"/>
          <w:sz w:val="32"/>
          <w:szCs w:val="32"/>
        </w:rPr>
        <w:t>甲方提交项目总结的书面报告，甲方按合同相关指标条款进行核实并验收。验收不合格的，乙方应按甲方要求进行整改，承担继续履行责任至验收合格。</w:t>
      </w:r>
    </w:p>
    <w:p w14:paraId="44EF161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0"/>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六、违约责任</w:t>
      </w:r>
    </w:p>
    <w:p w14:paraId="051872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8"/>
          <w:sz w:val="32"/>
          <w:szCs w:val="32"/>
        </w:rPr>
      </w:pPr>
      <w:r>
        <w:rPr>
          <w:rFonts w:hint="default" w:ascii="Times New Roman" w:hAnsi="Times New Roman" w:eastAsia="仿宋_GB2312" w:cs="Times New Roman"/>
          <w:color w:val="auto"/>
          <w:kern w:val="28"/>
          <w:sz w:val="32"/>
          <w:szCs w:val="32"/>
          <w:lang w:eastAsia="zh-CN"/>
        </w:rPr>
        <w:t>1.</w:t>
      </w:r>
      <w:r>
        <w:rPr>
          <w:rFonts w:hint="default" w:ascii="Times New Roman" w:hAnsi="Times New Roman" w:eastAsia="仿宋_GB2312" w:cs="Times New Roman"/>
          <w:color w:val="auto"/>
          <w:kern w:val="28"/>
          <w:sz w:val="32"/>
          <w:szCs w:val="32"/>
        </w:rPr>
        <w:t>合同期内乙方与第三人之间产生的任何债权债务与甲方无关。</w:t>
      </w:r>
    </w:p>
    <w:p w14:paraId="56CF48C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8"/>
          <w:sz w:val="32"/>
          <w:szCs w:val="32"/>
        </w:rPr>
      </w:pPr>
      <w:r>
        <w:rPr>
          <w:rFonts w:hint="default" w:ascii="Times New Roman" w:hAnsi="Times New Roman" w:eastAsia="仿宋_GB2312" w:cs="Times New Roman"/>
          <w:color w:val="auto"/>
          <w:kern w:val="28"/>
          <w:sz w:val="32"/>
          <w:szCs w:val="32"/>
          <w:lang w:eastAsia="zh-CN"/>
        </w:rPr>
        <w:t>2.</w:t>
      </w:r>
      <w:r>
        <w:rPr>
          <w:rFonts w:hint="default" w:ascii="Times New Roman" w:hAnsi="Times New Roman" w:eastAsia="仿宋_GB2312" w:cs="Times New Roman"/>
          <w:color w:val="auto"/>
          <w:kern w:val="28"/>
          <w:sz w:val="32"/>
          <w:szCs w:val="32"/>
        </w:rPr>
        <w:t>乙方未按照约定日期完成项目工作指标或未按本合同约定履行相关义务的，甲方有权解除合同，</w:t>
      </w:r>
      <w:r>
        <w:rPr>
          <w:rFonts w:hint="default" w:ascii="Times New Roman" w:hAnsi="Times New Roman" w:eastAsia="仿宋_GB2312" w:cs="Times New Roman"/>
          <w:color w:val="auto"/>
          <w:kern w:val="28"/>
          <w:sz w:val="32"/>
          <w:szCs w:val="32"/>
          <w:lang w:val="en-US" w:eastAsia="zh-CN"/>
        </w:rPr>
        <w:t>要求</w:t>
      </w:r>
      <w:r>
        <w:rPr>
          <w:rFonts w:hint="default" w:ascii="Times New Roman" w:hAnsi="Times New Roman" w:eastAsia="仿宋_GB2312" w:cs="Times New Roman"/>
          <w:color w:val="auto"/>
          <w:kern w:val="28"/>
          <w:sz w:val="32"/>
          <w:szCs w:val="32"/>
        </w:rPr>
        <w:t>乙方应按未完成部分指标的比例退回相应的项目经费，或在支付项目经费时按比例扣减相应费用（具体应退或扣减金额以甲方认定的数额为准）。造成甲方直接损失的，赔偿甲方所受到的直接损失（包括但不限于实际经济损失、律师费、诉讼费用等）。</w:t>
      </w:r>
    </w:p>
    <w:p w14:paraId="1146539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8"/>
          <w:sz w:val="32"/>
          <w:szCs w:val="32"/>
        </w:rPr>
      </w:pPr>
      <w:r>
        <w:rPr>
          <w:rFonts w:hint="default" w:ascii="Times New Roman" w:hAnsi="Times New Roman" w:eastAsia="仿宋_GB2312" w:cs="Times New Roman"/>
          <w:color w:val="auto"/>
          <w:kern w:val="28"/>
          <w:sz w:val="32"/>
          <w:szCs w:val="32"/>
          <w:lang w:eastAsia="zh-CN"/>
        </w:rPr>
        <w:t>3.</w:t>
      </w:r>
      <w:r>
        <w:rPr>
          <w:rFonts w:hint="default" w:ascii="Times New Roman" w:hAnsi="Times New Roman" w:eastAsia="仿宋_GB2312" w:cs="Times New Roman"/>
          <w:color w:val="auto"/>
          <w:kern w:val="28"/>
          <w:sz w:val="32"/>
          <w:szCs w:val="32"/>
        </w:rPr>
        <w:t>任何一方违约造成的对方损失（包括但不限于实际</w:t>
      </w:r>
      <w:r>
        <w:rPr>
          <w:rFonts w:hint="default" w:ascii="Times New Roman" w:hAnsi="Times New Roman" w:eastAsia="仿宋_GB2312" w:cs="Times New Roman"/>
          <w:color w:val="auto"/>
          <w:kern w:val="28"/>
          <w:sz w:val="32"/>
          <w:szCs w:val="32"/>
          <w:lang w:eastAsia="zh-CN"/>
        </w:rPr>
        <w:t>经济损失</w:t>
      </w:r>
      <w:r>
        <w:rPr>
          <w:rFonts w:hint="default" w:ascii="Times New Roman" w:hAnsi="Times New Roman" w:eastAsia="仿宋_GB2312" w:cs="Times New Roman"/>
          <w:color w:val="auto"/>
          <w:kern w:val="28"/>
          <w:sz w:val="32"/>
          <w:szCs w:val="32"/>
        </w:rPr>
        <w:t>、律师费、诉讼费、诉讼保全费、交通费等因维权所产生的</w:t>
      </w:r>
      <w:r>
        <w:rPr>
          <w:rFonts w:hint="default" w:ascii="Times New Roman" w:hAnsi="Times New Roman" w:eastAsia="仿宋_GB2312" w:cs="Times New Roman"/>
          <w:color w:val="auto"/>
          <w:kern w:val="28"/>
          <w:sz w:val="32"/>
          <w:szCs w:val="32"/>
          <w:lang w:val="en-US" w:eastAsia="zh-CN"/>
        </w:rPr>
        <w:t>全部</w:t>
      </w:r>
      <w:r>
        <w:rPr>
          <w:rFonts w:hint="default" w:ascii="Times New Roman" w:hAnsi="Times New Roman" w:eastAsia="仿宋_GB2312" w:cs="Times New Roman"/>
          <w:color w:val="auto"/>
          <w:kern w:val="28"/>
          <w:sz w:val="32"/>
          <w:szCs w:val="32"/>
        </w:rPr>
        <w:t>费用），由违约方向守约方赔偿损失。</w:t>
      </w:r>
    </w:p>
    <w:p w14:paraId="2FE07673">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kern w:val="28"/>
          <w:sz w:val="32"/>
          <w:szCs w:val="32"/>
        </w:rPr>
      </w:pPr>
      <w:r>
        <w:rPr>
          <w:rFonts w:hint="default" w:ascii="Times New Roman" w:hAnsi="Times New Roman" w:eastAsia="仿宋_GB2312" w:cs="Times New Roman"/>
          <w:color w:val="auto"/>
          <w:kern w:val="28"/>
          <w:sz w:val="32"/>
          <w:szCs w:val="32"/>
          <w:lang w:eastAsia="zh-CN"/>
        </w:rPr>
        <w:t>4.</w:t>
      </w:r>
      <w:r>
        <w:rPr>
          <w:rFonts w:hint="default" w:ascii="Times New Roman" w:hAnsi="Times New Roman" w:eastAsia="仿宋_GB2312" w:cs="Times New Roman"/>
          <w:color w:val="auto"/>
          <w:kern w:val="28"/>
          <w:sz w:val="32"/>
          <w:szCs w:val="32"/>
        </w:rPr>
        <w:t>乙方应对因履行本合同而获知的服务对象信息、项目信息等进行保密，未经甲方书面同意，不得直接或间接以告知、公布、发布或者其他任何方式向第三方泄露，或将其使用于其他项目。否则，应赔偿因泄密而给甲方造成的一切损失并承担相应的法律责任。</w:t>
      </w:r>
    </w:p>
    <w:p w14:paraId="4AF01642">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kern w:val="28"/>
          <w:sz w:val="32"/>
          <w:szCs w:val="32"/>
        </w:rPr>
      </w:pPr>
      <w:r>
        <w:rPr>
          <w:rFonts w:hint="default" w:ascii="Times New Roman" w:hAnsi="Times New Roman" w:eastAsia="仿宋_GB2312" w:cs="Times New Roman"/>
          <w:color w:val="auto"/>
          <w:kern w:val="28"/>
          <w:sz w:val="32"/>
          <w:szCs w:val="32"/>
          <w:lang w:eastAsia="zh-CN"/>
        </w:rPr>
        <w:t>5.</w:t>
      </w:r>
      <w:r>
        <w:rPr>
          <w:rFonts w:hint="default" w:ascii="Times New Roman" w:hAnsi="Times New Roman" w:eastAsia="仿宋_GB2312" w:cs="Times New Roman"/>
          <w:color w:val="auto"/>
          <w:kern w:val="28"/>
          <w:sz w:val="32"/>
          <w:szCs w:val="32"/>
        </w:rPr>
        <w:t>乙方应在</w:t>
      </w:r>
      <w:r>
        <w:rPr>
          <w:rFonts w:hint="default" w:ascii="Times New Roman" w:hAnsi="Times New Roman" w:eastAsia="仿宋_GB2312" w:cs="Times New Roman"/>
          <w:color w:val="auto"/>
          <w:kern w:val="28"/>
          <w:sz w:val="32"/>
          <w:szCs w:val="32"/>
          <w:lang w:val="en-US" w:eastAsia="zh-CN"/>
        </w:rPr>
        <w:t>本</w:t>
      </w:r>
      <w:r>
        <w:rPr>
          <w:rFonts w:hint="default" w:ascii="Times New Roman" w:hAnsi="Times New Roman" w:eastAsia="仿宋_GB2312" w:cs="Times New Roman"/>
          <w:color w:val="auto"/>
          <w:kern w:val="28"/>
          <w:sz w:val="32"/>
          <w:szCs w:val="32"/>
        </w:rPr>
        <w:t>合同所规定的工作范围</w:t>
      </w:r>
      <w:r>
        <w:rPr>
          <w:rFonts w:hint="default" w:ascii="Times New Roman" w:hAnsi="Times New Roman" w:eastAsia="仿宋_GB2312" w:cs="Times New Roman"/>
          <w:color w:val="auto"/>
          <w:kern w:val="28"/>
          <w:sz w:val="32"/>
          <w:szCs w:val="32"/>
          <w:lang w:val="en-US" w:eastAsia="zh-CN"/>
        </w:rPr>
        <w:t>内</w:t>
      </w:r>
      <w:r>
        <w:rPr>
          <w:rFonts w:hint="default" w:ascii="Times New Roman" w:hAnsi="Times New Roman" w:eastAsia="仿宋_GB2312" w:cs="Times New Roman"/>
          <w:color w:val="auto"/>
          <w:kern w:val="28"/>
          <w:sz w:val="32"/>
          <w:szCs w:val="32"/>
        </w:rPr>
        <w:t>服从甲方合理安排</w:t>
      </w:r>
      <w:r>
        <w:rPr>
          <w:rFonts w:hint="default" w:ascii="Times New Roman" w:hAnsi="Times New Roman" w:eastAsia="仿宋_GB2312" w:cs="Times New Roman"/>
          <w:color w:val="auto"/>
          <w:kern w:val="28"/>
          <w:sz w:val="32"/>
          <w:szCs w:val="32"/>
          <w:lang w:val="en-US" w:eastAsia="zh-CN"/>
        </w:rPr>
        <w:t>及</w:t>
      </w:r>
      <w:r>
        <w:rPr>
          <w:rFonts w:hint="default" w:ascii="Times New Roman" w:hAnsi="Times New Roman" w:eastAsia="仿宋_GB2312" w:cs="Times New Roman"/>
          <w:color w:val="auto"/>
          <w:kern w:val="28"/>
          <w:sz w:val="32"/>
          <w:szCs w:val="32"/>
        </w:rPr>
        <w:t>要求，乙方项目人员出现不服从或不胜任情况并警告</w:t>
      </w:r>
      <w:r>
        <w:rPr>
          <w:rFonts w:hint="default" w:ascii="Times New Roman" w:hAnsi="Times New Roman" w:eastAsia="仿宋_GB2312" w:cs="Times New Roman"/>
          <w:color w:val="auto"/>
          <w:kern w:val="28"/>
          <w:sz w:val="32"/>
          <w:szCs w:val="32"/>
          <w:lang w:eastAsia="zh-CN"/>
        </w:rPr>
        <w:t>两次</w:t>
      </w:r>
      <w:r>
        <w:rPr>
          <w:rFonts w:hint="default" w:ascii="Times New Roman" w:hAnsi="Times New Roman" w:eastAsia="仿宋_GB2312" w:cs="Times New Roman"/>
          <w:color w:val="auto"/>
          <w:kern w:val="28"/>
          <w:sz w:val="32"/>
          <w:szCs w:val="32"/>
        </w:rPr>
        <w:t>以上者，甲方有权要求乙方重新安排合适人选替换该项目人员。</w:t>
      </w:r>
    </w:p>
    <w:p w14:paraId="0BE021D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0"/>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七、其他事项</w:t>
      </w:r>
    </w:p>
    <w:p w14:paraId="3138A40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kern w:val="28"/>
          <w:sz w:val="32"/>
          <w:szCs w:val="32"/>
        </w:rPr>
      </w:pPr>
      <w:r>
        <w:rPr>
          <w:rFonts w:hint="default" w:ascii="Times New Roman" w:hAnsi="Times New Roman" w:eastAsia="仿宋_GB2312" w:cs="Times New Roman"/>
          <w:color w:val="auto"/>
          <w:kern w:val="28"/>
          <w:sz w:val="32"/>
          <w:szCs w:val="32"/>
          <w:lang w:eastAsia="zh-CN"/>
        </w:rPr>
        <w:t>1.</w:t>
      </w:r>
      <w:r>
        <w:rPr>
          <w:rFonts w:hint="default" w:ascii="Times New Roman" w:hAnsi="Times New Roman" w:eastAsia="仿宋_GB2312" w:cs="Times New Roman"/>
          <w:color w:val="auto"/>
          <w:kern w:val="28"/>
          <w:sz w:val="32"/>
          <w:szCs w:val="32"/>
        </w:rPr>
        <w:t>本</w:t>
      </w:r>
      <w:r>
        <w:rPr>
          <w:rFonts w:hint="default" w:ascii="Times New Roman" w:hAnsi="Times New Roman" w:eastAsia="仿宋_GB2312" w:cs="Times New Roman"/>
          <w:color w:val="auto"/>
          <w:kern w:val="28"/>
          <w:sz w:val="32"/>
          <w:szCs w:val="32"/>
          <w:lang w:val="en-US" w:eastAsia="zh-CN"/>
        </w:rPr>
        <w:t>合同</w:t>
      </w:r>
      <w:r>
        <w:rPr>
          <w:rFonts w:hint="default" w:ascii="Times New Roman" w:hAnsi="Times New Roman" w:eastAsia="仿宋_GB2312" w:cs="Times New Roman"/>
          <w:color w:val="auto"/>
          <w:kern w:val="28"/>
          <w:sz w:val="32"/>
          <w:szCs w:val="32"/>
        </w:rPr>
        <w:t>未尽事宜，由双方根据相关法律法规及有关规定协商后签订补充协议。</w:t>
      </w:r>
    </w:p>
    <w:p w14:paraId="083ACCE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8"/>
          <w:sz w:val="32"/>
          <w:szCs w:val="32"/>
        </w:rPr>
      </w:pPr>
      <w:r>
        <w:rPr>
          <w:rFonts w:hint="default" w:ascii="Times New Roman" w:hAnsi="Times New Roman" w:eastAsia="仿宋_GB2312" w:cs="Times New Roman"/>
          <w:color w:val="auto"/>
          <w:kern w:val="28"/>
          <w:sz w:val="32"/>
          <w:szCs w:val="32"/>
          <w:lang w:eastAsia="zh-CN"/>
        </w:rPr>
        <w:t>2.</w:t>
      </w:r>
      <w:r>
        <w:rPr>
          <w:rFonts w:hint="default" w:ascii="Times New Roman" w:hAnsi="Times New Roman" w:eastAsia="仿宋_GB2312" w:cs="Times New Roman"/>
          <w:color w:val="auto"/>
          <w:kern w:val="28"/>
          <w:sz w:val="32"/>
          <w:szCs w:val="32"/>
        </w:rPr>
        <w:t>本合同所致争议或纠纷</w:t>
      </w:r>
      <w:r>
        <w:rPr>
          <w:rFonts w:hint="default" w:ascii="Times New Roman" w:hAnsi="Times New Roman" w:eastAsia="仿宋_GB2312" w:cs="Times New Roman"/>
          <w:color w:val="auto"/>
          <w:kern w:val="28"/>
          <w:sz w:val="32"/>
          <w:szCs w:val="32"/>
          <w:lang w:eastAsia="zh-CN"/>
        </w:rPr>
        <w:t>，</w:t>
      </w:r>
      <w:r>
        <w:rPr>
          <w:rFonts w:hint="default" w:ascii="Times New Roman" w:hAnsi="Times New Roman" w:eastAsia="仿宋_GB2312" w:cs="Times New Roman"/>
          <w:color w:val="auto"/>
          <w:kern w:val="28"/>
          <w:sz w:val="32"/>
          <w:szCs w:val="32"/>
        </w:rPr>
        <w:t>双方可友好协商解决，如协商不成，任何一方可向甲方住所地有管辖权的人民法院起诉。</w:t>
      </w:r>
    </w:p>
    <w:p w14:paraId="3A87CC1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8"/>
          <w:sz w:val="32"/>
          <w:szCs w:val="32"/>
        </w:rPr>
      </w:pPr>
      <w:r>
        <w:rPr>
          <w:rFonts w:hint="default" w:ascii="Times New Roman" w:hAnsi="Times New Roman" w:eastAsia="仿宋_GB2312" w:cs="Times New Roman"/>
          <w:color w:val="auto"/>
          <w:kern w:val="28"/>
          <w:sz w:val="32"/>
          <w:szCs w:val="32"/>
          <w:lang w:eastAsia="zh-CN"/>
        </w:rPr>
        <w:t>3.</w:t>
      </w:r>
      <w:r>
        <w:rPr>
          <w:rFonts w:hint="default" w:ascii="Times New Roman" w:hAnsi="Times New Roman" w:eastAsia="仿宋_GB2312" w:cs="Times New Roman"/>
          <w:color w:val="auto"/>
          <w:kern w:val="28"/>
          <w:sz w:val="32"/>
          <w:szCs w:val="32"/>
        </w:rPr>
        <w:t>本</w:t>
      </w:r>
      <w:r>
        <w:rPr>
          <w:rFonts w:hint="default" w:ascii="Times New Roman" w:hAnsi="Times New Roman" w:eastAsia="仿宋_GB2312" w:cs="Times New Roman"/>
          <w:color w:val="auto"/>
          <w:kern w:val="28"/>
          <w:sz w:val="32"/>
          <w:szCs w:val="32"/>
          <w:lang w:val="en-US" w:eastAsia="zh-CN"/>
        </w:rPr>
        <w:t>合同</w:t>
      </w:r>
      <w:r>
        <w:rPr>
          <w:rFonts w:hint="default" w:ascii="Times New Roman" w:hAnsi="Times New Roman" w:eastAsia="仿宋_GB2312" w:cs="Times New Roman"/>
          <w:color w:val="auto"/>
          <w:kern w:val="28"/>
          <w:sz w:val="32"/>
          <w:szCs w:val="32"/>
        </w:rPr>
        <w:t>一式</w:t>
      </w:r>
      <w:r>
        <w:rPr>
          <w:rFonts w:hint="default" w:ascii="Times New Roman" w:hAnsi="Times New Roman" w:eastAsia="仿宋_GB2312" w:cs="Times New Roman"/>
          <w:color w:val="auto"/>
          <w:kern w:val="28"/>
          <w:sz w:val="32"/>
          <w:szCs w:val="32"/>
          <w:lang w:eastAsia="zh-CN"/>
        </w:rPr>
        <w:t>四份</w:t>
      </w:r>
      <w:r>
        <w:rPr>
          <w:rFonts w:hint="default" w:ascii="Times New Roman" w:hAnsi="Times New Roman" w:eastAsia="仿宋_GB2312" w:cs="Times New Roman"/>
          <w:color w:val="auto"/>
          <w:kern w:val="28"/>
          <w:sz w:val="32"/>
          <w:szCs w:val="32"/>
        </w:rPr>
        <w:t>，甲乙双方各执两份，</w:t>
      </w:r>
      <w:r>
        <w:rPr>
          <w:rFonts w:hint="default" w:ascii="Times New Roman" w:hAnsi="Times New Roman" w:eastAsia="仿宋_GB2312" w:cs="Times New Roman"/>
          <w:color w:val="auto"/>
          <w:kern w:val="28"/>
          <w:sz w:val="32"/>
          <w:szCs w:val="32"/>
          <w:lang w:val="en-US" w:eastAsia="zh-Hans"/>
        </w:rPr>
        <w:t>均具有同等法律效力</w:t>
      </w:r>
      <w:r>
        <w:rPr>
          <w:rFonts w:hint="default" w:ascii="Times New Roman" w:hAnsi="Times New Roman" w:eastAsia="仿宋_GB2312" w:cs="Times New Roman"/>
          <w:color w:val="auto"/>
          <w:kern w:val="28"/>
          <w:sz w:val="32"/>
          <w:szCs w:val="32"/>
        </w:rPr>
        <w:t>。</w:t>
      </w:r>
    </w:p>
    <w:p w14:paraId="5D3AFD3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8"/>
          <w:sz w:val="32"/>
          <w:szCs w:val="32"/>
        </w:rPr>
      </w:pPr>
      <w:r>
        <w:rPr>
          <w:rFonts w:hint="default" w:ascii="Times New Roman" w:hAnsi="Times New Roman" w:eastAsia="仿宋_GB2312" w:cs="Times New Roman"/>
          <w:color w:val="auto"/>
          <w:kern w:val="28"/>
          <w:sz w:val="32"/>
          <w:szCs w:val="32"/>
          <w:lang w:eastAsia="zh-CN"/>
        </w:rPr>
        <w:t>4.</w:t>
      </w:r>
      <w:r>
        <w:rPr>
          <w:rFonts w:hint="default" w:ascii="Times New Roman" w:hAnsi="Times New Roman" w:eastAsia="仿宋_GB2312" w:cs="Times New Roman"/>
          <w:color w:val="auto"/>
          <w:kern w:val="28"/>
          <w:sz w:val="32"/>
          <w:szCs w:val="32"/>
        </w:rPr>
        <w:t>本</w:t>
      </w:r>
      <w:r>
        <w:rPr>
          <w:rFonts w:hint="default" w:ascii="Times New Roman" w:hAnsi="Times New Roman" w:eastAsia="仿宋_GB2312" w:cs="Times New Roman"/>
          <w:color w:val="auto"/>
          <w:kern w:val="28"/>
          <w:sz w:val="32"/>
          <w:szCs w:val="32"/>
          <w:lang w:val="en-US" w:eastAsia="zh-CN"/>
        </w:rPr>
        <w:t>合同</w:t>
      </w:r>
      <w:r>
        <w:rPr>
          <w:rFonts w:hint="default" w:ascii="Times New Roman" w:hAnsi="Times New Roman" w:eastAsia="仿宋_GB2312" w:cs="Times New Roman"/>
          <w:color w:val="auto"/>
          <w:kern w:val="28"/>
          <w:sz w:val="32"/>
          <w:szCs w:val="32"/>
        </w:rPr>
        <w:t>经双方签字盖章后生效。</w:t>
      </w:r>
    </w:p>
    <w:p w14:paraId="525B7169">
      <w:pPr>
        <w:pStyle w:val="2"/>
        <w:rPr>
          <w:rFonts w:hint="default" w:ascii="Times New Roman" w:hAnsi="Times New Roman" w:eastAsia="宋体" w:cs="Times New Roman"/>
          <w:b/>
          <w:color w:val="auto"/>
          <w:spacing w:val="-20"/>
          <w:kern w:val="0"/>
          <w:sz w:val="28"/>
          <w:szCs w:val="28"/>
          <w:lang w:val="en-US" w:eastAsia="zh-CN"/>
        </w:rPr>
      </w:pPr>
    </w:p>
    <w:p w14:paraId="499BD542">
      <w:pPr>
        <w:rPr>
          <w:rFonts w:hint="default" w:ascii="Times New Roman" w:hAnsi="Times New Roman" w:cs="Times New Roman"/>
          <w:color w:val="auto"/>
          <w:lang w:val="en-US" w:eastAsia="zh-CN"/>
        </w:rPr>
      </w:pPr>
    </w:p>
    <w:p w14:paraId="519755DB">
      <w:pPr>
        <w:keepNext w:val="0"/>
        <w:keepLines w:val="0"/>
        <w:pageBreakBefore w:val="0"/>
        <w:kinsoku/>
        <w:wordWrap/>
        <w:overflowPunct/>
        <w:topLinePunct w:val="0"/>
        <w:autoSpaceDE/>
        <w:autoSpaceDN/>
        <w:bidi w:val="0"/>
        <w:adjustRightInd/>
        <w:snapToGrid/>
        <w:spacing w:line="600" w:lineRule="exact"/>
        <w:ind w:firstLine="482" w:firstLineChars="200"/>
        <w:textAlignment w:val="auto"/>
        <w:rPr>
          <w:rFonts w:hint="default" w:ascii="Times New Roman" w:hAnsi="Times New Roman" w:cs="Times New Roman"/>
          <w:b/>
          <w:color w:val="auto"/>
          <w:spacing w:val="-20"/>
          <w:kern w:val="0"/>
          <w:sz w:val="28"/>
          <w:szCs w:val="28"/>
        </w:rPr>
      </w:pPr>
    </w:p>
    <w:p w14:paraId="7130F3C9">
      <w:pPr>
        <w:keepNext w:val="0"/>
        <w:keepLines w:val="0"/>
        <w:pageBreakBefore w:val="0"/>
        <w:widowControl w:val="0"/>
        <w:kinsoku/>
        <w:wordWrap/>
        <w:overflowPunct/>
        <w:topLinePunct w:val="0"/>
        <w:autoSpaceDE/>
        <w:autoSpaceDN/>
        <w:bidi w:val="0"/>
        <w:adjustRightInd/>
        <w:snapToGrid/>
        <w:spacing w:after="313" w:afterLines="100" w:line="720" w:lineRule="auto"/>
        <w:ind w:firstLine="0" w:firstLineChars="0"/>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pacing w:val="-20"/>
          <w:kern w:val="0"/>
          <w:sz w:val="28"/>
          <w:szCs w:val="28"/>
        </w:rPr>
        <w:t xml:space="preserve">甲方（盖章）：                                 </w:t>
      </w:r>
      <w:r>
        <w:rPr>
          <w:rFonts w:hint="eastAsia" w:ascii="黑体" w:hAnsi="黑体" w:eastAsia="黑体" w:cs="黑体"/>
          <w:b w:val="0"/>
          <w:bCs/>
          <w:color w:val="auto"/>
          <w:sz w:val="28"/>
          <w:szCs w:val="28"/>
        </w:rPr>
        <w:t>乙方（盖章）：</w:t>
      </w:r>
    </w:p>
    <w:p w14:paraId="4747DD6E">
      <w:pPr>
        <w:keepNext w:val="0"/>
        <w:keepLines w:val="0"/>
        <w:pageBreakBefore w:val="0"/>
        <w:widowControl w:val="0"/>
        <w:kinsoku/>
        <w:wordWrap/>
        <w:overflowPunct/>
        <w:topLinePunct w:val="0"/>
        <w:autoSpaceDE/>
        <w:autoSpaceDN/>
        <w:bidi w:val="0"/>
        <w:adjustRightInd/>
        <w:snapToGrid/>
        <w:spacing w:after="313" w:afterLines="100" w:line="720" w:lineRule="auto"/>
        <w:ind w:firstLine="0" w:firstLineChars="0"/>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kern w:val="0"/>
          <w:sz w:val="28"/>
          <w:szCs w:val="28"/>
        </w:rPr>
        <w:t xml:space="preserve">法定代表人/签约代表：               </w:t>
      </w:r>
      <w:r>
        <w:rPr>
          <w:rFonts w:hint="eastAsia" w:ascii="黑体" w:hAnsi="黑体" w:eastAsia="黑体" w:cs="黑体"/>
          <w:b w:val="0"/>
          <w:bCs/>
          <w:color w:val="auto"/>
          <w:sz w:val="28"/>
          <w:szCs w:val="28"/>
        </w:rPr>
        <w:t>法定代表人/签约代表：</w:t>
      </w:r>
    </w:p>
    <w:p w14:paraId="5CEAED02">
      <w:pPr>
        <w:pStyle w:val="2"/>
        <w:keepNext w:val="0"/>
        <w:keepLines w:val="0"/>
        <w:pageBreakBefore w:val="0"/>
        <w:kinsoku/>
        <w:overflowPunct/>
        <w:topLinePunct w:val="0"/>
        <w:autoSpaceDE/>
        <w:autoSpaceDN/>
        <w:bidi w:val="0"/>
        <w:spacing w:line="560" w:lineRule="exact"/>
        <w:rPr>
          <w:rFonts w:hint="default" w:ascii="Times New Roman" w:hAnsi="Times New Roman" w:cs="Times New Roman"/>
        </w:rPr>
      </w:pPr>
      <w:r>
        <w:rPr>
          <w:rFonts w:hint="eastAsia" w:ascii="黑体" w:hAnsi="黑体" w:eastAsia="黑体" w:cs="黑体"/>
          <w:b w:val="0"/>
          <w:bCs/>
          <w:color w:val="auto"/>
          <w:kern w:val="0"/>
          <w:sz w:val="28"/>
          <w:szCs w:val="28"/>
        </w:rPr>
        <w:t xml:space="preserve">签订日期：   </w:t>
      </w:r>
      <w:r>
        <w:rPr>
          <w:rFonts w:hint="eastAsia" w:ascii="黑体" w:hAnsi="黑体" w:eastAsia="黑体" w:cs="黑体"/>
          <w:b w:val="0"/>
          <w:bCs/>
          <w:color w:val="auto"/>
          <w:kern w:val="0"/>
          <w:sz w:val="28"/>
          <w:szCs w:val="28"/>
          <w:lang w:val="en-US" w:eastAsia="zh-CN"/>
        </w:rPr>
        <w:t xml:space="preserve"> </w:t>
      </w:r>
      <w:r>
        <w:rPr>
          <w:rFonts w:hint="eastAsia" w:ascii="黑体" w:hAnsi="黑体" w:eastAsia="黑体" w:cs="黑体"/>
          <w:b w:val="0"/>
          <w:bCs/>
          <w:color w:val="auto"/>
          <w:kern w:val="0"/>
          <w:sz w:val="28"/>
          <w:szCs w:val="28"/>
        </w:rPr>
        <w:t xml:space="preserve">年  </w:t>
      </w:r>
      <w:r>
        <w:rPr>
          <w:rFonts w:hint="eastAsia" w:ascii="黑体" w:hAnsi="黑体" w:eastAsia="黑体" w:cs="黑体"/>
          <w:b w:val="0"/>
          <w:bCs/>
          <w:color w:val="auto"/>
          <w:kern w:val="0"/>
          <w:sz w:val="28"/>
          <w:szCs w:val="28"/>
          <w:lang w:val="en-US" w:eastAsia="zh-CN"/>
        </w:rPr>
        <w:t xml:space="preserve"> </w:t>
      </w:r>
      <w:r>
        <w:rPr>
          <w:rFonts w:hint="eastAsia" w:ascii="黑体" w:hAnsi="黑体" w:eastAsia="黑体" w:cs="黑体"/>
          <w:b w:val="0"/>
          <w:bCs/>
          <w:color w:val="auto"/>
          <w:kern w:val="0"/>
          <w:sz w:val="28"/>
          <w:szCs w:val="28"/>
        </w:rPr>
        <w:t xml:space="preserve">月 </w:t>
      </w:r>
      <w:r>
        <w:rPr>
          <w:rFonts w:hint="eastAsia" w:ascii="黑体" w:hAnsi="黑体" w:eastAsia="黑体" w:cs="黑体"/>
          <w:b w:val="0"/>
          <w:bCs/>
          <w:color w:val="auto"/>
          <w:kern w:val="0"/>
          <w:sz w:val="28"/>
          <w:szCs w:val="28"/>
          <w:lang w:val="en-US" w:eastAsia="zh-CN"/>
        </w:rPr>
        <w:t xml:space="preserve"> </w:t>
      </w:r>
      <w:r>
        <w:rPr>
          <w:rFonts w:hint="eastAsia" w:ascii="黑体" w:hAnsi="黑体" w:eastAsia="黑体" w:cs="黑体"/>
          <w:b w:val="0"/>
          <w:bCs/>
          <w:color w:val="auto"/>
          <w:kern w:val="0"/>
          <w:sz w:val="28"/>
          <w:szCs w:val="28"/>
        </w:rPr>
        <w:t xml:space="preserve">日         </w:t>
      </w:r>
      <w:r>
        <w:rPr>
          <w:rFonts w:hint="eastAsia" w:ascii="黑体" w:hAnsi="黑体" w:eastAsia="黑体" w:cs="黑体"/>
          <w:b w:val="0"/>
          <w:bCs/>
          <w:color w:val="auto"/>
          <w:kern w:val="0"/>
          <w:sz w:val="28"/>
          <w:szCs w:val="28"/>
          <w:lang w:val="en-US" w:eastAsia="zh-CN"/>
        </w:rPr>
        <w:t xml:space="preserve">  </w:t>
      </w:r>
      <w:r>
        <w:rPr>
          <w:rFonts w:hint="eastAsia" w:ascii="黑体" w:hAnsi="黑体" w:eastAsia="黑体" w:cs="黑体"/>
          <w:b w:val="0"/>
          <w:bCs/>
          <w:color w:val="auto"/>
          <w:kern w:val="0"/>
          <w:sz w:val="28"/>
          <w:szCs w:val="28"/>
        </w:rPr>
        <w:t xml:space="preserve">签订日期：   </w:t>
      </w:r>
      <w:r>
        <w:rPr>
          <w:rFonts w:hint="eastAsia" w:ascii="黑体" w:hAnsi="黑体" w:eastAsia="黑体" w:cs="黑体"/>
          <w:b w:val="0"/>
          <w:bCs/>
          <w:color w:val="auto"/>
          <w:kern w:val="0"/>
          <w:sz w:val="28"/>
          <w:szCs w:val="28"/>
          <w:lang w:val="en-US" w:eastAsia="zh-CN"/>
        </w:rPr>
        <w:t xml:space="preserve"> </w:t>
      </w:r>
      <w:r>
        <w:rPr>
          <w:rFonts w:hint="eastAsia" w:ascii="黑体" w:hAnsi="黑体" w:eastAsia="黑体" w:cs="黑体"/>
          <w:b w:val="0"/>
          <w:bCs/>
          <w:color w:val="auto"/>
          <w:kern w:val="0"/>
          <w:sz w:val="28"/>
          <w:szCs w:val="28"/>
        </w:rPr>
        <w:t xml:space="preserve">年  </w:t>
      </w:r>
      <w:r>
        <w:rPr>
          <w:rFonts w:hint="eastAsia" w:ascii="黑体" w:hAnsi="黑体" w:eastAsia="黑体" w:cs="黑体"/>
          <w:b w:val="0"/>
          <w:bCs/>
          <w:color w:val="auto"/>
          <w:kern w:val="0"/>
          <w:sz w:val="28"/>
          <w:szCs w:val="28"/>
          <w:lang w:val="en-US" w:eastAsia="zh-CN"/>
        </w:rPr>
        <w:t xml:space="preserve"> </w:t>
      </w:r>
      <w:r>
        <w:rPr>
          <w:rFonts w:hint="eastAsia" w:ascii="黑体" w:hAnsi="黑体" w:eastAsia="黑体" w:cs="黑体"/>
          <w:b w:val="0"/>
          <w:bCs/>
          <w:color w:val="auto"/>
          <w:kern w:val="0"/>
          <w:sz w:val="28"/>
          <w:szCs w:val="28"/>
        </w:rPr>
        <w:t>月  日</w:t>
      </w:r>
    </w:p>
    <w:p w14:paraId="700C20F2"/>
    <w:sectPr>
      <w:pgSz w:w="11906" w:h="16838"/>
      <w:pgMar w:top="1440" w:right="1293" w:bottom="1440" w:left="1293"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ABFC16"/>
    <w:multiLevelType w:val="singleLevel"/>
    <w:tmpl w:val="A9ABFC16"/>
    <w:lvl w:ilvl="0" w:tentative="0">
      <w:start w:val="1"/>
      <w:numFmt w:val="chineseCounting"/>
      <w:suff w:val="nothing"/>
      <w:lvlText w:val="%1、"/>
      <w:lvlJc w:val="left"/>
      <w:rPr>
        <w:rFonts w:hint="eastAsia" w:ascii="黑体" w:hAnsi="黑体" w:eastAsia="黑体" w:cs="黑体"/>
      </w:rPr>
    </w:lvl>
  </w:abstractNum>
  <w:abstractNum w:abstractNumId="1">
    <w:nsid w:val="BE91902D"/>
    <w:multiLevelType w:val="singleLevel"/>
    <w:tmpl w:val="BE91902D"/>
    <w:lvl w:ilvl="0" w:tentative="0">
      <w:start w:val="1"/>
      <w:numFmt w:val="chineseCounting"/>
      <w:suff w:val="nothing"/>
      <w:lvlText w:val="（%1）"/>
      <w:lvlJc w:val="left"/>
      <w:pPr>
        <w:ind w:left="0" w:firstLine="1134"/>
      </w:pPr>
      <w:rPr>
        <w:rFonts w:hint="eastAsia" w:ascii="楷体_GB2312" w:hAnsi="楷体_GB2312" w:eastAsia="楷体_GB2312" w:cs="楷体_GB2312"/>
        <w:b w:val="0"/>
        <w:bCs w:val="0"/>
        <w:sz w:val="32"/>
        <w:szCs w:val="32"/>
      </w:rPr>
    </w:lvl>
  </w:abstractNum>
  <w:abstractNum w:abstractNumId="2">
    <w:nsid w:val="4980AE8D"/>
    <w:multiLevelType w:val="singleLevel"/>
    <w:tmpl w:val="4980AE8D"/>
    <w:lvl w:ilvl="0" w:tentative="0">
      <w:start w:val="1"/>
      <w:numFmt w:val="chineseCounting"/>
      <w:suff w:val="nothing"/>
      <w:lvlText w:val="（%1）"/>
      <w:lvlJc w:val="left"/>
      <w:pPr>
        <w:ind w:left="0" w:firstLine="1134"/>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E7E23"/>
    <w:rsid w:val="260B5A06"/>
    <w:rsid w:val="584433AB"/>
    <w:rsid w:val="58E73D8C"/>
    <w:rsid w:val="59A40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2025-09-11T09:36:00Z</dcterms:created>
  <dc:creator>Administrator</dc:creator>
  <cp:lastModifiedBy>冯绮婷</cp:lastModifiedBy>
  <dcterms:modified xsi:type="dcterms:W3CDTF">2026-04-30T03:42:00Z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AC455713077F4785B5D633EE2E2838FD_12</vt:lpwstr>
  </property>
  <property fmtid="{D5CDD505-2E9C-101B-9397-08002B2CF9AE}" pid="4" name="KSOTemplateDocerSaveRecord">
    <vt:lpwstr>eyJoZGlkIjoiY2RhNDc3NTBjN2Q1Zjc0YmMyYjAwZjBmNWU0YjJhZmYiLCJ1c2VySWQiOiI0MTIxMzY1OTEifQ==</vt:lpwstr>
  </property>
</Properties>
</file>