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E2B17">
      <w:pPr>
        <w:keepNext w:val="0"/>
        <w:keepLines w:val="0"/>
        <w:pageBreakBefore w:val="0"/>
        <w:kinsoku/>
        <w:wordWrap/>
        <w:overflowPunct/>
        <w:topLinePunct w:val="0"/>
        <w:bidi w:val="0"/>
        <w:snapToGrid/>
        <w:spacing w:line="600" w:lineRule="exact"/>
        <w:rPr>
          <w:rFonts w:hint="eastAsia" w:ascii="CESI黑体-GB2312" w:hAnsi="CESI黑体-GB2312" w:eastAsia="CESI黑体-GB2312" w:cs="CESI黑体-GB2312"/>
          <w:b w:val="0"/>
          <w:bCs/>
          <w:color w:val="000000"/>
          <w:sz w:val="32"/>
          <w:szCs w:val="32"/>
          <w:lang w:val="en-US" w:eastAsia="zh-CN"/>
        </w:rPr>
      </w:pPr>
      <w:r>
        <w:rPr>
          <w:rFonts w:hint="eastAsia" w:ascii="CESI黑体-GB2312" w:hAnsi="CESI黑体-GB2312" w:eastAsia="CESI黑体-GB2312" w:cs="CESI黑体-GB2312"/>
          <w:b w:val="0"/>
          <w:bCs/>
          <w:color w:val="000000"/>
          <w:sz w:val="32"/>
          <w:szCs w:val="32"/>
          <w:lang w:val="en-US" w:eastAsia="zh-CN"/>
        </w:rPr>
        <w:t>附件3</w:t>
      </w:r>
    </w:p>
    <w:p w14:paraId="77CDBF77">
      <w:pPr>
        <w:keepNext w:val="0"/>
        <w:keepLines w:val="0"/>
        <w:pageBreakBefore w:val="0"/>
        <w:kinsoku/>
        <w:wordWrap/>
        <w:overflowPunct/>
        <w:topLinePunct w:val="0"/>
        <w:bidi w:val="0"/>
        <w:snapToGrid/>
        <w:spacing w:line="600" w:lineRule="exact"/>
        <w:ind w:firstLine="560" w:firstLineChars="200"/>
        <w:rPr>
          <w:rFonts w:hint="eastAsia" w:eastAsia="宋体"/>
          <w:b w:val="0"/>
          <w:bCs/>
          <w:color w:val="000000"/>
          <w:sz w:val="28"/>
          <w:szCs w:val="28"/>
          <w:lang w:val="en-US" w:eastAsia="zh-CN"/>
        </w:rPr>
      </w:pPr>
    </w:p>
    <w:p w14:paraId="79CE20EC">
      <w:pPr>
        <w:pStyle w:val="4"/>
        <w:keepNext w:val="0"/>
        <w:keepLines w:val="0"/>
        <w:pageBreakBefore w:val="0"/>
        <w:tabs>
          <w:tab w:val="clear" w:pos="2620"/>
          <w:tab w:val="clear" w:pos="7040"/>
        </w:tabs>
        <w:kinsoku/>
        <w:wordWrap/>
        <w:overflowPunct/>
        <w:topLinePunct w:val="0"/>
        <w:bidi w:val="0"/>
        <w:snapToGrid/>
        <w:spacing w:line="600" w:lineRule="exact"/>
        <w:jc w:val="center"/>
        <w:outlineLvl w:val="0"/>
        <w:rPr>
          <w:rFonts w:hint="eastAsia" w:ascii="方正小标宋简体" w:hAnsi="方正小标宋简体" w:eastAsia="方正小标宋简体" w:cs="方正小标宋简体"/>
          <w:sz w:val="44"/>
          <w:szCs w:val="44"/>
          <w:lang w:val="en-US"/>
        </w:rPr>
      </w:pPr>
      <w:bookmarkStart w:id="0" w:name="_Toc18068"/>
      <w:r>
        <w:rPr>
          <w:rFonts w:hint="eastAsia" w:ascii="方正小标宋简体" w:hAnsi="方正小标宋简体" w:eastAsia="方正小标宋简体" w:cs="方正小标宋简体"/>
          <w:sz w:val="44"/>
          <w:szCs w:val="44"/>
          <w:lang w:val="en-US"/>
        </w:rPr>
        <w:t>基金会年度检查办法</w:t>
      </w:r>
      <w:bookmarkEnd w:id="0"/>
    </w:p>
    <w:p w14:paraId="2FA0905D">
      <w:pPr>
        <w:keepNext w:val="0"/>
        <w:keepLines w:val="0"/>
        <w:pageBreakBefore w:val="0"/>
        <w:kinsoku/>
        <w:wordWrap/>
        <w:overflowPunct/>
        <w:topLinePunct w:val="0"/>
        <w:bidi w:val="0"/>
        <w:snapToGrid/>
        <w:spacing w:line="600" w:lineRule="exact"/>
        <w:jc w:val="center"/>
        <w:outlineLvl w:val="1"/>
        <w:rPr>
          <w:rFonts w:hint="eastAsia" w:ascii="CESI楷体-GB2312" w:hAnsi="CESI楷体-GB2312" w:eastAsia="CESI楷体-GB2312" w:cs="CESI楷体-GB2312"/>
          <w:color w:val="000000"/>
          <w:sz w:val="32"/>
          <w:szCs w:val="32"/>
        </w:rPr>
      </w:pPr>
      <w:bookmarkStart w:id="1" w:name="_Toc18777"/>
      <w:r>
        <w:rPr>
          <w:rFonts w:hint="eastAsia" w:ascii="CESI楷体-GB2312" w:hAnsi="CESI楷体-GB2312" w:eastAsia="CESI楷体-GB2312" w:cs="CESI楷体-GB2312"/>
          <w:color w:val="000000"/>
          <w:sz w:val="32"/>
          <w:szCs w:val="32"/>
        </w:rPr>
        <w:t>（民政部令第30号 2006年1月12日）</w:t>
      </w:r>
      <w:bookmarkEnd w:id="1"/>
    </w:p>
    <w:p w14:paraId="634F6547">
      <w:pPr>
        <w:keepNext w:val="0"/>
        <w:keepLines w:val="0"/>
        <w:pageBreakBefore w:val="0"/>
        <w:kinsoku/>
        <w:wordWrap/>
        <w:overflowPunct/>
        <w:topLinePunct w:val="0"/>
        <w:bidi w:val="0"/>
        <w:snapToGrid/>
        <w:spacing w:line="600" w:lineRule="exact"/>
        <w:ind w:firstLine="488"/>
        <w:rPr>
          <w:rFonts w:ascii="宋体" w:hAnsi="宋体"/>
          <w:color w:val="000000"/>
          <w:sz w:val="28"/>
          <w:szCs w:val="28"/>
        </w:rPr>
      </w:pPr>
    </w:p>
    <w:p w14:paraId="13EE179C">
      <w:pPr>
        <w:keepNext w:val="0"/>
        <w:keepLines w:val="0"/>
        <w:pageBreakBefore w:val="0"/>
        <w:kinsoku/>
        <w:wordWrap/>
        <w:overflowPunct/>
        <w:topLinePunct w:val="0"/>
        <w:bidi w:val="0"/>
        <w:snapToGrid/>
        <w:spacing w:line="600" w:lineRule="exact"/>
        <w:ind w:firstLine="488"/>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第一条</w:t>
      </w:r>
      <w:r>
        <w:rPr>
          <w:rFonts w:hint="eastAsia" w:ascii="仿宋_GB2312" w:hAnsi="仿宋_GB2312" w:eastAsia="仿宋_GB2312" w:cs="仿宋_GB2312"/>
          <w:color w:val="000000"/>
          <w:sz w:val="32"/>
          <w:szCs w:val="32"/>
        </w:rPr>
        <w:t xml:space="preserve"> 为加强对基金会和境外基金会代表机构的管理，促进公益事业发展，根据《</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基金会管理条例</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》（以下简称</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《条例》</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"javascript:SLC(52033,34)"</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三十四条</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第一项、第</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"javascript:SLC(52033,36)"</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三十六条</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的规定，制定本办法。</w:t>
      </w:r>
    </w:p>
    <w:p w14:paraId="43BE5BFC">
      <w:pPr>
        <w:keepNext w:val="0"/>
        <w:keepLines w:val="0"/>
        <w:pageBreakBefore w:val="0"/>
        <w:kinsoku/>
        <w:wordWrap/>
        <w:overflowPunct/>
        <w:topLinePunct w:val="0"/>
        <w:bidi w:val="0"/>
        <w:snapToGrid/>
        <w:spacing w:line="600" w:lineRule="exact"/>
        <w:ind w:firstLine="488"/>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第二条</w:t>
      </w:r>
      <w:r>
        <w:rPr>
          <w:rFonts w:hint="eastAsia" w:ascii="仿宋_GB2312" w:hAnsi="仿宋_GB2312" w:eastAsia="仿宋_GB2312" w:cs="仿宋_GB2312"/>
          <w:color w:val="000000"/>
          <w:sz w:val="32"/>
          <w:szCs w:val="32"/>
        </w:rPr>
        <w:t xml:space="preserve"> 基金会年度检查，是指基金会登记管理机关依法按年度对基金会、境外基金会代表机构遵守法律、法规、规章和章程开展活动的情况实施监督管理的制度。</w:t>
      </w:r>
    </w:p>
    <w:p w14:paraId="10062090">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第三条</w:t>
      </w:r>
      <w:r>
        <w:rPr>
          <w:rFonts w:hint="eastAsia" w:ascii="仿宋_GB2312" w:hAnsi="仿宋_GB2312" w:eastAsia="仿宋_GB2312" w:cs="仿宋_GB2312"/>
          <w:color w:val="000000"/>
          <w:sz w:val="32"/>
          <w:szCs w:val="32"/>
        </w:rPr>
        <w:t xml:space="preserve"> 基金会、境外基金会代表机构应当于每年3月31日前向登记管理机关报送经业务主管单位审查同意的上一年度的年度工作报告，接受登记管理机关检查。</w:t>
      </w:r>
    </w:p>
    <w:p w14:paraId="5E990069">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第四条</w:t>
      </w:r>
      <w:r>
        <w:rPr>
          <w:rFonts w:hint="eastAsia" w:ascii="仿宋_GB2312" w:hAnsi="仿宋_GB2312" w:eastAsia="仿宋_GB2312" w:cs="仿宋_GB2312"/>
          <w:color w:val="000000"/>
          <w:sz w:val="32"/>
          <w:szCs w:val="32"/>
        </w:rPr>
        <w:t xml:space="preserve"> 年度工作报告的内容应当包括：财务会计报告、注册会计师审计报告，开展募捐、接受捐赠、提供资助等活动的情况以及人员和机构的变动情况等。</w:t>
      </w:r>
    </w:p>
    <w:p w14:paraId="1113CD65">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财务会计报告应当符合《</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"javascript:SLC(168539,0)"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民间非营利组织会计制度</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规定的内容和要求；注册会计师审计报告，应当有注册会计师事务所统一受理并与被审计的基金会、境外基金会代表机构签订委托合同的证明；开展募捐、接受捐赠、提供资助等活动情况应当有基金会履行信息公布义务的情况；人员和机构变动情况应当有按照规定办理变更登记情况以及基金会换届的会议纪要和更换法定代表人之前进行财务审计的情况等。</w:t>
      </w:r>
    </w:p>
    <w:p w14:paraId="1998F126">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第五条</w:t>
      </w:r>
      <w:r>
        <w:rPr>
          <w:rFonts w:hint="eastAsia" w:ascii="仿宋_GB2312" w:hAnsi="仿宋_GB2312" w:eastAsia="仿宋_GB2312" w:cs="仿宋_GB2312"/>
          <w:color w:val="000000"/>
          <w:sz w:val="32"/>
          <w:szCs w:val="32"/>
        </w:rPr>
        <w:t xml:space="preserve"> 年度检查过程中，登记管理机关可以要求基金会、境外基金会代表机构或者有关人员就年度工作报告中涉及的有关问题进行补充说明，必要时可以进行实地检查。</w:t>
      </w:r>
    </w:p>
    <w:p w14:paraId="3D90455D">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第六条</w:t>
      </w:r>
      <w:r>
        <w:rPr>
          <w:rFonts w:hint="eastAsia" w:ascii="仿宋_GB2312" w:hAnsi="仿宋_GB2312" w:eastAsia="仿宋_GB2312" w:cs="仿宋_GB2312"/>
          <w:color w:val="000000"/>
          <w:sz w:val="32"/>
          <w:szCs w:val="32"/>
        </w:rPr>
        <w:t xml:space="preserve"> 经登记管理机关审查，基金会、境外基金会代表机构在上一年度遵守法律、法规、规章和章程的情况良好，没有违法违规情形的，认定为年检合格。</w:t>
      </w:r>
    </w:p>
    <w:p w14:paraId="6F7D28A4">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第七条</w:t>
      </w:r>
      <w:r>
        <w:rPr>
          <w:rFonts w:hint="eastAsia" w:ascii="仿宋_GB2312" w:hAnsi="仿宋_GB2312" w:eastAsia="仿宋_GB2312" w:cs="仿宋_GB2312"/>
          <w:color w:val="000000"/>
          <w:sz w:val="32"/>
          <w:szCs w:val="32"/>
        </w:rPr>
        <w:t xml:space="preserve"> 基金会、境外基金会代表机构有下列情形之一的，登记管理机关应当视情节轻重分别作出年检基本合格、年检不合格的结论：</w:t>
      </w:r>
    </w:p>
    <w:p w14:paraId="5692EE24">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《条例》</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"javascript:SLC(52033,39)"</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三十九条</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第二款规定，不按照捐赠协议使用捐赠财产的；</w:t>
      </w:r>
    </w:p>
    <w:p w14:paraId="0A3C81E9">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《条例》</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"javascript:SLC(52033,40)"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四十条</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规定，擅自设立基金会分支机构、代表机构的；</w:t>
      </w:r>
    </w:p>
    <w:p w14:paraId="20C7E435">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（三）具有</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《条例》</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"javascript:SLC(52033,42)"</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四十二条</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规定的应当给予行政处罚的情形之一的；</w:t>
      </w:r>
    </w:p>
    <w:p w14:paraId="4861117C">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（四）违反</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《条例》</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"javascript:SLC(52033,43)"</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四十三条</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第二款规定，基金会理事、监事及专职工作人员私分、侵占、挪用基金会财产的；</w:t>
      </w:r>
    </w:p>
    <w:p w14:paraId="76270495">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（五）违反国家其他有关规定的。</w:t>
      </w:r>
    </w:p>
    <w:p w14:paraId="74BCF063">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登记管理机关作出基本合格或者不合格年检结论后，应当责令该基金会或者境外基金会代表机构限期整改，并视情况依据</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《条例》</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有关规定给予行政处罚。</w:t>
      </w:r>
    </w:p>
    <w:p w14:paraId="6F3CDF16">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第八条</w:t>
      </w:r>
      <w:r>
        <w:rPr>
          <w:rFonts w:hint="eastAsia" w:ascii="仿宋_GB2312" w:hAnsi="仿宋_GB2312" w:eastAsia="仿宋_GB2312" w:cs="仿宋_GB2312"/>
          <w:color w:val="000000"/>
          <w:sz w:val="32"/>
          <w:szCs w:val="32"/>
        </w:rPr>
        <w:t xml:space="preserve"> 年度检查不合格的基金会、境外基金会代表机构在整改期间，登记管理机关不准予变更名称或者业务范围，不准予设立分支机构或者代表机构。登记管理机关应当提请税务机关责令补交违法行为存续期间所享受的税收减免。</w:t>
      </w:r>
    </w:p>
    <w:p w14:paraId="3A0CB63B">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第九条</w:t>
      </w:r>
      <w:r>
        <w:rPr>
          <w:rFonts w:hint="eastAsia" w:ascii="仿宋_GB2312" w:hAnsi="仿宋_GB2312" w:eastAsia="仿宋_GB2312" w:cs="仿宋_GB2312"/>
          <w:color w:val="000000"/>
          <w:sz w:val="32"/>
          <w:szCs w:val="32"/>
        </w:rPr>
        <w:t xml:space="preserve"> 通过年度检查发现基金会、基金会分支机构、基金会代表机构或者境外基金会代表机构有</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"javascript:SLC(52033,0)"</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《条例》</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"javascript:SLC(52033,41)"</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四十一条</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规定的情形之一的，登记管理机关应当依法撤销登记。</w:t>
      </w:r>
    </w:p>
    <w:p w14:paraId="4E923F5B">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第十条</w:t>
      </w:r>
      <w:r>
        <w:rPr>
          <w:rFonts w:hint="eastAsia" w:ascii="仿宋_GB2312" w:hAnsi="仿宋_GB2312" w:eastAsia="仿宋_GB2312" w:cs="仿宋_GB2312"/>
          <w:color w:val="000000"/>
          <w:sz w:val="32"/>
          <w:szCs w:val="32"/>
        </w:rPr>
        <w:t xml:space="preserve"> 基金会、境外基金会代表机构无正当理由不参加年检的，由登记管理机关责令停止活动，并向社会公告。</w:t>
      </w:r>
    </w:p>
    <w:p w14:paraId="68126C38">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第十一条</w:t>
      </w:r>
      <w:r>
        <w:rPr>
          <w:rFonts w:hint="eastAsia" w:ascii="仿宋_GB2312" w:hAnsi="仿宋_GB2312" w:eastAsia="仿宋_GB2312" w:cs="仿宋_GB2312"/>
          <w:color w:val="000000"/>
          <w:sz w:val="32"/>
          <w:szCs w:val="32"/>
        </w:rPr>
        <w:t xml:space="preserve"> 基金会、境外基金会代表机构连续两年不接受年检的，由登记管理机关依法撤销登记。</w:t>
      </w:r>
    </w:p>
    <w:p w14:paraId="054D468E">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第十二条</w:t>
      </w:r>
      <w:r>
        <w:rPr>
          <w:rFonts w:hint="eastAsia" w:ascii="仿宋_GB2312" w:hAnsi="仿宋_GB2312" w:eastAsia="仿宋_GB2312" w:cs="仿宋_GB2312"/>
          <w:color w:val="000000"/>
          <w:sz w:val="32"/>
          <w:szCs w:val="32"/>
        </w:rPr>
        <w:t xml:space="preserve"> 完成年度检查后，登记管理机关应当向社会公告年度检查结果，并向业务主管单位通报。</w:t>
      </w:r>
    </w:p>
    <w:p w14:paraId="7640C40A">
      <w:pPr>
        <w:keepNext w:val="0"/>
        <w:keepLines w:val="0"/>
        <w:pageBreakBefore w:val="0"/>
        <w:kinsoku/>
        <w:wordWrap/>
        <w:overflowPunct/>
        <w:topLinePunct w:val="0"/>
        <w:bidi w:val="0"/>
        <w:snapToGrid/>
        <w:spacing w:line="600" w:lineRule="exact"/>
        <w:ind w:firstLine="49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基金会、境外基金会代表机构应当在通过登记管理机关的年度检查后，将年度工作报告在登记管理机关指定的媒体上公布，接受社会公众的查询、监督。</w:t>
      </w:r>
    </w:p>
    <w:p w14:paraId="1001AC16">
      <w:pPr>
        <w:keepNext w:val="0"/>
        <w:keepLines w:val="0"/>
        <w:pageBreakBefore w:val="0"/>
        <w:kinsoku/>
        <w:wordWrap/>
        <w:overflowPunct/>
        <w:topLinePunct w:val="0"/>
        <w:bidi w:val="0"/>
        <w:snapToGrid/>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第十三条</w:t>
      </w:r>
      <w:r>
        <w:rPr>
          <w:rFonts w:hint="eastAsia" w:ascii="仿宋_GB2312" w:hAnsi="仿宋_GB2312" w:eastAsia="仿宋_GB2312" w:cs="仿宋_GB2312"/>
          <w:color w:val="000000"/>
          <w:sz w:val="32"/>
          <w:szCs w:val="32"/>
        </w:rPr>
        <w:t xml:space="preserve"> 年度工作报告的格式文本由国务院民政部门制定。</w:t>
      </w:r>
    </w:p>
    <w:p w14:paraId="31E9A2B4">
      <w:pPr>
        <w:pStyle w:val="7"/>
        <w:keepNext w:val="0"/>
        <w:keepLines w:val="0"/>
        <w:pageBreakBefore w:val="0"/>
        <w:tabs>
          <w:tab w:val="right" w:leader="dot" w:pos="7060"/>
          <w:tab w:val="clear" w:pos="7040"/>
        </w:tabs>
        <w:kinsoku/>
        <w:wordWrap/>
        <w:overflowPunct/>
        <w:topLinePunct w:val="0"/>
        <w:bidi w:val="0"/>
        <w:snapToGrid/>
        <w:spacing w:after="0" w:line="600" w:lineRule="exact"/>
        <w:ind w:firstLine="643" w:firstLineChars="200"/>
        <w:jc w:val="both"/>
        <w:rPr>
          <w:rFonts w:hint="eastAsia" w:ascii="仿宋_GB2312" w:hAnsi="仿宋_GB2312" w:eastAsia="仿宋_GB2312" w:cs="仿宋_GB2312"/>
          <w:position w:val="0"/>
          <w:sz w:val="32"/>
          <w:szCs w:val="32"/>
        </w:rPr>
      </w:pPr>
      <w:r>
        <w:rPr>
          <w:rFonts w:hint="eastAsia" w:ascii="仿宋_GB2312" w:hAnsi="仿宋_GB2312" w:eastAsia="仿宋_GB2312" w:cs="仿宋_GB2312"/>
          <w:b/>
          <w:position w:val="0"/>
          <w:sz w:val="32"/>
          <w:szCs w:val="32"/>
        </w:rPr>
        <w:t>第十四条</w:t>
      </w:r>
      <w:r>
        <w:rPr>
          <w:rFonts w:hint="eastAsia" w:ascii="仿宋_GB2312" w:hAnsi="仿宋_GB2312" w:eastAsia="仿宋_GB2312" w:cs="仿宋_GB2312"/>
          <w:position w:val="0"/>
          <w:sz w:val="32"/>
          <w:szCs w:val="32"/>
        </w:rPr>
        <w:t xml:space="preserve"> 本办法自公布之日起施行。</w:t>
      </w:r>
    </w:p>
    <w:p w14:paraId="0095EEAA">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TC-65b96b6369774f53*+times*002">
    <w:altName w:val="仿宋_GB2312"/>
    <w:panose1 w:val="00000000000000000000"/>
    <w:charset w:val="86"/>
    <w:family w:val="auto"/>
    <w:pitch w:val="default"/>
    <w:sig w:usb0="00000000" w:usb1="00000000" w:usb2="00000010" w:usb3="00000000" w:csb0="00040000" w:csb1="00000000"/>
  </w:font>
  <w:font w:name="ATC-65b96b634e665b8b*+Times*002">
    <w:altName w:val="宋体"/>
    <w:panose1 w:val="00000000000000000000"/>
    <w:charset w:val="86"/>
    <w:family w:val="auto"/>
    <w:pitch w:val="default"/>
    <w:sig w:usb0="00000000" w:usb1="00000000" w:usb2="00000010" w:usb3="00000000" w:csb0="00040000" w:csb1="00000000"/>
  </w:font>
  <w:font w:name="宋体fal">
    <w:altName w:val="方正书宋_GBK"/>
    <w:panose1 w:val="00000000000000000000"/>
    <w:charset w:val="86"/>
    <w:family w:val="auto"/>
    <w:pitch w:val="default"/>
    <w:sig w:usb0="00000000" w:usb1="00000000" w:usb2="00000010" w:usb3="00000000" w:csb0="00040000" w:csb1="00000000"/>
  </w:font>
  <w:font w:name="ATC-65b96b639ed14f53*+Times*002">
    <w:altName w:val="宋体"/>
    <w:panose1 w:val="00000000000000000000"/>
    <w:charset w:val="86"/>
    <w:family w:val="auto"/>
    <w:pitch w:val="default"/>
    <w:sig w:usb0="00000000" w:usb1="00000000" w:usb2="0000001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E7E23"/>
    <w:rsid w:val="260B5A06"/>
    <w:rsid w:val="58E73D8C"/>
    <w:rsid w:val="59037631"/>
    <w:rsid w:val="59A40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ＭＬ２"/>
    <w:basedOn w:val="5"/>
    <w:qFormat/>
    <w:uiPriority w:val="0"/>
    <w:pPr>
      <w:tabs>
        <w:tab w:val="right" w:pos="2620"/>
        <w:tab w:val="right" w:leader="dot" w:pos="7040"/>
      </w:tabs>
    </w:pPr>
    <w:rPr>
      <w:rFonts w:ascii="ATC-65b96b6369774f53*+times*002" w:eastAsia="ATC-65b96b6369774f53*+times*002" w:cs="ATC-65b96b6369774f53*+times*002"/>
    </w:rPr>
  </w:style>
  <w:style w:type="paragraph" w:customStyle="1" w:styleId="5">
    <w:name w:val="目录（正文"/>
    <w:basedOn w:val="6"/>
    <w:qFormat/>
    <w:uiPriority w:val="0"/>
    <w:pPr>
      <w:tabs>
        <w:tab w:val="right" w:pos="2620"/>
        <w:tab w:val="right" w:leader="dot" w:pos="7040"/>
      </w:tabs>
      <w:autoSpaceDE w:val="0"/>
      <w:autoSpaceDN w:val="0"/>
      <w:adjustRightInd w:val="0"/>
      <w:spacing w:line="415" w:lineRule="auto"/>
      <w:textAlignment w:val="center"/>
    </w:pPr>
    <w:rPr>
      <w:rFonts w:ascii="ATC-65b96b634e665b8b*+Times*002" w:hAnsi="Calibri" w:eastAsia="ATC-65b96b634e665b8b*+Times*002" w:cs="ATC-65b96b634e665b8b*+Times*002"/>
      <w:color w:val="000000"/>
      <w:kern w:val="0"/>
      <w:szCs w:val="21"/>
      <w:lang w:val="zh-CN"/>
    </w:rPr>
  </w:style>
  <w:style w:type="paragraph" w:customStyle="1" w:styleId="6">
    <w:name w:val="[无段落样式]"/>
    <w:qFormat/>
    <w:uiPriority w:val="0"/>
    <w:pPr>
      <w:widowControl w:val="0"/>
      <w:autoSpaceDE w:val="0"/>
      <w:autoSpaceDN w:val="0"/>
      <w:adjustRightInd w:val="0"/>
      <w:spacing w:line="288" w:lineRule="auto"/>
      <w:jc w:val="both"/>
      <w:textAlignment w:val="center"/>
    </w:pPr>
    <w:rPr>
      <w:rFonts w:ascii="宋体fal" w:hAnsi="Calibri" w:eastAsia="宋体fal" w:cs="宋体fal"/>
      <w:color w:val="000000"/>
      <w:sz w:val="24"/>
      <w:szCs w:val="24"/>
      <w:lang w:val="zh-CN" w:eastAsia="zh-CN" w:bidi="ar-SA"/>
    </w:rPr>
  </w:style>
  <w:style w:type="paragraph" w:customStyle="1" w:styleId="7">
    <w:name w:val="ML1"/>
    <w:basedOn w:val="5"/>
    <w:qFormat/>
    <w:uiPriority w:val="0"/>
    <w:pPr>
      <w:spacing w:after="227"/>
      <w:jc w:val="center"/>
    </w:pPr>
    <w:rPr>
      <w:rFonts w:ascii="ATC-65b96b639ed14f53*+Times*002" w:eastAsia="ATC-65b96b639ed14f53*+Times*002" w:cs="ATC-65b96b639ed14f53*+Times*002"/>
      <w:position w:val="-1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2025-09-11T09:36:00Z</dcterms:created>
  <dc:creator>Administrator</dc:creator>
  <cp:lastModifiedBy>冯绮婷</cp:lastModifiedBy>
  <dcterms:modified xsi:type="dcterms:W3CDTF">2026-01-30T09:13:29Z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AC455713077F4785B5D633EE2E2838FD_12</vt:lpwstr>
  </property>
  <property fmtid="{D5CDD505-2E9C-101B-9397-08002B2CF9AE}" pid="4" name="KSOTemplateDocerSaveRecord">
    <vt:lpwstr>eyJoZGlkIjoiY2RhNDc3NTBjN2Q1Zjc0YmMyYjAwZjBmNWU0YjJhZmYiLCJ1c2VySWQiOiI0MTIxMzY1OTEifQ==</vt:lpwstr>
  </property>
</Properties>
</file>