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E3F94"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12" w:name="_GoBack"/>
      <w:bookmarkEnd w:id="12"/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7AD8F00C">
      <w:pPr>
        <w:spacing w:line="500" w:lineRule="exact"/>
        <w:jc w:val="center"/>
        <w:rPr>
          <w:rFonts w:ascii="方正小标宋简体" w:hAnsi="黑体" w:eastAsia="方正小标宋简体" w:cs="微软简标宋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微软简标宋"/>
          <w:sz w:val="44"/>
          <w:szCs w:val="44"/>
          <w:shd w:val="clear" w:color="auto" w:fill="FFFFFF"/>
        </w:rPr>
        <w:t>用户需求书</w:t>
      </w:r>
    </w:p>
    <w:p w14:paraId="7ED7C6A4">
      <w:pPr>
        <w:pStyle w:val="4"/>
        <w:widowControl/>
        <w:shd w:val="clear" w:color="auto" w:fill="FFFFFF"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</w:p>
    <w:p w14:paraId="579D9B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中山市“智慧民政”平台运维服务供应单位需按要求开展系统运维服务，具体要求如下：</w:t>
      </w:r>
    </w:p>
    <w:p w14:paraId="0E657F11">
      <w:pPr>
        <w:keepNext w:val="0"/>
        <w:keepLines w:val="0"/>
        <w:pageBreakBefore w:val="0"/>
        <w:widowControl/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基本内容要求</w:t>
      </w:r>
    </w:p>
    <w:p w14:paraId="339922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在运维服务期内，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指派1名服务技术人员对接，为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采购方的工作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人员提供咨询和技术问题处理服务。</w:t>
      </w:r>
    </w:p>
    <w:p w14:paraId="36C845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（二）服务供应单位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服务人员须对本系统各模块业务流程操作清晰、系统功能模块配置熟练，能使用主流的办公软件制作清晰易懂的系统操作说明文档。</w:t>
      </w:r>
    </w:p>
    <w:p w14:paraId="3AD9AB4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（三）按照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相关技术标准和本项运维需求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现场技术支持服务。</w:t>
      </w:r>
    </w:p>
    <w:p w14:paraId="7CCEC90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二、人员管理要求</w:t>
      </w:r>
    </w:p>
    <w:p w14:paraId="7361243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运维服务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应建立运维AB角制度，确保紧急情况备角能有效应对运维工作。</w:t>
      </w:r>
    </w:p>
    <w:p w14:paraId="0972E1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（二）运维服务供应单位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应根据运维需要安排足够数量的维护人员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人员应该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遵守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中山市民政局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有关工作纪律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。运维服务供应单位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须保证维护实施人员充足、队伍稳定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4D19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（三）运维服务供应单位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要明确组织结构、岗位设置和岗位职责和人员安排的方案，项目实施前提交中山市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民政局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备案。</w:t>
      </w:r>
    </w:p>
    <w:p w14:paraId="4810EF2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未经中山市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民政局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同意，不得更换服务技术人员。更换后人员经验、学历、能力不得低于被更换人员，所学专业应符合对应岗位的要求。更换人员与被更换人员应有不少于1月的交接过渡期。</w:t>
      </w:r>
    </w:p>
    <w:p w14:paraId="45EC13B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（五）服务技术人员要求本科以上学历，具备1年以上同类系统研发或信息化运维项目经验。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运维服务供应单位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对人员落实项目人员背景调查，保障本项目运维人员无异常情况。</w:t>
      </w:r>
    </w:p>
    <w:p w14:paraId="173D4B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（六）运维服务供应单位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应加强内部管理，完善相关管理制度，合理设置岗位，明确人员责任，优化考核与奖惩机制，加强运维队伍建设，确保运维队伍专业性和稳定性，持续提升运维保障能力。</w:t>
      </w:r>
    </w:p>
    <w:p w14:paraId="5EADB10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技术服务内容要求</w:t>
      </w:r>
    </w:p>
    <w:p w14:paraId="289984D5">
      <w:pPr>
        <w:keepNext w:val="0"/>
        <w:keepLines w:val="0"/>
        <w:pageBreakBefore w:val="0"/>
        <w:widowControl/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8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系统运维服务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内容包括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：日常巡检、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数据治理、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系统监控、系统BUG修改、故障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处理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应急响应保障、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系统安全保障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Toc239646187"/>
      <w:bookmarkStart w:id="1" w:name="_Toc240426363"/>
      <w:bookmarkStart w:id="2" w:name="_Toc239646074"/>
      <w:bookmarkStart w:id="3" w:name="_Toc239646408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具体要求如下：</w:t>
      </w:r>
    </w:p>
    <w:p w14:paraId="75C5784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日常巡检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</w:p>
    <w:p w14:paraId="507586D1">
      <w:pPr>
        <w:keepNext w:val="0"/>
        <w:keepLines w:val="0"/>
        <w:pageBreakBefore w:val="0"/>
        <w:widowControl/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运维服务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定期对系统进行巡检。日常巡检包括以下内容：</w:t>
      </w:r>
    </w:p>
    <w:p w14:paraId="2BBCA51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智慧民政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平台现有应用软件、数据库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云服务器等系统资源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的巡检；</w:t>
      </w:r>
    </w:p>
    <w:p w14:paraId="2386701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检查系统数据的备份情况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E01C9E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3.检查服务器和软件系统的安全配置情况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5E41E2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4.处理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前一次巡检发现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并检查问题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解决情况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417ED4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日常巡检每周至少一次，并在重大事件期间，加大监控力度，保证平台的稳定性。</w:t>
      </w:r>
    </w:p>
    <w:p w14:paraId="6CDC7FE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数据治理服务</w:t>
      </w:r>
    </w:p>
    <w:p w14:paraId="6AB20B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按照业主有关要求，对系统内的数据进行治理、分析、汇总、数据对接等，并形成可视化呈现效果（包括但不仅限于柱状图、位置图、流程图等）。</w:t>
      </w:r>
    </w:p>
    <w:p w14:paraId="0052FE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系统监控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</w:p>
    <w:p w14:paraId="2D30DB51">
      <w:pPr>
        <w:keepNext w:val="0"/>
        <w:keepLines w:val="0"/>
        <w:pageBreakBefore w:val="0"/>
        <w:widowControl/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具体监控内容包括：</w:t>
      </w:r>
    </w:p>
    <w:p w14:paraId="25A8134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页面的登录及访问监控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监控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系统主页面、申请人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页面及网页、管理用户登录页面、系统功能页面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运行是否正常。发现相关运行问题按照相关要求及时处理。</w:t>
      </w:r>
    </w:p>
    <w:p w14:paraId="6326216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2.服务器运行监控。监控本项目应用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服务器CPU占用率、内存、硬盘使用率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数据库服务器CPU占用率，内存、硬盘使用率等；实现5*8小时监控服务。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发现相关运行问题按照相关要求及时处理。</w:t>
      </w:r>
    </w:p>
    <w:p w14:paraId="6BB18AA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系统BUG修改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</w:p>
    <w:p w14:paraId="277B5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系统BUG修改服务是指运维服务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根据用户的需求，在中山市“智慧民政”平台系统上BUG修改的服务。建立完善的系统BUG管理体系，每个BUG修复后形成相关文档；系统出现BUG后，需在5个工作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内完成修复；完成BUG修改提交完整的源代码。</w:t>
      </w:r>
    </w:p>
    <w:p w14:paraId="5F18A8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故障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处理服务</w:t>
      </w:r>
    </w:p>
    <w:p w14:paraId="61CF5A35">
      <w:pPr>
        <w:keepNext w:val="0"/>
        <w:keepLines w:val="0"/>
        <w:pageBreakBefore w:val="0"/>
        <w:widowControl/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当监控发现或用户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使用系统的过程中遇到疑难问题或系统出现不稳定情况，通过电话、邮件、传真等方式提出故障申告。运维服务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接收故障申告后，根据故障类型分派给专业维护人员处理。运维服务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供应单位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提供每周7*24小时的电话受理服务</w:t>
      </w:r>
      <w:bookmarkStart w:id="4" w:name="_Toc240426365"/>
      <w:bookmarkStart w:id="5" w:name="_Toc239646189"/>
      <w:bookmarkStart w:id="6" w:name="_Toc239646410"/>
      <w:bookmarkStart w:id="7" w:name="_Toc239646076"/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6F34A0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（六）应急响应保障服务</w:t>
      </w:r>
    </w:p>
    <w:p w14:paraId="793F5554">
      <w:pPr>
        <w:keepNext w:val="0"/>
        <w:keepLines w:val="0"/>
        <w:pageBreakBefore w:val="0"/>
        <w:widowControl/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针对突发信息安全事件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或严重系统异常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，提供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应急响应保障服务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主要包括应急响应服务内容如下：</w:t>
      </w:r>
    </w:p>
    <w:p w14:paraId="4FDD34D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持续提升应急响应策略与流程；</w:t>
      </w:r>
    </w:p>
    <w:p w14:paraId="5293722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2.期间提供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每日7×24小时事件响应、应急响应、处理及恢复服务；</w:t>
      </w:r>
    </w:p>
    <w:p w14:paraId="182AB60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重大事件保证1小时内到达现场，一般事件保证2小时内到达现场。</w:t>
      </w:r>
    </w:p>
    <w:p w14:paraId="5B0E74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现场事故处理完成后，负责提供后续相关报告编制服务。</w:t>
      </w:r>
    </w:p>
    <w:bookmarkEnd w:id="4"/>
    <w:bookmarkEnd w:id="5"/>
    <w:bookmarkEnd w:id="6"/>
    <w:bookmarkEnd w:id="7"/>
    <w:p w14:paraId="70AB96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  <w:tab w:val="left" w:pos="106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239646210"/>
      <w:bookmarkStart w:id="9" w:name="_Toc239646097"/>
      <w:bookmarkStart w:id="10" w:name="_Toc240426386"/>
      <w:bookmarkStart w:id="11" w:name="_Toc239646431"/>
      <w:r>
        <w:rPr>
          <w:rFonts w:hint="eastAsia" w:ascii="仿宋_GB2312" w:hAnsi="仿宋_GB2312" w:eastAsia="仿宋_GB2312" w:cs="仿宋_GB2312"/>
          <w:color w:val="000000" w:themeColor="text1"/>
          <w:kern w:val="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（七）系统安全保障</w:t>
      </w:r>
    </w:p>
    <w:p w14:paraId="3F7C2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" w:rightChars="6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系统安全保障是本项目的重点，其主要需求包括：</w:t>
      </w:r>
    </w:p>
    <w:tbl>
      <w:tblPr>
        <w:tblStyle w:val="5"/>
        <w:tblW w:w="8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09"/>
        <w:gridCol w:w="5514"/>
      </w:tblGrid>
      <w:tr w14:paraId="54458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shd w:val="clear" w:color="auto" w:fill="CCCCCC"/>
            <w:vAlign w:val="center"/>
          </w:tcPr>
          <w:p w14:paraId="2449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9" w:type="dxa"/>
            <w:shd w:val="clear" w:color="auto" w:fill="CCCCCC"/>
            <w:vAlign w:val="center"/>
          </w:tcPr>
          <w:p w14:paraId="1A52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5514" w:type="dxa"/>
            <w:shd w:val="clear" w:color="auto" w:fill="CCCCCC"/>
            <w:vAlign w:val="center"/>
          </w:tcPr>
          <w:p w14:paraId="173F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</w:tr>
      <w:tr w14:paraId="3B61F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 w14:paraId="07FBF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9" w:type="dxa"/>
            <w:vAlign w:val="center"/>
          </w:tcPr>
          <w:p w14:paraId="029F9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故障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处理</w:t>
            </w:r>
          </w:p>
        </w:tc>
        <w:tc>
          <w:tcPr>
            <w:tcW w:w="5514" w:type="dxa"/>
            <w:vAlign w:val="center"/>
          </w:tcPr>
          <w:p w14:paraId="1E743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响应时间：提供7×24小时电话技术支持；系统维护和备份服务提供5*8小时现场服务；系统出现故障时承诺每天（含节假日）24小时，接到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及用户故障要求维护的通知电话后，在约定的故障分析判断时间内进行故障分析判定，如需现场服务的应在1小时内到达现场进行现场服务。</w:t>
            </w:r>
          </w:p>
          <w:p w14:paraId="6CD64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解决时间：一般故障在4小时之内解决；重大故障的24小时之内解决。</w:t>
            </w:r>
          </w:p>
          <w:p w14:paraId="300FD4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40"/>
                <w:tab w:val="left" w:pos="106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故障或应急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处理完成后，负责提供后续相关报告编制服务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根据问题分析结果，配合开展相关优化工作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850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 w14:paraId="777F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9" w:type="dxa"/>
            <w:vAlign w:val="center"/>
          </w:tcPr>
          <w:p w14:paraId="00B9C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系统的配置管理，包括配置维护</w:t>
            </w:r>
          </w:p>
        </w:tc>
        <w:tc>
          <w:tcPr>
            <w:tcW w:w="5514" w:type="dxa"/>
            <w:vAlign w:val="center"/>
          </w:tcPr>
          <w:p w14:paraId="4326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定时检查操作系统及支撑软件的系统配置，最大可能优化系统并做好安全设置。</w:t>
            </w:r>
          </w:p>
        </w:tc>
      </w:tr>
      <w:tr w14:paraId="3536F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2" w:type="dxa"/>
            <w:vAlign w:val="center"/>
          </w:tcPr>
          <w:p w14:paraId="2053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9" w:type="dxa"/>
            <w:vAlign w:val="center"/>
          </w:tcPr>
          <w:p w14:paraId="6124A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制订应急预案</w:t>
            </w:r>
          </w:p>
        </w:tc>
        <w:tc>
          <w:tcPr>
            <w:tcW w:w="5514" w:type="dxa"/>
            <w:vAlign w:val="center"/>
          </w:tcPr>
          <w:p w14:paraId="5E0B2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研究制订系统应急方预案，并且不断完善。</w:t>
            </w:r>
          </w:p>
        </w:tc>
      </w:tr>
      <w:tr w14:paraId="0C06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 w14:paraId="1ECC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9" w:type="dxa"/>
            <w:vAlign w:val="center"/>
          </w:tcPr>
          <w:p w14:paraId="53D12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完善应急系统部署</w:t>
            </w:r>
          </w:p>
        </w:tc>
        <w:tc>
          <w:tcPr>
            <w:tcW w:w="5514" w:type="dxa"/>
            <w:vAlign w:val="center"/>
          </w:tcPr>
          <w:p w14:paraId="2334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设备分布，部署应急系统，在故障发生时能够提供应急使用，纳入应急预案中管理。</w:t>
            </w:r>
          </w:p>
        </w:tc>
      </w:tr>
      <w:tr w14:paraId="0D1AF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 w14:paraId="4527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9" w:type="dxa"/>
            <w:vAlign w:val="center"/>
          </w:tcPr>
          <w:p w14:paraId="77B4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重大故障分析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告</w:t>
            </w:r>
          </w:p>
        </w:tc>
        <w:tc>
          <w:tcPr>
            <w:tcW w:w="5514" w:type="dxa"/>
            <w:vAlign w:val="center"/>
          </w:tcPr>
          <w:p w14:paraId="1E9E6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每次出现重大故障时，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运维服务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8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事后需提供详细的故障分析报告，包括但不限于故障处理过程、故障原因分析、故障处理措施、系统维护改进措施等。</w:t>
            </w:r>
          </w:p>
        </w:tc>
      </w:tr>
      <w:tr w14:paraId="42EF5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 w14:paraId="3B2E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09" w:type="dxa"/>
            <w:vAlign w:val="center"/>
          </w:tcPr>
          <w:p w14:paraId="45BC7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系统运行报告</w:t>
            </w:r>
          </w:p>
        </w:tc>
        <w:tc>
          <w:tcPr>
            <w:tcW w:w="5514" w:type="dxa"/>
            <w:vAlign w:val="center"/>
          </w:tcPr>
          <w:p w14:paraId="196CC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负责监控系统的运行状况，并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工作日至少巡检系统一次，每月度提供系统运行报告，包括但不限于系统故障处理记录、系统备份记录、系统功能优化记录、系统运行情况等。</w:t>
            </w:r>
          </w:p>
        </w:tc>
      </w:tr>
      <w:tr w14:paraId="1E56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 w14:paraId="6A1E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09" w:type="dxa"/>
            <w:vAlign w:val="center"/>
          </w:tcPr>
          <w:p w14:paraId="79184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数据交换</w:t>
            </w:r>
          </w:p>
        </w:tc>
        <w:tc>
          <w:tcPr>
            <w:tcW w:w="5514" w:type="dxa"/>
            <w:vAlign w:val="center"/>
          </w:tcPr>
          <w:p w14:paraId="11F8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根据需求对调整已有的数据交换接口，保证系统间正常的数据交换。</w:t>
            </w:r>
          </w:p>
        </w:tc>
      </w:tr>
      <w:tr w14:paraId="76FAB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2" w:type="dxa"/>
            <w:vAlign w:val="center"/>
          </w:tcPr>
          <w:p w14:paraId="2B729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09" w:type="dxa"/>
            <w:vAlign w:val="center"/>
          </w:tcPr>
          <w:p w14:paraId="202E9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数据备份</w:t>
            </w:r>
          </w:p>
        </w:tc>
        <w:tc>
          <w:tcPr>
            <w:tcW w:w="5514" w:type="dxa"/>
            <w:vAlign w:val="center"/>
          </w:tcPr>
          <w:p w14:paraId="13668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要求，完善数据备份方案并实施，保障系统安全。</w:t>
            </w:r>
          </w:p>
        </w:tc>
      </w:tr>
      <w:tr w14:paraId="3245A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2" w:type="dxa"/>
            <w:vAlign w:val="center"/>
          </w:tcPr>
          <w:p w14:paraId="02A3F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09" w:type="dxa"/>
            <w:vAlign w:val="center"/>
          </w:tcPr>
          <w:p w14:paraId="1E8A3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及时修复系统漏洞</w:t>
            </w:r>
          </w:p>
        </w:tc>
        <w:tc>
          <w:tcPr>
            <w:tcW w:w="5514" w:type="dxa"/>
            <w:vAlign w:val="center"/>
          </w:tcPr>
          <w:p w14:paraId="656B4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" w:rightChars="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严格遵守云平台管理规定，及时修复系统漏洞。</w:t>
            </w:r>
          </w:p>
        </w:tc>
      </w:tr>
      <w:bookmarkEnd w:id="8"/>
      <w:bookmarkEnd w:id="9"/>
      <w:bookmarkEnd w:id="10"/>
      <w:bookmarkEnd w:id="11"/>
    </w:tbl>
    <w:p w14:paraId="0156A4AA"/>
    <w:p w14:paraId="441BEB10">
      <w:pPr>
        <w:pStyle w:val="4"/>
        <w:widowControl/>
        <w:shd w:val="clear" w:color="auto" w:fill="FFFFFF"/>
        <w:spacing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C8EC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3B5C9"/>
    <w:multiLevelType w:val="singleLevel"/>
    <w:tmpl w:val="46F3B5C9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0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eastAsia="宋体"/>
      <w:sz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2025-09-02T03:06:57Z</dcterms:created>
  <dc:creator>Administrator</dc:creator>
  <cp:lastModifiedBy>冯绮婷</cp:lastModifiedBy>
  <dcterms:modified xsi:type="dcterms:W3CDTF">2025-09-02T03:08:06Z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eyJoZGlkIjoiY2RhNDc3NTBjN2Q1Zjc0YmMyYjAwZjBmNWU0YjJhZmYiLCJ1c2VySWQiOiIyNjcwMzY2MDYifQ==</vt:lpwstr>
  </property>
  <property fmtid="{D5CDD505-2E9C-101B-9397-08002B2CF9AE}" pid="4" name="ICV">
    <vt:lpwstr>1206D568EB1B4647BCAE257B1A664DCE_12</vt:lpwstr>
  </property>
</Properties>
</file>