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黄裕民、陈银娥、黄政刚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759450" cy="3660775"/>
            <wp:effectExtent l="0" t="0" r="1270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黄裕民、陈银娥、黄政刚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粤（2019）中山市不动产权第0420330、0420331、0420332号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黄裕民、陈银娥、黄政刚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中山市三角镇惠宝路5号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18841.40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三类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C-2-05-4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三类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1.5-3.0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C-2-05-4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1.5-3.0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设计降雨量：≥21.1m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1.5-3.0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75F4FBA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28071C"/>
    <w:rsid w:val="4D455887"/>
    <w:rsid w:val="4E356698"/>
    <w:rsid w:val="4EA53AD3"/>
    <w:rsid w:val="4F087F1D"/>
    <w:rsid w:val="4F18548E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5EE53D31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2024-07-08T01:48:50Z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C070D5716FAB406B81A7C70256FEFF0E</vt:lpwstr>
  </property>
</Properties>
</file>