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640" w:firstLineChars="200"/>
        <w:rPr>
          <w:rFonts w:hint="eastAsia"/>
          <w:color w:val="000000"/>
          <w:szCs w:val="32"/>
        </w:rPr>
      </w:pPr>
      <w:r>
        <w:rPr>
          <w:rFonts w:hint="eastAsia" w:ascii="仿宋_GB2312" w:hAnsi="仿宋_GB2312" w:cs="仿宋_GB2312"/>
          <w:color w:val="000000"/>
          <w:szCs w:val="32"/>
        </w:rPr>
        <w:t>附件2：</w:t>
      </w:r>
    </w:p>
    <w:p>
      <w:pPr>
        <w:pStyle w:val="4"/>
        <w:jc w:val="center"/>
      </w:pPr>
      <w:bookmarkStart w:id="0" w:name="_GoBack"/>
      <w:r>
        <w:rPr>
          <w:rFonts w:hint="eastAsia" w:ascii="方正小标宋简体" w:hAnsi="方正小标宋简体" w:eastAsia="方正小标宋简体" w:cs="方正小标宋简体"/>
          <w:b/>
          <w:color w:val="000000"/>
          <w:sz w:val="36"/>
          <w:szCs w:val="36"/>
        </w:rPr>
        <w:t>中山市地籍调查不动产单元表变更办事指引</w:t>
      </w:r>
    </w:p>
    <w:bookmarkEnd w:id="0"/>
    <w:p>
      <w:pPr>
        <w:pStyle w:val="4"/>
        <w:numPr>
          <w:ilvl w:val="0"/>
          <w:numId w:val="1"/>
        </w:num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适用范围</w:t>
      </w:r>
    </w:p>
    <w:p>
      <w:pPr>
        <w:ind w:firstLine="640" w:firstLineChars="200"/>
        <w:rPr>
          <w:color w:val="000000"/>
        </w:rPr>
      </w:pPr>
      <w:r>
        <w:rPr>
          <w:rFonts w:hint="eastAsia" w:ascii="仿宋_GB2312" w:hAnsi="仿宋"/>
          <w:color w:val="000000"/>
          <w:szCs w:val="32"/>
        </w:rPr>
        <w:t>全市范围内已完成规划许可的建设工程项目</w:t>
      </w:r>
      <w:r>
        <w:rPr>
          <w:rFonts w:hint="eastAsia" w:ascii="仿宋_GB2312" w:hAnsi="仿宋_GB2312" w:cs="仿宋_GB2312"/>
          <w:bCs/>
          <w:color w:val="000000"/>
          <w:szCs w:val="32"/>
        </w:rPr>
        <w:t>。</w:t>
      </w:r>
    </w:p>
    <w:p>
      <w:pPr>
        <w:pStyle w:val="4"/>
        <w:numPr>
          <w:ilvl w:val="0"/>
          <w:numId w:val="1"/>
        </w:num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申请时点</w:t>
      </w:r>
    </w:p>
    <w:p>
      <w:pPr>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在项目建设施工阶段可凭变更后的建设工程规划许可证办理不动产单元表及自然幢图形数据的变更。</w:t>
      </w:r>
    </w:p>
    <w:p>
      <w:pPr>
        <w:pStyle w:val="4"/>
        <w:numPr>
          <w:ilvl w:val="0"/>
          <w:numId w:val="1"/>
        </w:numPr>
        <w:rPr>
          <w:rFonts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申请材料</w:t>
      </w:r>
    </w:p>
    <w:p>
      <w:pPr>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（1）中山市不动产地籍调查申请书；</w:t>
      </w:r>
    </w:p>
    <w:p>
      <w:pPr>
        <w:ind w:left="640" w:leftChars="200"/>
        <w:rPr>
          <w:rFonts w:hint="eastAsia" w:ascii="仿宋_GB2312" w:hAnsi="仿宋_GB2312" w:cs="仿宋_GB2312"/>
          <w:bCs/>
          <w:color w:val="000000"/>
          <w:szCs w:val="32"/>
        </w:rPr>
      </w:pPr>
      <w:r>
        <w:rPr>
          <w:rFonts w:hint="eastAsia" w:ascii="仿宋_GB2312" w:hAnsi="仿宋_GB2312" w:cs="仿宋_GB2312"/>
          <w:bCs/>
          <w:color w:val="000000"/>
          <w:szCs w:val="32"/>
        </w:rPr>
        <w:t>（2）申请人身份证明；</w:t>
      </w:r>
    </w:p>
    <w:p>
      <w:pPr>
        <w:ind w:left="640" w:leftChars="200"/>
        <w:rPr>
          <w:rFonts w:hint="eastAsia" w:ascii="仿宋_GB2312" w:hAnsi="仿宋_GB2312" w:cs="仿宋_GB2312"/>
          <w:bCs/>
          <w:color w:val="000000"/>
          <w:szCs w:val="32"/>
        </w:rPr>
      </w:pPr>
      <w:r>
        <w:rPr>
          <w:rFonts w:hint="eastAsia" w:ascii="仿宋_GB2312" w:hAnsi="仿宋_GB2312" w:cs="仿宋_GB2312"/>
          <w:bCs/>
          <w:color w:val="000000"/>
          <w:szCs w:val="32"/>
        </w:rPr>
        <w:t>（3）不动产权属证书；</w:t>
      </w:r>
    </w:p>
    <w:p>
      <w:pPr>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（4）建设工程规划许可证及附件；</w:t>
      </w:r>
    </w:p>
    <w:p>
      <w:pPr>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（5）房屋幢基底图、不动产单元明细表、房屋分类面积统计表。</w:t>
      </w:r>
    </w:p>
    <w:p>
      <w:pPr>
        <w:pStyle w:val="4"/>
        <w:numPr>
          <w:ilvl w:val="0"/>
          <w:numId w:val="1"/>
        </w:num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办事流程</w:t>
      </w:r>
    </w:p>
    <w:p>
      <w:pPr>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1.申请</w:t>
      </w:r>
    </w:p>
    <w:p>
      <w:pPr>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申请人在线下窗口申请，关联已入库的不动产单元号，地址：中山市兴中道二号之一投资大厦一楼办证大厅。</w:t>
      </w:r>
    </w:p>
    <w:p>
      <w:pPr>
        <w:ind w:firstLine="640" w:firstLineChars="200"/>
        <w:rPr>
          <w:rFonts w:ascii="仿宋_GB2312" w:hAnsi="仿宋_GB2312" w:cs="仿宋_GB2312"/>
          <w:bCs/>
          <w:color w:val="000000"/>
          <w:szCs w:val="32"/>
        </w:rPr>
      </w:pPr>
      <w:r>
        <w:rPr>
          <w:rFonts w:hint="eastAsia" w:ascii="仿宋_GB2312" w:hAnsi="仿宋_GB2312" w:cs="仿宋_GB2312"/>
          <w:bCs/>
          <w:color w:val="000000"/>
          <w:szCs w:val="32"/>
        </w:rPr>
        <w:t>2.成果上传</w:t>
      </w:r>
    </w:p>
    <w:p>
      <w:pPr>
        <w:ind w:firstLine="640" w:firstLineChars="200"/>
        <w:rPr>
          <w:rFonts w:hint="eastAsia" w:ascii="仿宋_GB2312" w:hAnsi="仿宋_GB2312" w:cs="仿宋_GB2312"/>
          <w:bCs/>
          <w:color w:val="000000"/>
          <w:szCs w:val="32"/>
        </w:rPr>
      </w:pPr>
      <w:r>
        <w:rPr>
          <w:rFonts w:hint="eastAsia"/>
          <w:color w:val="000000"/>
        </w:rPr>
        <w:t>申请人委托地籍调查</w:t>
      </w:r>
      <w:r>
        <w:rPr>
          <w:rFonts w:hint="eastAsia" w:ascii="仿宋_GB2312" w:hAnsi="仿宋_GB2312" w:cs="仿宋_GB2312"/>
          <w:bCs/>
          <w:color w:val="000000"/>
          <w:szCs w:val="32"/>
        </w:rPr>
        <w:t>单位在不动产权籍管理系统中上传变更后的房屋幢基底图、不动产单元明细表、房屋分类面积统计表。</w:t>
      </w:r>
    </w:p>
    <w:p>
      <w:pPr>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3.审核入库</w:t>
      </w:r>
    </w:p>
    <w:p>
      <w:pPr>
        <w:ind w:firstLine="640" w:firstLineChars="200"/>
        <w:rPr>
          <w:rFonts w:hint="eastAsia" w:ascii="仿宋_GB2312" w:hAnsi="仿宋_GB2312" w:cs="仿宋_GB2312"/>
          <w:bCs/>
          <w:color w:val="000000"/>
          <w:szCs w:val="32"/>
        </w:rPr>
      </w:pPr>
      <w:r>
        <w:rPr>
          <w:rFonts w:hint="eastAsia" w:ascii="仿宋_GB2312" w:hAnsi="仿宋_GB2312" w:cs="仿宋_GB2312"/>
          <w:bCs/>
          <w:color w:val="000000"/>
          <w:szCs w:val="32"/>
        </w:rPr>
        <w:t>不动产单元表经不动产登记中心审核后，对已入库的不动产单元数据进行变更。</w:t>
      </w:r>
    </w:p>
    <w:p>
      <w:pPr>
        <w:ind w:firstLine="640" w:firstLineChars="200"/>
        <w:rPr>
          <w:rFonts w:ascii="仿宋_GB2312" w:hAnsi="仿宋"/>
          <w:color w:val="000000"/>
          <w:szCs w:val="32"/>
        </w:rPr>
      </w:pPr>
      <w:r>
        <w:rPr>
          <w:rFonts w:hint="eastAsia" w:ascii="仿宋_GB2312" w:hAnsi="仿宋"/>
          <w:color w:val="000000"/>
          <w:szCs w:val="32"/>
        </w:rPr>
        <w:t>流程图详见图2。</w:t>
      </w:r>
    </w:p>
    <w:p>
      <w:pPr>
        <w:pStyle w:val="4"/>
        <w:jc w:val="center"/>
        <w:rPr>
          <w:rFonts w:hint="eastAsia"/>
        </w:rPr>
      </w:pPr>
      <w:r>
        <w:rPr>
          <w:rFonts w:hint="eastAsia"/>
        </w:rPr>
        <w:drawing>
          <wp:inline distT="0" distB="0" distL="114300" distR="114300">
            <wp:extent cx="4449445" cy="4189730"/>
            <wp:effectExtent l="0" t="0" r="635" b="1270"/>
            <wp:docPr id="1" name="图片 1" descr="2024.2.6 单元表前置流程图-变更"/>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4.2.6 单元表前置流程图-变更"/>
                    <pic:cNvPicPr>
                      <a:picLocks noChangeAspect="1"/>
                    </pic:cNvPicPr>
                  </pic:nvPicPr>
                  <pic:blipFill>
                    <a:blip r:embed="rId4"/>
                    <a:stretch>
                      <a:fillRect/>
                    </a:stretch>
                  </pic:blipFill>
                  <pic:spPr>
                    <a:xfrm>
                      <a:off x="0" y="0"/>
                      <a:ext cx="4449445" cy="4189730"/>
                    </a:xfrm>
                    <a:prstGeom prst="rect">
                      <a:avLst/>
                    </a:prstGeom>
                    <a:noFill/>
                    <a:ln>
                      <a:noFill/>
                    </a:ln>
                  </pic:spPr>
                </pic:pic>
              </a:graphicData>
            </a:graphic>
          </wp:inline>
        </w:drawing>
      </w:r>
    </w:p>
    <w:p>
      <w:pPr>
        <w:jc w:val="center"/>
        <w:rPr>
          <w:rFonts w:hint="eastAsia" w:ascii="仿宋_GB2312" w:hAnsi="仿宋"/>
          <w:color w:val="000000"/>
          <w:sz w:val="28"/>
          <w:szCs w:val="28"/>
        </w:rPr>
      </w:pPr>
      <w:r>
        <w:rPr>
          <w:rFonts w:hint="eastAsia" w:ascii="仿宋_GB2312" w:hAnsi="仿宋"/>
          <w:color w:val="000000"/>
          <w:sz w:val="28"/>
          <w:szCs w:val="28"/>
        </w:rPr>
        <w:t>图2  不动产单元</w:t>
      </w:r>
      <w:r>
        <w:rPr>
          <w:rFonts w:hint="eastAsia" w:ascii="仿宋_GB2312" w:hAnsi="仿宋" w:cs="Times New Roman"/>
          <w:color w:val="000000"/>
          <w:sz w:val="28"/>
          <w:szCs w:val="28"/>
        </w:rPr>
        <w:t>表变更流</w:t>
      </w:r>
      <w:r>
        <w:rPr>
          <w:rFonts w:hint="eastAsia" w:ascii="仿宋_GB2312" w:hAnsi="仿宋"/>
          <w:color w:val="000000"/>
          <w:sz w:val="28"/>
          <w:szCs w:val="28"/>
        </w:rPr>
        <w:t>程图</w:t>
      </w:r>
    </w:p>
    <w:p>
      <w:pPr>
        <w:rPr>
          <w:rFonts w:hint="eastAsia"/>
        </w:rPr>
      </w:pPr>
    </w:p>
    <w:p>
      <w:pPr>
        <w:pStyle w:val="4"/>
        <w:numPr>
          <w:ilvl w:val="0"/>
          <w:numId w:val="1"/>
        </w:numP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联系方式：</w:t>
      </w:r>
    </w:p>
    <w:p>
      <w:pPr>
        <w:ind w:firstLine="640" w:firstLineChars="200"/>
        <w:rPr>
          <w:rFonts w:hint="eastAsia" w:ascii="仿宋_GB2312" w:hAnsi="仿宋"/>
          <w:color w:val="000000"/>
          <w:szCs w:val="32"/>
        </w:rPr>
      </w:pPr>
      <w:r>
        <w:rPr>
          <w:rFonts w:hint="eastAsia" w:ascii="仿宋_GB2312" w:hAnsi="仿宋"/>
          <w:color w:val="000000"/>
          <w:szCs w:val="32"/>
        </w:rPr>
        <w:t>1、地址：中山市不动产登记中心（中山市兴中道二号之一投资大厦一楼办证</w:t>
      </w:r>
      <w:r>
        <w:rPr>
          <w:rFonts w:hint="eastAsia"/>
          <w:color w:val="000000"/>
        </w:rPr>
        <w:t>大厅</w:t>
      </w:r>
      <w:r>
        <w:rPr>
          <w:rFonts w:hint="eastAsia" w:ascii="仿宋_GB2312" w:hAnsi="仿宋"/>
          <w:color w:val="000000"/>
          <w:szCs w:val="32"/>
        </w:rPr>
        <w:t>）</w:t>
      </w:r>
    </w:p>
    <w:p>
      <w:pPr>
        <w:ind w:firstLine="640" w:firstLineChars="200"/>
        <w:rPr>
          <w:rFonts w:ascii="仿宋_GB2312" w:hAnsi="仿宋"/>
          <w:color w:val="FF0000"/>
          <w:szCs w:val="32"/>
        </w:rPr>
      </w:pPr>
      <w:r>
        <w:rPr>
          <w:rFonts w:hint="eastAsia" w:ascii="仿宋_GB2312" w:hAnsi="仿宋"/>
          <w:color w:val="000000"/>
          <w:szCs w:val="32"/>
        </w:rPr>
        <w:t>2、联</w:t>
      </w:r>
      <w:r>
        <w:rPr>
          <w:rFonts w:hint="eastAsia" w:ascii="仿宋_GB2312" w:hAnsi="仿宋"/>
          <w:szCs w:val="32"/>
        </w:rPr>
        <w:t>系电话：</w:t>
      </w:r>
      <w:r>
        <w:rPr>
          <w:rFonts w:hint="eastAsia"/>
        </w:rPr>
        <w:t>88331577</w:t>
      </w:r>
      <w:r>
        <w:rPr>
          <w:rFonts w:hint="eastAsia" w:ascii="仿宋_GB2312" w:hAnsi="仿宋"/>
          <w:szCs w:val="32"/>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方正小标宋简体">
    <w:altName w:val="黑体"/>
    <w:panose1 w:val="03000509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5F764C"/>
    <w:multiLevelType w:val="singleLevel"/>
    <w:tmpl w:val="025F764C"/>
    <w:lvl w:ilvl="0" w:tentative="0">
      <w:start w:val="1"/>
      <w:numFmt w:val="chineseCounting"/>
      <w:suff w:val="nothing"/>
      <w:lvlText w:val="%1、"/>
      <w:lvlJc w:val="left"/>
      <w:rPr>
        <w:rFonts w:hint="eastAsia" w:ascii="仿宋" w:hAnsi="仿宋" w:eastAsia="仿宋" w:cs="仿宋"/>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5577FE"/>
    <w:rsid w:val="17557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Heading3"/>
    <w:next w:val="1"/>
    <w:qFormat/>
    <w:uiPriority w:val="0"/>
    <w:pPr>
      <w:keepNext/>
      <w:keepLines/>
      <w:widowControl w:val="0"/>
      <w:spacing w:line="413" w:lineRule="auto"/>
      <w:jc w:val="both"/>
    </w:pPr>
    <w:rPr>
      <w:rFonts w:ascii="Calibri" w:hAnsi="Calibri"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中山市自然资源局</Company>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2024-04-12T06:48:00Z</dcterms:created>
  <dc:creator>邓沛强</dc:creator>
  <cp:lastModifiedBy>邓沛强</cp:lastModifiedBy>
  <dcterms:modified xsi:type="dcterms:W3CDTF">2024-04-12T06:48:40Z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9866645F0892489D9C6B10D6DAE90753</vt:lpwstr>
  </property>
</Properties>
</file>