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五桂山街道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广东宝洪实业投资有限公司</w:t>
      </w:r>
    </w:p>
    <w:p>
      <w:pPr>
        <w:adjustRightInd/>
        <w:snapToGrid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工改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工项目低效工业用地改造方案</w:t>
      </w:r>
    </w:p>
    <w:p>
      <w:pPr>
        <w:adjustRightInd/>
        <w:snapToGrid/>
        <w:ind w:firstLine="616" w:firstLineChars="200"/>
        <w:rPr>
          <w:rFonts w:hAnsi="仿宋_GB2312" w:cs="仿宋_GB2312"/>
          <w:kern w:val="0"/>
          <w:szCs w:val="32"/>
        </w:rPr>
      </w:pPr>
    </w:p>
    <w:p>
      <w:pPr>
        <w:adjustRightInd/>
        <w:snapToGrid/>
        <w:ind w:firstLine="616" w:firstLineChars="200"/>
        <w:rPr>
          <w:rFonts w:hAnsi="仿宋_GB2312" w:cs="仿宋_GB2312"/>
          <w:kern w:val="0"/>
          <w:szCs w:val="32"/>
        </w:rPr>
      </w:pPr>
      <w:r>
        <w:rPr>
          <w:rFonts w:hint="eastAsia" w:hAnsi="仿宋_GB2312" w:cs="仿宋_GB2312"/>
          <w:szCs w:val="32"/>
        </w:rPr>
        <w:t>根据中山市城市更新（“三旧”改造）专项规划和经批复规划条件论证</w:t>
      </w:r>
      <w:r>
        <w:rPr>
          <w:rFonts w:hint="eastAsia" w:hAnsi="仿宋_GB2312" w:cs="仿宋_GB2312"/>
          <w:kern w:val="0"/>
          <w:szCs w:val="32"/>
        </w:rPr>
        <w:t>，中山市人民政府五桂山街道办事处拟对位于</w:t>
      </w:r>
      <w:r>
        <w:rPr>
          <w:rFonts w:hint="default" w:hAnsi="仿宋_GB2312" w:cs="仿宋_GB2312"/>
          <w:kern w:val="0"/>
          <w:szCs w:val="32"/>
        </w:rPr>
        <w:t>中山市</w:t>
      </w:r>
      <w:r>
        <w:rPr>
          <w:rFonts w:hAnsi="仿宋_GB2312" w:cs="仿宋_GB2312"/>
          <w:kern w:val="0"/>
          <w:szCs w:val="32"/>
        </w:rPr>
        <w:t>五桂山商业街7</w:t>
      </w:r>
      <w:r>
        <w:rPr>
          <w:rFonts w:hint="eastAsia" w:hAnsi="仿宋_GB2312" w:cs="仿宋_GB2312"/>
          <w:kern w:val="0"/>
          <w:szCs w:val="32"/>
        </w:rPr>
        <w:t>2</w:t>
      </w:r>
      <w:r>
        <w:rPr>
          <w:rFonts w:hAnsi="仿宋_GB2312" w:cs="仿宋_GB2312"/>
          <w:kern w:val="0"/>
          <w:szCs w:val="32"/>
        </w:rPr>
        <w:t>号</w:t>
      </w:r>
      <w:r>
        <w:rPr>
          <w:rFonts w:hint="eastAsia" w:hAnsi="仿宋_GB2312" w:cs="仿宋_GB2312"/>
          <w:kern w:val="0"/>
          <w:szCs w:val="32"/>
        </w:rPr>
        <w:t>的</w:t>
      </w:r>
      <w:r>
        <w:rPr>
          <w:rFonts w:hAnsi="仿宋_GB2312" w:cs="仿宋_GB2312"/>
          <w:kern w:val="0"/>
          <w:szCs w:val="32"/>
        </w:rPr>
        <w:t>广东宝洪实业投资有限公司</w:t>
      </w:r>
      <w:r>
        <w:rPr>
          <w:rFonts w:hint="eastAsia" w:hAnsi="仿宋_GB2312" w:cs="仿宋_GB2312"/>
          <w:kern w:val="0"/>
          <w:szCs w:val="32"/>
        </w:rPr>
        <w:t>低效工业用地进行再开发，由</w:t>
      </w:r>
      <w:r>
        <w:rPr>
          <w:rFonts w:hAnsi="仿宋_GB2312" w:cs="仿宋_GB2312"/>
          <w:kern w:val="0"/>
          <w:szCs w:val="32"/>
        </w:rPr>
        <w:t>广东宝洪实业投资有限公司</w:t>
      </w:r>
      <w:r>
        <w:rPr>
          <w:rFonts w:hint="eastAsia" w:hAnsi="仿宋_GB2312" w:cs="仿宋_GB2312"/>
          <w:kern w:val="0"/>
          <w:szCs w:val="32"/>
        </w:rPr>
        <w:t>进行自主改造，采取全面改造的改造方式。改造方案如下：</w:t>
      </w:r>
    </w:p>
    <w:p>
      <w:pPr>
        <w:adjustRightInd/>
        <w:snapToGrid/>
        <w:ind w:firstLine="616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一、地块基本情况</w:t>
      </w:r>
    </w:p>
    <w:p>
      <w:pPr>
        <w:adjustRightInd/>
        <w:snapToGrid/>
        <w:ind w:firstLine="616" w:firstLineChars="20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（一）总体情况</w:t>
      </w:r>
    </w:p>
    <w:p>
      <w:pPr>
        <w:ind w:firstLine="616" w:firstLineChars="200"/>
        <w:rPr>
          <w:rFonts w:hAnsi="仿宋_GB2312" w:cs="仿宋_GB2312"/>
          <w:kern w:val="0"/>
          <w:szCs w:val="32"/>
        </w:rPr>
      </w:pPr>
      <w:r>
        <w:rPr>
          <w:rFonts w:hint="eastAsia" w:hAnsi="仿宋_GB2312" w:cs="仿宋_GB2312"/>
          <w:szCs w:val="32"/>
        </w:rPr>
        <w:t>改造地块</w:t>
      </w:r>
      <w:r>
        <w:rPr>
          <w:rFonts w:hint="eastAsia" w:hAnsi="仿宋_GB2312" w:cs="仿宋_GB2312"/>
          <w:kern w:val="0"/>
          <w:szCs w:val="32"/>
        </w:rPr>
        <w:t>位于</w:t>
      </w:r>
      <w:r>
        <w:rPr>
          <w:rFonts w:hAnsi="仿宋_GB2312" w:cs="仿宋_GB2312"/>
          <w:kern w:val="0"/>
          <w:szCs w:val="32"/>
        </w:rPr>
        <w:t>中山市五桂山商业街7</w:t>
      </w:r>
      <w:r>
        <w:rPr>
          <w:rFonts w:hint="eastAsia" w:hAnsi="仿宋_GB2312" w:cs="仿宋_GB2312"/>
          <w:kern w:val="0"/>
          <w:szCs w:val="32"/>
        </w:rPr>
        <w:t>2</w:t>
      </w:r>
      <w:r>
        <w:rPr>
          <w:rFonts w:hAnsi="仿宋_GB2312" w:cs="仿宋_GB2312"/>
          <w:kern w:val="0"/>
          <w:szCs w:val="32"/>
        </w:rPr>
        <w:t>号</w:t>
      </w:r>
      <w:r>
        <w:rPr>
          <w:rFonts w:hint="eastAsia" w:hAnsi="仿宋_GB2312" w:cs="仿宋_GB2312"/>
          <w:kern w:val="0"/>
          <w:szCs w:val="32"/>
        </w:rPr>
        <w:t>，用地面积</w:t>
      </w:r>
      <w:r>
        <w:rPr>
          <w:rFonts w:hAnsi="仿宋_GB2312" w:cs="仿宋_GB2312"/>
          <w:kern w:val="0"/>
          <w:szCs w:val="32"/>
        </w:rPr>
        <w:t>5.9</w:t>
      </w:r>
      <w:r>
        <w:rPr>
          <w:rFonts w:hint="eastAsia" w:hAnsi="仿宋_GB2312" w:cs="仿宋_GB2312"/>
          <w:kern w:val="0"/>
          <w:szCs w:val="32"/>
        </w:rPr>
        <w:t>057公顷（</w:t>
      </w:r>
      <w:r>
        <w:rPr>
          <w:rFonts w:hAnsi="仿宋_GB2312" w:cs="仿宋_GB2312"/>
          <w:kern w:val="0"/>
          <w:szCs w:val="32"/>
        </w:rPr>
        <w:t>590</w:t>
      </w:r>
      <w:r>
        <w:rPr>
          <w:rFonts w:hint="eastAsia" w:hAnsi="仿宋_GB2312" w:cs="仿宋_GB2312"/>
          <w:kern w:val="0"/>
          <w:szCs w:val="32"/>
        </w:rPr>
        <w:t>57.92平方米，折合约</w:t>
      </w:r>
      <w:r>
        <w:rPr>
          <w:rFonts w:hAnsi="仿宋_GB2312" w:cs="仿宋_GB2312"/>
          <w:kern w:val="0"/>
          <w:szCs w:val="32"/>
        </w:rPr>
        <w:t>88.6</w:t>
      </w:r>
      <w:r>
        <w:rPr>
          <w:rFonts w:hint="eastAsia" w:hAnsi="仿宋_GB2312" w:cs="仿宋_GB2312"/>
          <w:kern w:val="0"/>
          <w:szCs w:val="32"/>
        </w:rPr>
        <w:t>亩）。</w:t>
      </w:r>
    </w:p>
    <w:p>
      <w:pPr>
        <w:adjustRightInd/>
        <w:snapToGrid/>
        <w:ind w:firstLine="616" w:firstLineChars="20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（二）权属情况</w:t>
      </w:r>
    </w:p>
    <w:p>
      <w:pPr>
        <w:adjustRightInd/>
        <w:snapToGrid/>
        <w:ind w:firstLine="592"/>
        <w:rPr>
          <w:rFonts w:hAnsi="仿宋_GB2312" w:cs="仿宋_GB2312"/>
          <w:kern w:val="0"/>
          <w:szCs w:val="32"/>
        </w:rPr>
      </w:pPr>
      <w:r>
        <w:rPr>
          <w:rFonts w:hint="eastAsia" w:hAnsi="仿宋_GB2312" w:cs="仿宋_GB2312"/>
          <w:kern w:val="0"/>
          <w:szCs w:val="32"/>
        </w:rPr>
        <w:t>改造地块属国有建设用地，土地用途为工业，改造涉及的土地已经确权、登记，不动产权证号为</w:t>
      </w:r>
      <w:r>
        <w:rPr>
          <w:rFonts w:hAnsi="仿宋_GB2312" w:cs="仿宋_GB2312"/>
          <w:kern w:val="0"/>
          <w:szCs w:val="32"/>
        </w:rPr>
        <w:t>粤（2022）中山市不动产权第0282463号</w:t>
      </w:r>
      <w:r>
        <w:rPr>
          <w:rFonts w:hint="eastAsia" w:hAnsi="仿宋_GB2312" w:cs="仿宋_GB2312"/>
          <w:kern w:val="0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为原土地权利人</w:t>
      </w:r>
      <w:r>
        <w:rPr>
          <w:rFonts w:hint="eastAsia" w:hAnsi="仿宋_GB2312" w:cs="仿宋_GB2312"/>
          <w:spacing w:val="-6"/>
          <w:kern w:val="0"/>
          <w:sz w:val="32"/>
          <w:szCs w:val="32"/>
          <w:lang w:eastAsia="zh-CN"/>
        </w:rPr>
        <w:t>邵润洪、郭永红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自199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月开始使用，现土地权利人</w:t>
      </w:r>
      <w:r>
        <w:rPr>
          <w:rFonts w:hAnsi="仿宋_GB2312" w:cs="仿宋_GB2312"/>
          <w:kern w:val="0"/>
          <w:szCs w:val="32"/>
        </w:rPr>
        <w:t>广东宝洪实业投资有限公司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自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  <w:t>20</w:t>
      </w:r>
      <w:r>
        <w:rPr>
          <w:rFonts w:hint="eastAsia" w:hAnsi="仿宋_GB2312" w:cs="仿宋_GB2312"/>
          <w:spacing w:val="-6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年</w:t>
      </w:r>
      <w:r>
        <w:rPr>
          <w:rFonts w:hint="eastAsia" w:hAnsi="仿宋_GB2312" w:cs="仿宋_GB2312"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开始使用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。</w:t>
      </w:r>
    </w:p>
    <w:p>
      <w:pPr>
        <w:adjustRightInd/>
        <w:snapToGrid/>
        <w:ind w:firstLine="616" w:firstLineChars="20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（三）土地利用现状情况</w:t>
      </w:r>
    </w:p>
    <w:p>
      <w:pPr>
        <w:adjustRightInd/>
        <w:snapToGrid/>
        <w:ind w:firstLine="616" w:firstLineChars="200"/>
        <w:rPr>
          <w:rFonts w:hAnsi="仿宋_GB2312" w:cs="仿宋_GB2312"/>
          <w:color w:val="auto"/>
          <w:kern w:val="0"/>
          <w:szCs w:val="32"/>
        </w:rPr>
      </w:pPr>
      <w:r>
        <w:rPr>
          <w:rFonts w:hint="eastAsia" w:hAnsi="仿宋_GB2312" w:cs="仿宋_GB2312"/>
          <w:kern w:val="0"/>
          <w:szCs w:val="32"/>
        </w:rPr>
        <w:t>改造范围内现有</w:t>
      </w:r>
      <w:r>
        <w:rPr>
          <w:rFonts w:hint="eastAsia" w:hAnsi="仿宋_GB2312" w:cs="仿宋_GB2312"/>
          <w:kern w:val="0"/>
          <w:szCs w:val="32"/>
          <w:lang w:val="en-US" w:eastAsia="zh-CN"/>
        </w:rPr>
        <w:t>13</w:t>
      </w:r>
      <w:r>
        <w:rPr>
          <w:rFonts w:hint="eastAsia" w:hAnsi="仿宋_GB2312" w:cs="仿宋_GB2312"/>
          <w:kern w:val="0"/>
          <w:szCs w:val="32"/>
        </w:rPr>
        <w:t>栋建筑物，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为原土地权利人</w:t>
      </w:r>
      <w:r>
        <w:rPr>
          <w:rFonts w:hint="eastAsia" w:hAnsi="仿宋_GB2312" w:cs="仿宋_GB2312"/>
          <w:spacing w:val="-6"/>
          <w:kern w:val="0"/>
          <w:sz w:val="32"/>
          <w:szCs w:val="32"/>
          <w:lang w:eastAsia="zh-CN"/>
        </w:rPr>
        <w:t>邵润洪、郭永红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自199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月开始使用</w:t>
      </w:r>
      <w:r>
        <w:rPr>
          <w:rFonts w:hint="eastAsia" w:hAnsi="仿宋_GB2312" w:cs="仿宋_GB2312"/>
          <w:kern w:val="0"/>
          <w:szCs w:val="32"/>
        </w:rPr>
        <w:t>。已按规定办理规划报建等手续，现有建筑面积</w:t>
      </w:r>
      <w:r>
        <w:rPr>
          <w:rFonts w:hAnsi="仿宋_GB2312" w:cs="仿宋_GB2312"/>
          <w:kern w:val="0"/>
          <w:szCs w:val="32"/>
        </w:rPr>
        <w:t>29024.3</w:t>
      </w:r>
      <w:r>
        <w:rPr>
          <w:rFonts w:hint="eastAsia" w:hAnsi="仿宋_GB2312" w:cs="仿宋_GB2312"/>
          <w:kern w:val="0"/>
          <w:szCs w:val="32"/>
        </w:rPr>
        <w:t>平方米，现状容积率</w:t>
      </w:r>
      <w:r>
        <w:rPr>
          <w:rFonts w:hAnsi="仿宋_GB2312" w:cs="仿宋_GB2312"/>
          <w:kern w:val="0"/>
          <w:szCs w:val="32"/>
        </w:rPr>
        <w:t>0.49</w:t>
      </w:r>
      <w:r>
        <w:rPr>
          <w:rFonts w:hint="eastAsia" w:hAnsi="仿宋_GB2312" w:cs="仿宋_GB2312"/>
          <w:kern w:val="0"/>
          <w:szCs w:val="32"/>
        </w:rPr>
        <w:t>，作工业厂房所用。该地块目前已拆除建筑面积</w:t>
      </w:r>
      <w:r>
        <w:rPr>
          <w:rFonts w:hAnsi="仿宋_GB2312" w:cs="仿宋_GB2312"/>
          <w:kern w:val="0"/>
          <w:szCs w:val="32"/>
        </w:rPr>
        <w:t>15034.78</w:t>
      </w:r>
      <w:r>
        <w:rPr>
          <w:rFonts w:hint="eastAsia" w:hAnsi="仿宋_GB2312" w:cs="仿宋_GB2312"/>
          <w:kern w:val="0"/>
          <w:szCs w:val="32"/>
        </w:rPr>
        <w:t>平方米，</w:t>
      </w:r>
      <w:r>
        <w:rPr>
          <w:rFonts w:hAnsi="仿宋_GB2312" w:cs="仿宋_GB2312"/>
          <w:color w:val="auto"/>
          <w:kern w:val="0"/>
          <w:szCs w:val="32"/>
        </w:rPr>
        <w:t>改造前年产值为1000万元，年税收为30万元。</w:t>
      </w:r>
      <w:r>
        <w:rPr>
          <w:rFonts w:hint="eastAsia" w:hAnsi="仿宋_GB2312" w:cs="仿宋_GB2312"/>
          <w:kern w:val="0"/>
          <w:szCs w:val="32"/>
        </w:rPr>
        <w:t>因</w:t>
      </w:r>
      <w:r>
        <w:rPr>
          <w:rFonts w:hint="eastAsia" w:hAnsi="仿宋_GB2312" w:cs="仿宋_GB2312"/>
          <w:kern w:val="0"/>
          <w:szCs w:val="32"/>
          <w:lang w:eastAsia="zh-CN"/>
        </w:rPr>
        <w:t>地类不符</w:t>
      </w:r>
      <w:r>
        <w:rPr>
          <w:rFonts w:hint="eastAsia" w:hAnsi="仿宋_GB2312" w:cs="仿宋_GB2312"/>
          <w:kern w:val="0"/>
          <w:szCs w:val="32"/>
        </w:rPr>
        <w:t>不能纳入省标图入库范围。</w:t>
      </w:r>
      <w:r>
        <w:rPr>
          <w:rFonts w:hAnsi="仿宋_GB2312" w:cs="仿宋_GB2312"/>
          <w:color w:val="auto"/>
          <w:kern w:val="0"/>
          <w:szCs w:val="32"/>
        </w:rPr>
        <w:t>经研究，认定属于低效工业用地。</w:t>
      </w:r>
    </w:p>
    <w:p>
      <w:pPr>
        <w:adjustRightInd/>
        <w:snapToGrid/>
        <w:ind w:firstLine="616" w:firstLineChars="200"/>
        <w:rPr>
          <w:rFonts w:hAnsi="仿宋_GB2312" w:cs="仿宋_GB2312"/>
          <w:color w:val="0000FF"/>
          <w:kern w:val="0"/>
          <w:szCs w:val="32"/>
        </w:rPr>
      </w:pPr>
      <w:r>
        <w:rPr>
          <w:rFonts w:hAnsi="仿宋_GB2312" w:cs="仿宋_GB2312"/>
          <w:color w:val="auto"/>
          <w:kern w:val="0"/>
          <w:szCs w:val="32"/>
        </w:rPr>
        <w:t>改造地块不涉及闲置、抵押、历史文化资源要素等情况。</w:t>
      </w:r>
    </w:p>
    <w:p>
      <w:pPr>
        <w:adjustRightInd/>
        <w:snapToGrid/>
        <w:ind w:firstLine="616" w:firstLineChars="20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（四）规划情况</w:t>
      </w:r>
    </w:p>
    <w:p>
      <w:pPr>
        <w:adjustRightInd/>
        <w:snapToGrid/>
        <w:ind w:firstLine="616" w:firstLineChars="200"/>
        <w:rPr>
          <w:rFonts w:hAnsi="仿宋_GB2312" w:cs="仿宋_GB2312"/>
          <w:kern w:val="0"/>
          <w:szCs w:val="32"/>
        </w:rPr>
      </w:pPr>
      <w:r>
        <w:rPr>
          <w:rFonts w:hint="eastAsia" w:hAnsi="仿宋_GB2312" w:cs="仿宋_GB2312"/>
          <w:kern w:val="0"/>
          <w:szCs w:val="32"/>
        </w:rPr>
        <w:t>改造地块符合国土空间总体规划、控制性详细规划。其中，在国土空间总体规划中，属工业用地</w:t>
      </w:r>
      <w:r>
        <w:rPr>
          <w:rFonts w:hAnsi="仿宋_GB2312" w:cs="仿宋_GB2312"/>
          <w:kern w:val="0"/>
          <w:szCs w:val="32"/>
        </w:rPr>
        <w:t>5.9</w:t>
      </w:r>
      <w:r>
        <w:rPr>
          <w:rFonts w:hint="eastAsia" w:hAnsi="仿宋_GB2312" w:cs="仿宋_GB2312"/>
          <w:kern w:val="0"/>
          <w:szCs w:val="32"/>
        </w:rPr>
        <w:t>057公顷（</w:t>
      </w:r>
      <w:r>
        <w:rPr>
          <w:rFonts w:hAnsi="仿宋_GB2312" w:cs="仿宋_GB2312"/>
          <w:kern w:val="0"/>
          <w:szCs w:val="32"/>
        </w:rPr>
        <w:t>590</w:t>
      </w:r>
      <w:r>
        <w:rPr>
          <w:rFonts w:hint="eastAsia" w:hAnsi="仿宋_GB2312" w:cs="仿宋_GB2312"/>
          <w:kern w:val="0"/>
          <w:szCs w:val="32"/>
        </w:rPr>
        <w:t>57.92平方米，折合约</w:t>
      </w:r>
      <w:r>
        <w:rPr>
          <w:rFonts w:hAnsi="仿宋_GB2312" w:cs="仿宋_GB2312"/>
          <w:kern w:val="0"/>
          <w:szCs w:val="32"/>
        </w:rPr>
        <w:t>88.6</w:t>
      </w:r>
      <w:r>
        <w:rPr>
          <w:rFonts w:hint="eastAsia" w:hAnsi="仿宋_GB2312" w:cs="仿宋_GB2312"/>
          <w:kern w:val="0"/>
          <w:szCs w:val="32"/>
        </w:rPr>
        <w:t>亩）；在中山市中山市人民政府五桂山街道办事处城桂路两侧片区（1804单元）02街区A1-19地块及周边道路控制性详细规划局部调整（2023）（</w:t>
      </w:r>
      <w:r>
        <w:rPr>
          <w:rFonts w:hint="eastAsia" w:hAnsi="仿宋_GB2312" w:cs="仿宋_GB2312"/>
          <w:kern w:val="0"/>
          <w:szCs w:val="32"/>
          <w:lang w:eastAsia="zh-CN"/>
        </w:rPr>
        <w:t>中府函</w:t>
      </w:r>
      <w:r>
        <w:rPr>
          <w:rFonts w:hint="eastAsia" w:hAnsi="仿宋_GB2312" w:cs="仿宋_GB2312"/>
          <w:kern w:val="0"/>
          <w:szCs w:val="32"/>
          <w:lang w:val="en-US" w:eastAsia="zh-CN"/>
        </w:rPr>
        <w:t>[2023]265号</w:t>
      </w:r>
      <w:r>
        <w:rPr>
          <w:rFonts w:hint="eastAsia" w:hAnsi="仿宋_GB2312" w:cs="仿宋_GB2312"/>
          <w:kern w:val="0"/>
          <w:szCs w:val="32"/>
        </w:rPr>
        <w:t>）中，一类工业用地5.0945公顷（50945.21平方米，折合约76.42亩），规划容积率1.0-3.0，建筑密度35%-60%，绿地率10%-15%，建筑高度48米（具体高度结合高度控制分析确定），其中城镇道路用地0.7421公顷（7421.57平方米，折合约11.13亩），防护绿地用地0.0639公顷（639.12平方米，折合约0.96亩），陆地水域用地0.0052公顷（52.02平方米，折合约0.08亩）。</w:t>
      </w:r>
    </w:p>
    <w:p>
      <w:pPr>
        <w:adjustRightInd/>
        <w:snapToGrid/>
        <w:ind w:firstLine="616" w:firstLineChars="200"/>
        <w:rPr>
          <w:rFonts w:hAnsi="仿宋_GB2312" w:cs="仿宋_GB2312"/>
          <w:kern w:val="0"/>
          <w:szCs w:val="32"/>
        </w:rPr>
      </w:pPr>
      <w:r>
        <w:rPr>
          <w:rFonts w:hint="eastAsia" w:hAnsi="仿宋_GB2312" w:cs="仿宋_GB2312"/>
          <w:kern w:val="0"/>
          <w:szCs w:val="32"/>
          <w:lang w:eastAsia="zh-CN"/>
        </w:rPr>
        <w:t>改造地块位于“三区三线”</w:t>
      </w:r>
      <w:r>
        <w:rPr>
          <w:rFonts w:hint="eastAsia" w:hAnsi="仿宋_GB2312" w:cs="仿宋_GB2312"/>
          <w:szCs w:val="32"/>
        </w:rPr>
        <w:t>城镇开发边界</w:t>
      </w:r>
      <w:r>
        <w:rPr>
          <w:rFonts w:hint="eastAsia" w:hAnsi="仿宋_GB2312" w:cs="仿宋_GB2312"/>
          <w:szCs w:val="32"/>
          <w:lang w:eastAsia="zh-CN"/>
        </w:rPr>
        <w:t>，</w:t>
      </w:r>
      <w:r>
        <w:rPr>
          <w:rFonts w:hint="eastAsia" w:hAnsi="仿宋_GB2312" w:cs="仿宋_GB2312"/>
          <w:kern w:val="0"/>
          <w:szCs w:val="32"/>
        </w:rPr>
        <w:t>不</w:t>
      </w:r>
      <w:r>
        <w:rPr>
          <w:rFonts w:hint="eastAsia" w:hAnsi="仿宋_GB2312" w:cs="仿宋_GB2312"/>
          <w:szCs w:val="32"/>
        </w:rPr>
        <w:t>涉及永久基本农田、生态保护红线等管控要求。</w:t>
      </w:r>
    </w:p>
    <w:p>
      <w:pPr>
        <w:adjustRightInd/>
        <w:snapToGrid/>
        <w:ind w:firstLine="616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二、改造意愿情况</w:t>
      </w:r>
    </w:p>
    <w:p>
      <w:pPr>
        <w:adjustRightInd/>
        <w:snapToGrid/>
        <w:ind w:firstLine="616" w:firstLineChars="200"/>
        <w:rPr>
          <w:rFonts w:hAnsi="仿宋_GB2312" w:cs="仿宋_GB2312"/>
          <w:kern w:val="0"/>
          <w:szCs w:val="32"/>
        </w:rPr>
      </w:pPr>
      <w:r>
        <w:rPr>
          <w:rFonts w:hint="eastAsia" w:hAnsi="仿宋_GB2312" w:cs="仿宋_GB2312"/>
          <w:kern w:val="0"/>
          <w:szCs w:val="32"/>
        </w:rPr>
        <w:t>改造范围涉及</w:t>
      </w:r>
      <w:r>
        <w:rPr>
          <w:rFonts w:hAnsi="仿宋_GB2312" w:cs="仿宋_GB2312"/>
          <w:kern w:val="0"/>
          <w:szCs w:val="32"/>
        </w:rPr>
        <w:t>广东宝洪实业投资有限公司1</w:t>
      </w:r>
      <w:r>
        <w:rPr>
          <w:rFonts w:hint="eastAsia" w:hAnsi="仿宋_GB2312" w:cs="仿宋_GB2312"/>
          <w:kern w:val="0"/>
          <w:szCs w:val="32"/>
        </w:rPr>
        <w:t>个权利主体，中山市人民政府五桂山街道办事处已按照法律法规，就改造范围、土地现状、开发主体及拟改造情况等事项征询涉及所有产权人改造意愿，</w:t>
      </w:r>
      <w:r>
        <w:rPr>
          <w:rFonts w:hint="eastAsia" w:hAnsi="仿宋_GB2312" w:cs="仿宋_GB2312"/>
          <w:szCs w:val="32"/>
        </w:rPr>
        <w:t>同意</w:t>
      </w:r>
      <w:r>
        <w:rPr>
          <w:rFonts w:hint="eastAsia" w:hAnsi="仿宋_GB2312" w:cs="仿宋_GB2312"/>
          <w:kern w:val="0"/>
          <w:szCs w:val="32"/>
        </w:rPr>
        <w:t>将涉及土地、房屋纳入改造范围。</w:t>
      </w:r>
    </w:p>
    <w:p>
      <w:pPr>
        <w:adjustRightInd/>
        <w:snapToGrid/>
        <w:ind w:firstLine="616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三、开发主体及拟改造情况</w:t>
      </w:r>
    </w:p>
    <w:p>
      <w:pPr>
        <w:adjustRightInd/>
        <w:snapToGrid/>
        <w:ind w:firstLine="616" w:firstLineChars="200"/>
        <w:rPr>
          <w:rFonts w:hAnsi="仿宋_GB2312" w:cs="仿宋_GB2312"/>
          <w:strike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根据有关规划要求，改造项目严格按照土地利用总体规划、经批复规划条件论证管控要求实施建设。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</w:rPr>
        <w:t>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</w:rPr>
        <w:t>中属非建设用地部分，按照非建设用地进行管控；在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经批复规划条件论证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</w:rPr>
        <w:t>中属道路和绿地等公益性用地部分，日后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lang w:eastAsia="zh-CN"/>
        </w:rPr>
        <w:t>五桂山街道办事处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</w:rPr>
        <w:t>需按规划开发建设时，应无偿将用地交给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lang w:eastAsia="zh-CN"/>
        </w:rPr>
        <w:t>五桂山街道办事处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</w:rPr>
        <w:t>使用</w:t>
      </w:r>
      <w:r>
        <w:rPr>
          <w:rFonts w:hint="eastAsia" w:hAnsi="仿宋_GB2312" w:cs="仿宋_GB2312"/>
          <w:color w:val="auto"/>
          <w:spacing w:val="-6"/>
          <w:sz w:val="32"/>
          <w:lang w:eastAsia="zh-CN"/>
        </w:rPr>
        <w:t>。</w:t>
      </w:r>
      <w:r>
        <w:rPr>
          <w:rFonts w:hint="eastAsia" w:hAnsi="仿宋_GB2312" w:cs="仿宋_GB2312"/>
          <w:color w:val="auto"/>
          <w:spacing w:val="-6"/>
          <w:sz w:val="32"/>
          <w:lang w:val="en-US" w:eastAsia="zh-CN"/>
        </w:rPr>
        <w:t>道路部分</w:t>
      </w:r>
      <w:r>
        <w:rPr>
          <w:rFonts w:hint="eastAsia" w:hAnsi="仿宋_GB2312" w:cs="仿宋_GB2312"/>
          <w:color w:val="auto"/>
          <w:szCs w:val="32"/>
        </w:rPr>
        <w:t>作为公共道路共同使用。</w:t>
      </w:r>
    </w:p>
    <w:p>
      <w:pPr>
        <w:adjustRightInd/>
        <w:snapToGrid/>
        <w:ind w:firstLine="616" w:firstLineChars="200"/>
        <w:rPr>
          <w:rFonts w:hAnsi="仿宋_GB2312" w:cs="仿宋_GB2312"/>
          <w:color w:val="auto"/>
          <w:kern w:val="0"/>
          <w:szCs w:val="32"/>
        </w:rPr>
      </w:pPr>
      <w:r>
        <w:rPr>
          <w:rFonts w:hint="eastAsia" w:hAnsi="仿宋_GB2312" w:cs="仿宋_GB2312"/>
          <w:color w:val="auto"/>
          <w:kern w:val="0"/>
          <w:szCs w:val="32"/>
        </w:rPr>
        <w:t>改造项目拟采取土地产权人自主改造方式，由</w:t>
      </w:r>
      <w:r>
        <w:rPr>
          <w:rFonts w:hAnsi="仿宋_GB2312" w:cs="仿宋_GB2312"/>
          <w:color w:val="auto"/>
          <w:kern w:val="0"/>
          <w:szCs w:val="32"/>
        </w:rPr>
        <w:t>广东宝洪实业投资有限公司</w:t>
      </w:r>
      <w:r>
        <w:rPr>
          <w:rFonts w:hint="eastAsia" w:hAnsi="仿宋_GB2312" w:cs="仿宋_GB2312"/>
          <w:color w:val="auto"/>
          <w:kern w:val="0"/>
          <w:szCs w:val="32"/>
        </w:rPr>
        <w:t>作为开发主体，实施全面改造。</w:t>
      </w:r>
      <w:r>
        <w:rPr>
          <w:rFonts w:hAnsi="仿宋_GB2312" w:cs="仿宋_GB2312"/>
          <w:color w:val="auto"/>
          <w:kern w:val="0"/>
          <w:szCs w:val="32"/>
        </w:rPr>
        <w:t>改造后产业园定位确立以总部经济、创新研发、智慧制造、数字云科技、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第三产业、</w:t>
      </w:r>
      <w:r>
        <w:rPr>
          <w:rFonts w:hAnsi="仿宋_GB2312" w:cs="仿宋_GB2312"/>
          <w:color w:val="auto"/>
          <w:kern w:val="0"/>
          <w:szCs w:val="32"/>
        </w:rPr>
        <w:t>企业孵化、城市服务及生态居住为一体的现代城市产业集群。具体包括智能智造先进装备智造、新一代信息技术、新材料(激光与增材智造产业生物医药与健康产业)电子科技、医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疗及康养服务产业</w:t>
      </w:r>
      <w:r>
        <w:rPr>
          <w:rFonts w:hAnsi="仿宋_GB2312" w:cs="仿宋_GB2312"/>
          <w:color w:val="auto"/>
          <w:kern w:val="0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</w:t>
      </w:r>
      <w:r>
        <w:rPr>
          <w:rFonts w:hAnsi="仿宋_GB2312" w:cs="仿宋_GB2312"/>
          <w:color w:val="auto"/>
          <w:kern w:val="0"/>
          <w:szCs w:val="32"/>
        </w:rPr>
        <w:t>金融研发</w:t>
      </w:r>
      <w:r>
        <w:rPr>
          <w:rFonts w:hAnsi="仿宋_GB2312" w:cs="仿宋_GB2312"/>
          <w:color w:val="auto"/>
          <w:kern w:val="0"/>
          <w:szCs w:val="32"/>
          <w:highlight w:val="none"/>
        </w:rPr>
        <w:t>、商贸娱乐和生态产业园</w:t>
      </w:r>
      <w:r>
        <w:rPr>
          <w:rFonts w:hAnsi="仿宋_GB2312" w:cs="仿宋_GB2312"/>
          <w:color w:val="auto"/>
          <w:kern w:val="0"/>
          <w:szCs w:val="32"/>
        </w:rPr>
        <w:t>等新型产业工业用房。</w:t>
      </w:r>
    </w:p>
    <w:p>
      <w:pPr>
        <w:adjustRightInd/>
        <w:snapToGrid/>
        <w:ind w:firstLine="616" w:firstLineChars="200"/>
        <w:rPr>
          <w:rFonts w:hAnsi="仿宋_GB2312" w:cs="仿宋_GB2312"/>
          <w:color w:val="auto"/>
          <w:kern w:val="0"/>
          <w:szCs w:val="32"/>
        </w:rPr>
      </w:pPr>
      <w:r>
        <w:rPr>
          <w:rFonts w:hAnsi="仿宋_GB2312" w:cs="仿宋_GB2312"/>
          <w:color w:val="auto"/>
          <w:kern w:val="0"/>
          <w:szCs w:val="32"/>
        </w:rPr>
        <w:t>在符合详细规划的基础上，容积率不小于2.</w:t>
      </w:r>
      <w:r>
        <w:rPr>
          <w:rFonts w:hAnsi="仿宋_GB2312" w:cs="仿宋_GB2312"/>
          <w:color w:val="auto"/>
          <w:kern w:val="0"/>
          <w:szCs w:val="32"/>
          <w:highlight w:val="none"/>
        </w:rPr>
        <w:t>3</w:t>
      </w:r>
      <w:r>
        <w:rPr>
          <w:rFonts w:hAnsi="仿宋_GB2312" w:cs="仿宋_GB2312"/>
          <w:color w:val="auto"/>
          <w:kern w:val="0"/>
          <w:szCs w:val="32"/>
        </w:rPr>
        <w:t>，总建筑面积不小于</w:t>
      </w:r>
      <w:r>
        <w:rPr>
          <w:rFonts w:hint="default" w:hAnsi="仿宋_GB2312" w:cs="仿宋_GB2312"/>
          <w:strike w:val="0"/>
          <w:color w:val="auto"/>
          <w:kern w:val="0"/>
          <w:szCs w:val="32"/>
          <w:lang w:eastAsia="zh-CN"/>
        </w:rPr>
        <w:t>1</w:t>
      </w:r>
      <w:r>
        <w:rPr>
          <w:rFonts w:hint="default" w:hAnsi="仿宋_GB2312" w:cs="仿宋_GB2312"/>
          <w:strike w:val="0"/>
          <w:color w:val="auto"/>
          <w:kern w:val="0"/>
          <w:szCs w:val="32"/>
          <w:lang w:val="en-US" w:eastAsia="zh-CN"/>
        </w:rPr>
        <w:t>478</w:t>
      </w:r>
      <w:r>
        <w:rPr>
          <w:rFonts w:hint="eastAsia" w:hAnsi="仿宋_GB2312" w:cs="仿宋_GB2312"/>
          <w:strike w:val="0"/>
          <w:color w:val="auto"/>
          <w:kern w:val="0"/>
          <w:szCs w:val="32"/>
          <w:lang w:val="en-US" w:eastAsia="zh-CN"/>
        </w:rPr>
        <w:t>33.22</w:t>
      </w:r>
      <w:r>
        <w:rPr>
          <w:rFonts w:hAnsi="仿宋_GB2312" w:cs="仿宋_GB2312"/>
          <w:color w:val="auto"/>
          <w:kern w:val="0"/>
          <w:szCs w:val="32"/>
        </w:rPr>
        <w:t>平方米（含不计容建筑面积</w:t>
      </w:r>
      <w:r>
        <w:rPr>
          <w:rFonts w:hint="default" w:hAnsi="仿宋_GB2312" w:cs="仿宋_GB2312"/>
          <w:color w:val="auto"/>
          <w:kern w:val="0"/>
          <w:szCs w:val="32"/>
          <w:lang w:eastAsia="zh-CN"/>
        </w:rPr>
        <w:t>不小于</w:t>
      </w:r>
      <w:r>
        <w:rPr>
          <w:rFonts w:hAnsi="仿宋_GB2312" w:cs="仿宋_GB2312"/>
          <w:color w:val="auto"/>
          <w:kern w:val="0"/>
          <w:szCs w:val="32"/>
          <w:highlight w:val="none"/>
        </w:rPr>
        <w:t>12</w:t>
      </w:r>
      <w:r>
        <w:rPr>
          <w:rFonts w:hAnsi="仿宋_GB2312" w:cs="仿宋_GB2312"/>
          <w:strike w:val="0"/>
          <w:color w:val="auto"/>
          <w:kern w:val="0"/>
          <w:szCs w:val="32"/>
        </w:rPr>
        <w:t>000</w:t>
      </w:r>
      <w:r>
        <w:rPr>
          <w:rFonts w:hAnsi="仿宋_GB2312" w:cs="仿宋_GB2312"/>
          <w:color w:val="auto"/>
          <w:kern w:val="0"/>
          <w:szCs w:val="32"/>
        </w:rPr>
        <w:t>平方米）</w:t>
      </w:r>
      <w:r>
        <w:rPr>
          <w:rFonts w:hint="default" w:hAnsi="仿宋_GB2312" w:cs="仿宋_GB2312"/>
          <w:color w:val="auto"/>
          <w:kern w:val="0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不保留原有建筑</w:t>
      </w:r>
      <w:r>
        <w:rPr>
          <w:rFonts w:hAnsi="仿宋_GB2312" w:cs="仿宋_GB2312"/>
          <w:color w:val="auto"/>
          <w:kern w:val="0"/>
          <w:szCs w:val="32"/>
        </w:rPr>
        <w:t>。</w:t>
      </w:r>
    </w:p>
    <w:p>
      <w:pPr>
        <w:adjustRightInd/>
        <w:snapToGrid/>
        <w:ind w:firstLine="616" w:firstLineChars="200"/>
        <w:rPr>
          <w:rFonts w:hAnsi="仿宋_GB2312" w:cs="仿宋_GB2312"/>
          <w:color w:val="auto"/>
          <w:kern w:val="0"/>
          <w:szCs w:val="32"/>
        </w:rPr>
      </w:pPr>
      <w:r>
        <w:rPr>
          <w:rFonts w:hAnsi="仿宋_GB2312" w:cs="仿宋_GB2312"/>
          <w:color w:val="auto"/>
          <w:kern w:val="0"/>
          <w:szCs w:val="32"/>
        </w:rPr>
        <w:t>项目相关情况符合国家《产业结构调整指导目录》、《中山市“三线一单”生态环境分区管控方案》、《中山市涉挥发性有机物项目环保管理规定》。改造后年产值将达到</w:t>
      </w:r>
      <w:r>
        <w:rPr>
          <w:rFonts w:hint="eastAsia" w:hAnsi="仿宋_GB2312" w:cs="仿宋_GB2312"/>
          <w:color w:val="auto"/>
          <w:kern w:val="0"/>
          <w:szCs w:val="32"/>
          <w:u w:val="none"/>
          <w:lang w:val="en-US" w:eastAsia="zh-CN"/>
        </w:rPr>
        <w:t xml:space="preserve">61090   </w:t>
      </w:r>
      <w:r>
        <w:rPr>
          <w:rFonts w:hAnsi="仿宋_GB2312" w:cs="仿宋_GB2312"/>
          <w:color w:val="auto"/>
          <w:kern w:val="0"/>
          <w:szCs w:val="32"/>
          <w:u w:val="none"/>
        </w:rPr>
        <w:t>万元</w:t>
      </w:r>
      <w:r>
        <w:rPr>
          <w:rFonts w:hint="eastAsia" w:hAnsi="仿宋_GB2312" w:cs="仿宋_GB2312"/>
          <w:color w:val="auto"/>
          <w:kern w:val="0"/>
          <w:szCs w:val="32"/>
          <w:u w:val="none"/>
          <w:lang w:eastAsia="zh-CN"/>
        </w:rPr>
        <w:t>（亩均</w:t>
      </w:r>
      <w:r>
        <w:rPr>
          <w:rFonts w:hint="eastAsia" w:hAnsi="仿宋_GB2312" w:cs="仿宋_GB2312"/>
          <w:color w:val="auto"/>
          <w:kern w:val="0"/>
          <w:szCs w:val="32"/>
          <w:u w:val="none"/>
          <w:lang w:val="en-US" w:eastAsia="zh-CN"/>
        </w:rPr>
        <w:t>689万</w:t>
      </w:r>
      <w:r>
        <w:rPr>
          <w:rFonts w:hint="eastAsia" w:hAnsi="仿宋_GB2312" w:cs="仿宋_GB2312"/>
          <w:color w:val="auto"/>
          <w:kern w:val="0"/>
          <w:szCs w:val="32"/>
          <w:u w:val="none"/>
          <w:lang w:eastAsia="zh-CN"/>
        </w:rPr>
        <w:t>）</w:t>
      </w:r>
      <w:r>
        <w:rPr>
          <w:rFonts w:hAnsi="仿宋_GB2312" w:cs="仿宋_GB2312"/>
          <w:color w:val="auto"/>
          <w:kern w:val="0"/>
          <w:szCs w:val="32"/>
          <w:u w:val="none"/>
        </w:rPr>
        <w:t>，</w:t>
      </w:r>
      <w:r>
        <w:rPr>
          <w:rFonts w:hint="eastAsia" w:hAnsi="仿宋_GB2312" w:cs="仿宋_GB2312"/>
          <w:color w:val="auto"/>
          <w:kern w:val="0"/>
          <w:szCs w:val="32"/>
          <w:u w:val="none"/>
          <w:lang w:eastAsia="zh-CN"/>
        </w:rPr>
        <w:t>年税收将达到</w:t>
      </w:r>
      <w:r>
        <w:rPr>
          <w:rFonts w:hint="eastAsia" w:hAnsi="仿宋_GB2312" w:cs="仿宋_GB2312"/>
          <w:color w:val="auto"/>
          <w:kern w:val="0"/>
          <w:szCs w:val="32"/>
          <w:u w:val="none"/>
          <w:lang w:val="en-US" w:eastAsia="zh-CN"/>
        </w:rPr>
        <w:t xml:space="preserve"> 1527 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万元</w:t>
      </w:r>
      <w:r>
        <w:rPr>
          <w:rFonts w:hint="eastAsia" w:hAnsi="仿宋_GB2312" w:cs="仿宋_GB2312"/>
          <w:color w:val="auto"/>
          <w:kern w:val="0"/>
          <w:szCs w:val="32"/>
          <w:u w:val="none"/>
          <w:lang w:eastAsia="zh-CN"/>
        </w:rPr>
        <w:t>（亩均</w:t>
      </w:r>
      <w:r>
        <w:rPr>
          <w:rFonts w:hint="eastAsia" w:hAnsi="仿宋_GB2312" w:cs="仿宋_GB2312"/>
          <w:color w:val="auto"/>
          <w:kern w:val="0"/>
          <w:szCs w:val="32"/>
          <w:u w:val="none"/>
          <w:lang w:val="en-US" w:eastAsia="zh-CN"/>
        </w:rPr>
        <w:t>17.23万</w:t>
      </w:r>
      <w:r>
        <w:rPr>
          <w:rFonts w:hint="eastAsia" w:hAnsi="仿宋_GB2312" w:cs="仿宋_GB2312"/>
          <w:color w:val="auto"/>
          <w:kern w:val="0"/>
          <w:szCs w:val="32"/>
          <w:u w:val="none"/>
          <w:lang w:eastAsia="zh-CN"/>
        </w:rPr>
        <w:t>）</w:t>
      </w:r>
      <w:r>
        <w:rPr>
          <w:rFonts w:hAnsi="仿宋_GB2312" w:cs="仿宋_GB2312"/>
          <w:color w:val="auto"/>
          <w:kern w:val="0"/>
          <w:szCs w:val="32"/>
        </w:rPr>
        <w:t>。</w:t>
      </w:r>
    </w:p>
    <w:p>
      <w:pPr>
        <w:numPr>
          <w:ilvl w:val="0"/>
          <w:numId w:val="1"/>
        </w:numPr>
        <w:adjustRightInd/>
        <w:snapToGrid/>
        <w:ind w:firstLine="616" w:firstLineChars="200"/>
        <w:rPr>
          <w:rFonts w:ascii="黑体" w:hAnsi="黑体" w:eastAsia="黑体" w:cs="黑体"/>
          <w:color w:val="auto"/>
          <w:kern w:val="0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Cs w:val="32"/>
        </w:rPr>
        <w:t>资金筹措</w:t>
      </w:r>
    </w:p>
    <w:p>
      <w:pPr>
        <w:adjustRightInd/>
        <w:snapToGrid/>
        <w:ind w:firstLine="592"/>
        <w:rPr>
          <w:rFonts w:hAnsi="仿宋_GB2312" w:cs="仿宋_GB2312"/>
          <w:color w:val="auto"/>
          <w:kern w:val="0"/>
          <w:szCs w:val="32"/>
        </w:rPr>
      </w:pPr>
      <w:r>
        <w:rPr>
          <w:rFonts w:hAnsi="仿宋_GB2312" w:cs="仿宋_GB2312"/>
          <w:color w:val="auto"/>
          <w:kern w:val="0"/>
          <w:szCs w:val="32"/>
        </w:rPr>
        <w:t>开发主体拟投入资金</w:t>
      </w:r>
      <w:r>
        <w:rPr>
          <w:rFonts w:hAnsi="仿宋_GB2312" w:cs="仿宋_GB2312"/>
          <w:color w:val="auto"/>
          <w:kern w:val="0"/>
          <w:szCs w:val="32"/>
          <w:highlight w:val="none"/>
        </w:rPr>
        <w:t>5.6</w:t>
      </w:r>
      <w:r>
        <w:rPr>
          <w:rFonts w:hAnsi="仿宋_GB2312" w:cs="仿宋_GB2312"/>
          <w:color w:val="auto"/>
          <w:kern w:val="0"/>
          <w:szCs w:val="32"/>
        </w:rPr>
        <w:t>亿元，其中自有资金</w:t>
      </w:r>
      <w:r>
        <w:rPr>
          <w:rFonts w:hAnsi="仿宋_GB2312" w:cs="仿宋_GB2312"/>
          <w:color w:val="auto"/>
          <w:kern w:val="0"/>
          <w:szCs w:val="32"/>
          <w:highlight w:val="none"/>
        </w:rPr>
        <w:t>2.5</w:t>
      </w:r>
      <w:r>
        <w:rPr>
          <w:rFonts w:hAnsi="仿宋_GB2312" w:cs="仿宋_GB2312"/>
          <w:color w:val="auto"/>
          <w:kern w:val="0"/>
          <w:szCs w:val="32"/>
        </w:rPr>
        <w:t>亿元，银行借贷</w:t>
      </w:r>
      <w:r>
        <w:rPr>
          <w:rFonts w:hAnsi="仿宋_GB2312" w:cs="仿宋_GB2312"/>
          <w:color w:val="auto"/>
          <w:kern w:val="0"/>
          <w:szCs w:val="32"/>
          <w:highlight w:val="none"/>
        </w:rPr>
        <w:t>3.1</w:t>
      </w:r>
      <w:r>
        <w:rPr>
          <w:rFonts w:hAnsi="仿宋_GB2312" w:cs="仿宋_GB2312"/>
          <w:color w:val="auto"/>
          <w:kern w:val="0"/>
          <w:szCs w:val="32"/>
        </w:rPr>
        <w:t>亿元。</w:t>
      </w:r>
    </w:p>
    <w:p>
      <w:pPr>
        <w:numPr>
          <w:ilvl w:val="0"/>
          <w:numId w:val="1"/>
        </w:numPr>
        <w:adjustRightInd/>
        <w:snapToGrid/>
        <w:ind w:firstLine="616" w:firstLineChars="200"/>
        <w:rPr>
          <w:rFonts w:ascii="黑体" w:hAnsi="黑体" w:eastAsia="黑体" w:cs="黑体"/>
          <w:color w:val="auto"/>
          <w:kern w:val="0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Cs w:val="32"/>
        </w:rPr>
        <w:t>开发时序</w:t>
      </w:r>
    </w:p>
    <w:p>
      <w:pPr>
        <w:adjustRightInd/>
        <w:snapToGrid/>
        <w:ind w:firstLine="592"/>
        <w:rPr>
          <w:rFonts w:ascii="黑体" w:hAnsi="黑体" w:eastAsia="黑体" w:cs="黑体"/>
          <w:color w:val="auto"/>
          <w:kern w:val="0"/>
          <w:szCs w:val="32"/>
        </w:rPr>
      </w:pPr>
      <w:r>
        <w:rPr>
          <w:rFonts w:hAnsi="仿宋_GB2312" w:cs="仿宋_GB2312"/>
          <w:color w:val="auto"/>
          <w:kern w:val="0"/>
          <w:szCs w:val="32"/>
        </w:rPr>
        <w:t>项目开发周期为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5</w:t>
      </w:r>
      <w:r>
        <w:rPr>
          <w:rFonts w:hAnsi="仿宋_GB2312" w:cs="仿宋_GB2312"/>
          <w:color w:val="auto"/>
          <w:kern w:val="0"/>
          <w:szCs w:val="32"/>
        </w:rPr>
        <w:t>年，拟分</w:t>
      </w:r>
      <w:r>
        <w:rPr>
          <w:rFonts w:hint="eastAsia" w:hAnsi="仿宋_GB2312" w:cs="仿宋_GB2312"/>
          <w:strike w:val="0"/>
          <w:color w:val="auto"/>
          <w:kern w:val="0"/>
          <w:szCs w:val="32"/>
          <w:lang w:val="en-US" w:eastAsia="zh-CN"/>
        </w:rPr>
        <w:t>三</w:t>
      </w:r>
      <w:r>
        <w:rPr>
          <w:rFonts w:hAnsi="仿宋_GB2312" w:cs="仿宋_GB2312"/>
          <w:color w:val="auto"/>
          <w:kern w:val="0"/>
          <w:szCs w:val="32"/>
        </w:rPr>
        <w:t>期开发。一期开发时间为2024年10月起，拟投入资金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16800万</w:t>
      </w:r>
      <w:r>
        <w:rPr>
          <w:rFonts w:hAnsi="仿宋_GB2312" w:cs="仿宋_GB2312"/>
          <w:color w:val="auto"/>
          <w:kern w:val="0"/>
          <w:szCs w:val="32"/>
        </w:rPr>
        <w:t>元，拟建建筑面积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不小于</w:t>
      </w:r>
      <w:r>
        <w:rPr>
          <w:rFonts w:hint="eastAsia" w:hAnsi="仿宋_GB2312" w:cs="仿宋_GB2312"/>
          <w:color w:val="auto"/>
          <w:kern w:val="0"/>
          <w:szCs w:val="32"/>
          <w:lang w:eastAsia="zh-CN"/>
        </w:rPr>
        <w:t>4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4000</w:t>
      </w:r>
      <w:r>
        <w:rPr>
          <w:rFonts w:hAnsi="仿宋_GB2312" w:cs="仿宋_GB2312"/>
          <w:color w:val="auto"/>
          <w:kern w:val="0"/>
          <w:szCs w:val="32"/>
        </w:rPr>
        <w:t>平方米（含不计容建筑面积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不小于4</w:t>
      </w:r>
      <w:r>
        <w:rPr>
          <w:rFonts w:hAnsi="仿宋_GB2312" w:cs="仿宋_GB2312"/>
          <w:color w:val="auto"/>
          <w:kern w:val="0"/>
          <w:szCs w:val="32"/>
        </w:rPr>
        <w:t>000平方米）；二期开发时间为2026年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6</w:t>
      </w:r>
      <w:r>
        <w:rPr>
          <w:rFonts w:hAnsi="仿宋_GB2312" w:cs="仿宋_GB2312"/>
          <w:color w:val="auto"/>
          <w:kern w:val="0"/>
          <w:szCs w:val="32"/>
        </w:rPr>
        <w:t>月，拟投入资金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16800万</w:t>
      </w:r>
      <w:r>
        <w:rPr>
          <w:rFonts w:hAnsi="仿宋_GB2312" w:cs="仿宋_GB2312"/>
          <w:color w:val="auto"/>
          <w:kern w:val="0"/>
          <w:szCs w:val="32"/>
        </w:rPr>
        <w:t>元，拟建建筑面积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不小于</w:t>
      </w:r>
      <w:r>
        <w:rPr>
          <w:rFonts w:hint="eastAsia" w:hAnsi="仿宋_GB2312" w:cs="仿宋_GB2312"/>
          <w:color w:val="auto"/>
          <w:kern w:val="0"/>
          <w:szCs w:val="32"/>
          <w:lang w:eastAsia="zh-CN"/>
        </w:rPr>
        <w:t>4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4000</w:t>
      </w:r>
      <w:r>
        <w:rPr>
          <w:rFonts w:hAnsi="仿宋_GB2312" w:cs="仿宋_GB2312"/>
          <w:color w:val="auto"/>
          <w:kern w:val="0"/>
          <w:szCs w:val="32"/>
        </w:rPr>
        <w:t>平方米（含不计容建筑面积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不小于</w:t>
      </w:r>
      <w:r>
        <w:rPr>
          <w:rFonts w:hint="eastAsia" w:hAnsi="仿宋_GB2312" w:cs="仿宋_GB2312"/>
          <w:color w:val="auto"/>
          <w:kern w:val="0"/>
          <w:szCs w:val="32"/>
          <w:lang w:eastAsia="zh-CN"/>
        </w:rPr>
        <w:t>4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000</w:t>
      </w:r>
      <w:r>
        <w:rPr>
          <w:rFonts w:hAnsi="仿宋_GB2312" w:cs="仿宋_GB2312"/>
          <w:color w:val="auto"/>
          <w:kern w:val="0"/>
          <w:szCs w:val="32"/>
        </w:rPr>
        <w:t>平方米），三期开发时间</w:t>
      </w:r>
      <w:r>
        <w:rPr>
          <w:rFonts w:hAnsi="仿宋_GB2312" w:cs="仿宋_GB2312"/>
          <w:color w:val="auto"/>
          <w:kern w:val="0"/>
          <w:szCs w:val="32"/>
          <w:highlight w:val="none"/>
        </w:rPr>
        <w:t>为202</w:t>
      </w:r>
      <w:r>
        <w:rPr>
          <w:rFonts w:hint="eastAsia" w:hAnsi="仿宋_GB2312" w:cs="仿宋_GB2312"/>
          <w:color w:val="auto"/>
          <w:kern w:val="0"/>
          <w:szCs w:val="32"/>
          <w:highlight w:val="none"/>
          <w:lang w:val="en-US" w:eastAsia="zh-CN"/>
        </w:rPr>
        <w:t>8</w:t>
      </w:r>
      <w:r>
        <w:rPr>
          <w:rFonts w:hAnsi="仿宋_GB2312" w:cs="仿宋_GB2312"/>
          <w:color w:val="auto"/>
          <w:kern w:val="0"/>
          <w:szCs w:val="32"/>
        </w:rPr>
        <w:t>年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2</w:t>
      </w:r>
      <w:r>
        <w:rPr>
          <w:rFonts w:hAnsi="仿宋_GB2312" w:cs="仿宋_GB2312"/>
          <w:color w:val="auto"/>
          <w:kern w:val="0"/>
          <w:szCs w:val="32"/>
        </w:rPr>
        <w:t>月，拟投入资金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22400万</w:t>
      </w:r>
      <w:r>
        <w:rPr>
          <w:rFonts w:hAnsi="仿宋_GB2312" w:cs="仿宋_GB2312"/>
          <w:color w:val="auto"/>
          <w:kern w:val="0"/>
          <w:szCs w:val="32"/>
        </w:rPr>
        <w:t>元，拟建建筑面积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不小于59833.22</w:t>
      </w:r>
      <w:r>
        <w:rPr>
          <w:rFonts w:hAnsi="仿宋_GB2312" w:cs="仿宋_GB2312"/>
          <w:color w:val="auto"/>
          <w:kern w:val="0"/>
          <w:szCs w:val="32"/>
        </w:rPr>
        <w:t>平方米（含不计容建筑面积</w:t>
      </w:r>
      <w:r>
        <w:rPr>
          <w:rFonts w:hint="eastAsia" w:hAnsi="仿宋_GB2312" w:cs="仿宋_GB2312"/>
          <w:color w:val="auto"/>
          <w:kern w:val="0"/>
          <w:szCs w:val="32"/>
          <w:lang w:val="en-US" w:eastAsia="zh-CN"/>
        </w:rPr>
        <w:t>不小于</w:t>
      </w:r>
      <w:r>
        <w:rPr>
          <w:rFonts w:hint="eastAsia" w:hAnsi="仿宋_GB2312" w:cs="仿宋_GB2312"/>
          <w:color w:val="auto"/>
          <w:kern w:val="0"/>
          <w:szCs w:val="32"/>
          <w:highlight w:val="none"/>
          <w:lang w:eastAsia="zh-CN"/>
        </w:rPr>
        <w:t>4</w:t>
      </w:r>
      <w:r>
        <w:rPr>
          <w:rFonts w:hint="eastAsia" w:hAnsi="仿宋_GB2312" w:cs="仿宋_GB2312"/>
          <w:color w:val="auto"/>
          <w:kern w:val="0"/>
          <w:szCs w:val="32"/>
          <w:highlight w:val="none"/>
          <w:lang w:val="en-US" w:eastAsia="zh-CN"/>
        </w:rPr>
        <w:t>000</w:t>
      </w:r>
      <w:r>
        <w:rPr>
          <w:rFonts w:hAnsi="仿宋_GB2312" w:cs="仿宋_GB2312"/>
          <w:color w:val="auto"/>
          <w:kern w:val="0"/>
          <w:szCs w:val="32"/>
        </w:rPr>
        <w:t>平方米）</w:t>
      </w:r>
      <w:r>
        <w:rPr>
          <w:rFonts w:hint="eastAsia" w:hAnsi="仿宋_GB2312" w:cs="仿宋_GB2312"/>
          <w:color w:val="auto"/>
          <w:kern w:val="0"/>
          <w:szCs w:val="32"/>
          <w:lang w:eastAsia="zh-CN"/>
        </w:rPr>
        <w:t>。</w:t>
      </w:r>
    </w:p>
    <w:p>
      <w:pPr>
        <w:adjustRightInd/>
        <w:snapToGrid/>
        <w:ind w:firstLine="616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六、实施监管</w:t>
      </w:r>
    </w:p>
    <w:p>
      <w:pPr>
        <w:ind w:firstLine="616" w:firstLineChars="20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详见五桂山街道办事处与改造主体</w:t>
      </w:r>
      <w:r>
        <w:rPr>
          <w:rFonts w:hAnsi="仿宋_GB2312" w:cs="仿宋_GB2312"/>
          <w:kern w:val="0"/>
          <w:szCs w:val="32"/>
        </w:rPr>
        <w:t>广东宝洪实业投资有限公司</w:t>
      </w:r>
      <w:r>
        <w:rPr>
          <w:rFonts w:hint="eastAsia"/>
          <w:lang w:eastAsia="zh-CN"/>
        </w:rPr>
        <w:t>签订的项目监管协议。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035F85"/>
    <w:rsid w:val="0009180A"/>
    <w:rsid w:val="00171D0C"/>
    <w:rsid w:val="001912C4"/>
    <w:rsid w:val="00210685"/>
    <w:rsid w:val="00490120"/>
    <w:rsid w:val="004B4FC0"/>
    <w:rsid w:val="005C70C0"/>
    <w:rsid w:val="006A7F7C"/>
    <w:rsid w:val="007442A1"/>
    <w:rsid w:val="007C4AE2"/>
    <w:rsid w:val="009F503F"/>
    <w:rsid w:val="00A27BE2"/>
    <w:rsid w:val="00A8291E"/>
    <w:rsid w:val="00AB18BA"/>
    <w:rsid w:val="00B74B53"/>
    <w:rsid w:val="00BF5996"/>
    <w:rsid w:val="00D97D99"/>
    <w:rsid w:val="00DA78EA"/>
    <w:rsid w:val="00E83B13"/>
    <w:rsid w:val="00EC28E0"/>
    <w:rsid w:val="00F27820"/>
    <w:rsid w:val="00F863BA"/>
    <w:rsid w:val="01F445D3"/>
    <w:rsid w:val="04304D7C"/>
    <w:rsid w:val="07517066"/>
    <w:rsid w:val="08C1791D"/>
    <w:rsid w:val="092F499B"/>
    <w:rsid w:val="0AAD4975"/>
    <w:rsid w:val="0BB33C80"/>
    <w:rsid w:val="0BE34E74"/>
    <w:rsid w:val="0C6D4B44"/>
    <w:rsid w:val="0C747FFC"/>
    <w:rsid w:val="0E171B67"/>
    <w:rsid w:val="0F356301"/>
    <w:rsid w:val="10DD1863"/>
    <w:rsid w:val="14A616F8"/>
    <w:rsid w:val="15635377"/>
    <w:rsid w:val="1911601A"/>
    <w:rsid w:val="1A082580"/>
    <w:rsid w:val="1A703F92"/>
    <w:rsid w:val="1ABB4669"/>
    <w:rsid w:val="1B33302E"/>
    <w:rsid w:val="215025B4"/>
    <w:rsid w:val="235706C6"/>
    <w:rsid w:val="246254FA"/>
    <w:rsid w:val="247D156D"/>
    <w:rsid w:val="25E145B1"/>
    <w:rsid w:val="27287E85"/>
    <w:rsid w:val="27CD399F"/>
    <w:rsid w:val="28F1489E"/>
    <w:rsid w:val="2D302395"/>
    <w:rsid w:val="2EFC00C6"/>
    <w:rsid w:val="314A0675"/>
    <w:rsid w:val="31EE63F8"/>
    <w:rsid w:val="32CA2605"/>
    <w:rsid w:val="331501EB"/>
    <w:rsid w:val="34057765"/>
    <w:rsid w:val="34C74FCC"/>
    <w:rsid w:val="357174D1"/>
    <w:rsid w:val="358A2DE4"/>
    <w:rsid w:val="39E06A07"/>
    <w:rsid w:val="3AFF598E"/>
    <w:rsid w:val="3CCA6D3C"/>
    <w:rsid w:val="3D5B2736"/>
    <w:rsid w:val="3DDE1867"/>
    <w:rsid w:val="3E5D423B"/>
    <w:rsid w:val="3F8C7AD1"/>
    <w:rsid w:val="406462D3"/>
    <w:rsid w:val="40910A7F"/>
    <w:rsid w:val="41173388"/>
    <w:rsid w:val="44A12BB2"/>
    <w:rsid w:val="46CE7AFD"/>
    <w:rsid w:val="486F624E"/>
    <w:rsid w:val="4CC41C13"/>
    <w:rsid w:val="4E791C7B"/>
    <w:rsid w:val="4ECB0F74"/>
    <w:rsid w:val="4FF80240"/>
    <w:rsid w:val="503A57CF"/>
    <w:rsid w:val="51C4760A"/>
    <w:rsid w:val="532633FA"/>
    <w:rsid w:val="5532629E"/>
    <w:rsid w:val="56035F85"/>
    <w:rsid w:val="56E9573D"/>
    <w:rsid w:val="57067AAD"/>
    <w:rsid w:val="57A46FD8"/>
    <w:rsid w:val="591D2FC1"/>
    <w:rsid w:val="59C736D7"/>
    <w:rsid w:val="59D02C61"/>
    <w:rsid w:val="5FC327C4"/>
    <w:rsid w:val="60151E85"/>
    <w:rsid w:val="604C110A"/>
    <w:rsid w:val="621B6C93"/>
    <w:rsid w:val="63ED29F1"/>
    <w:rsid w:val="63FD6153"/>
    <w:rsid w:val="6655314F"/>
    <w:rsid w:val="66896952"/>
    <w:rsid w:val="67DA506E"/>
    <w:rsid w:val="683C5F1A"/>
    <w:rsid w:val="68A37F0F"/>
    <w:rsid w:val="6960450E"/>
    <w:rsid w:val="6D610952"/>
    <w:rsid w:val="6DDE5180"/>
    <w:rsid w:val="7067013E"/>
    <w:rsid w:val="71723492"/>
    <w:rsid w:val="72AC6852"/>
    <w:rsid w:val="72CC4B54"/>
    <w:rsid w:val="7439183B"/>
    <w:rsid w:val="7497744A"/>
    <w:rsid w:val="74FFACD6"/>
    <w:rsid w:val="7AAA042A"/>
    <w:rsid w:val="7FDD0C77"/>
    <w:rsid w:val="CE6FEC04"/>
    <w:rsid w:val="D7EB67C0"/>
    <w:rsid w:val="DEFB2B00"/>
    <w:rsid w:val="EF7728F1"/>
    <w:rsid w:val="EFDF2C90"/>
    <w:rsid w:val="F7BF0BE9"/>
    <w:rsid w:val="FBFF6780"/>
    <w:rsid w:val="FE6EB3A3"/>
    <w:rsid w:val="FEE9E3D6"/>
    <w:rsid w:val="FF6B50D1"/>
    <w:rsid w:val="FFD626FA"/>
    <w:rsid w:val="FFFF16F3"/>
    <w:rsid w:val="FFFFC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utoSpaceDE w:val="0"/>
      <w:autoSpaceDN w:val="0"/>
      <w:spacing w:line="276" w:lineRule="auto"/>
      <w:jc w:val="center"/>
      <w:outlineLvl w:val="0"/>
    </w:pPr>
    <w:rPr>
      <w:rFonts w:eastAsia="微软简标宋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Autospacing="1"/>
      <w:ind w:left="139"/>
      <w:jc w:val="left"/>
      <w:outlineLvl w:val="1"/>
    </w:pPr>
    <w:rPr>
      <w:rFonts w:ascii="宋体" w:hAnsi="宋体" w:eastAsia="宋体"/>
      <w:kern w:val="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1"/>
    <w:qFormat/>
    <w:uiPriority w:val="0"/>
    <w:pPr>
      <w:jc w:val="left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2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註解文字 字元"/>
    <w:basedOn w:val="9"/>
    <w:link w:val="4"/>
    <w:qFormat/>
    <w:uiPriority w:val="0"/>
    <w:rPr>
      <w:rFonts w:ascii="仿宋_GB2312" w:hAnsi="Times New Roman" w:eastAsia="仿宋_GB2312" w:cs="Times New Roman"/>
      <w:snapToGrid w:val="0"/>
      <w:spacing w:val="-6"/>
      <w:kern w:val="32"/>
      <w:sz w:val="32"/>
      <w:szCs w:val="24"/>
    </w:rPr>
  </w:style>
  <w:style w:type="character" w:customStyle="1" w:styleId="12">
    <w:name w:val="註解主旨 字元"/>
    <w:basedOn w:val="11"/>
    <w:link w:val="7"/>
    <w:qFormat/>
    <w:uiPriority w:val="0"/>
    <w:rPr>
      <w:rFonts w:ascii="仿宋_GB2312" w:hAnsi="Times New Roman" w:eastAsia="仿宋_GB2312" w:cs="Times New Roman"/>
      <w:b/>
      <w:bCs/>
      <w:snapToGrid w:val="0"/>
      <w:spacing w:val="-6"/>
      <w:kern w:val="32"/>
      <w:sz w:val="32"/>
      <w:szCs w:val="24"/>
    </w:rPr>
  </w:style>
  <w:style w:type="paragraph" w:customStyle="1" w:styleId="13">
    <w:name w:val="修订1"/>
    <w:hidden/>
    <w:unhideWhenUsed/>
    <w:qFormat/>
    <w:uiPriority w:val="99"/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customStyle="1" w:styleId="15">
    <w:name w:val="頁首 字元"/>
    <w:basedOn w:val="9"/>
    <w:link w:val="6"/>
    <w:qFormat/>
    <w:uiPriority w:val="0"/>
    <w:rPr>
      <w:rFonts w:ascii="仿宋_GB2312" w:hAnsi="Times New Roman" w:eastAsia="仿宋_GB2312" w:cs="Times New Roman"/>
      <w:snapToGrid w:val="0"/>
      <w:spacing w:val="-6"/>
      <w:kern w:val="32"/>
      <w:sz w:val="18"/>
      <w:szCs w:val="18"/>
    </w:rPr>
  </w:style>
  <w:style w:type="character" w:customStyle="1" w:styleId="16">
    <w:name w:val="頁尾 字元"/>
    <w:basedOn w:val="9"/>
    <w:link w:val="5"/>
    <w:qFormat/>
    <w:uiPriority w:val="0"/>
    <w:rPr>
      <w:rFonts w:ascii="仿宋_GB2312" w:hAnsi="Times New Roman" w:eastAsia="仿宋_GB2312" w:cs="Times New Roman"/>
      <w:snapToGrid w:val="0"/>
      <w:spacing w:val="-6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中山市人民政府五桂山街道办事处</Company>
  <Pages>4</Pages>
  <Words>390</Words>
  <Characters>2223</Characters>
  <Lines>18</Lines>
  <Paragraphs>5</Paragraphs>
  <TotalTime>0</TotalTime>
  <ScaleCrop>false</ScaleCrop>
  <LinksUpToDate>false</LinksUpToDate>
  <CharactersWithSpaces>2608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2023-11-01T23:42:00Z</dcterms:created>
  <dc:creator>王一西</dc:creator>
  <cp:lastModifiedBy>greatwall</cp:lastModifiedBy>
  <cp:lastPrinted>2023-11-01T00:35:00Z</cp:lastPrinted>
  <dcterms:modified xsi:type="dcterms:W3CDTF">2023-11-23T08:59:09Z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3DAC369E164440A0815DFDA35E27FB6B</vt:lpwstr>
  </property>
</Properties>
</file>