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B1AEE">
      <w:pPr>
        <w:keepNext w:val="0"/>
        <w:keepLines w:val="0"/>
        <w:pageBreakBefore w:val="0"/>
        <w:kinsoku/>
        <w:overflowPunct/>
        <w:topLinePunct w:val="0"/>
        <w:autoSpaceDE/>
        <w:autoSpaceDN/>
        <w:bidi w:val="0"/>
        <w:spacing w:line="620" w:lineRule="exact"/>
        <w:ind w:firstLine="440" w:firstLineChars="100"/>
        <w:jc w:val="center"/>
        <w:textAlignment w:val="auto"/>
        <w:rPr>
          <w:rFonts w:hint="eastAsia" w:ascii="黑体" w:hAnsi="黑体" w:eastAsia="黑体" w:cs="黑体"/>
          <w:b w:val="0"/>
          <w:bCs w:val="0"/>
          <w:color w:val="auto"/>
          <w:sz w:val="44"/>
          <w:szCs w:val="44"/>
          <w:highlight w:val="none"/>
          <w:shd w:val="clear" w:color="auto" w:fill="FFFFFF"/>
          <w:lang w:eastAsia="zh-CN"/>
        </w:rPr>
      </w:pPr>
      <w:r>
        <w:rPr>
          <w:rFonts w:hint="eastAsia" w:ascii="黑体" w:hAnsi="黑体" w:eastAsia="黑体" w:cs="黑体"/>
          <w:b w:val="0"/>
          <w:bCs w:val="0"/>
          <w:color w:val="auto"/>
          <w:sz w:val="44"/>
          <w:szCs w:val="44"/>
          <w:highlight w:val="none"/>
          <w:shd w:val="clear" w:color="auto" w:fill="FFFFFF"/>
          <w:lang w:eastAsia="zh-CN"/>
        </w:rPr>
        <w:t>黄圃</w:t>
      </w:r>
      <w:r>
        <w:rPr>
          <w:rFonts w:hint="eastAsia" w:ascii="黑体" w:hAnsi="黑体" w:eastAsia="黑体" w:cs="黑体"/>
          <w:b w:val="0"/>
          <w:bCs w:val="0"/>
          <w:color w:val="auto"/>
          <w:sz w:val="44"/>
          <w:szCs w:val="44"/>
          <w:highlight w:val="none"/>
          <w:shd w:val="clear" w:color="auto" w:fill="FFFFFF"/>
        </w:rPr>
        <w:t>镇</w:t>
      </w:r>
      <w:r>
        <w:rPr>
          <w:rFonts w:hint="eastAsia" w:ascii="黑体" w:hAnsi="黑体" w:eastAsia="黑体" w:cs="黑体"/>
          <w:b w:val="0"/>
          <w:bCs w:val="0"/>
          <w:color w:val="auto"/>
          <w:sz w:val="44"/>
          <w:szCs w:val="44"/>
          <w:highlight w:val="none"/>
          <w:shd w:val="clear" w:color="auto" w:fill="FFFFFF"/>
          <w:lang w:eastAsia="zh-CN"/>
        </w:rPr>
        <w:t>农村产权流转交易</w:t>
      </w:r>
      <w:r>
        <w:rPr>
          <w:rFonts w:hint="eastAsia" w:ascii="黑体" w:hAnsi="黑体" w:eastAsia="黑体" w:cs="黑体"/>
          <w:b w:val="0"/>
          <w:bCs w:val="0"/>
          <w:color w:val="auto"/>
          <w:sz w:val="44"/>
          <w:szCs w:val="44"/>
          <w:highlight w:val="none"/>
          <w:shd w:val="clear" w:color="auto" w:fill="FFFFFF"/>
        </w:rPr>
        <w:t>管理办法</w:t>
      </w:r>
    </w:p>
    <w:p w14:paraId="74E92F89">
      <w:pPr>
        <w:keepNext w:val="0"/>
        <w:keepLines w:val="0"/>
        <w:pageBreakBefore w:val="0"/>
        <w:kinsoku/>
        <w:overflowPunct/>
        <w:topLinePunct w:val="0"/>
        <w:autoSpaceDE/>
        <w:autoSpaceDN/>
        <w:bidi w:val="0"/>
        <w:spacing w:line="620" w:lineRule="exact"/>
        <w:ind w:firstLine="440" w:firstLineChars="100"/>
        <w:jc w:val="center"/>
        <w:textAlignment w:val="auto"/>
        <w:rPr>
          <w:rFonts w:hint="eastAsia" w:ascii="黑体" w:hAnsi="黑体" w:eastAsia="黑体" w:cs="黑体"/>
          <w:b w:val="0"/>
          <w:bCs w:val="0"/>
          <w:color w:val="auto"/>
          <w:sz w:val="44"/>
          <w:szCs w:val="44"/>
          <w:highlight w:val="none"/>
          <w:shd w:val="clear" w:color="auto" w:fill="FFFFFF"/>
          <w:lang w:eastAsia="zh-CN"/>
        </w:rPr>
      </w:pPr>
      <w:r>
        <w:rPr>
          <w:rFonts w:hint="eastAsia" w:ascii="黑体" w:hAnsi="黑体" w:eastAsia="黑体" w:cs="黑体"/>
          <w:b w:val="0"/>
          <w:bCs w:val="0"/>
          <w:color w:val="auto"/>
          <w:sz w:val="44"/>
          <w:szCs w:val="44"/>
          <w:highlight w:val="none"/>
          <w:shd w:val="clear" w:color="auto" w:fill="FFFFFF"/>
          <w:lang w:eastAsia="zh-CN"/>
        </w:rPr>
        <w:t>（征求意见稿）</w:t>
      </w:r>
    </w:p>
    <w:p w14:paraId="35B14AB8">
      <w:pPr>
        <w:rPr>
          <w:rFonts w:hint="default" w:ascii="Times New Roman" w:hAnsi="Times New Roman" w:eastAsia="宋体" w:cs="Times New Roman"/>
          <w:b w:val="0"/>
          <w:bCs w:val="0"/>
          <w:color w:val="auto"/>
          <w:sz w:val="24"/>
          <w:szCs w:val="24"/>
          <w:highlight w:val="none"/>
          <w:shd w:val="clear" w:color="auto" w:fill="FFFFFF"/>
        </w:rPr>
      </w:pPr>
    </w:p>
    <w:p w14:paraId="03C94686">
      <w:pPr>
        <w:keepNext w:val="0"/>
        <w:keepLines w:val="0"/>
        <w:pageBreakBefore w:val="0"/>
        <w:widowControl w:val="0"/>
        <w:kinsoku/>
        <w:wordWrap/>
        <w:overflowPunct/>
        <w:topLinePunct w:val="0"/>
        <w:autoSpaceDE/>
        <w:autoSpaceDN/>
        <w:bidi w:val="0"/>
        <w:adjustRightInd/>
        <w:snapToGrid w:val="0"/>
        <w:spacing w:beforeLines="50" w:line="620" w:lineRule="exact"/>
        <w:jc w:val="center"/>
        <w:textAlignment w:val="auto"/>
        <w:outlineLvl w:val="1"/>
        <w:rPr>
          <w:rFonts w:hint="default" w:ascii="Times New Roman" w:hAnsi="Times New Roman" w:eastAsia="黑体" w:cs="Times New Roman"/>
          <w:b w:val="0"/>
          <w:bCs w:val="0"/>
          <w:color w:val="auto"/>
          <w:kern w:val="0"/>
          <w:sz w:val="32"/>
          <w:szCs w:val="32"/>
          <w:highlight w:val="none"/>
        </w:rPr>
      </w:pPr>
      <w:r>
        <w:rPr>
          <w:rFonts w:hint="default" w:ascii="Times New Roman" w:hAnsi="Times New Roman" w:eastAsia="黑体" w:cs="Times New Roman"/>
          <w:b w:val="0"/>
          <w:bCs w:val="0"/>
          <w:color w:val="auto"/>
          <w:kern w:val="0"/>
          <w:sz w:val="32"/>
          <w:szCs w:val="32"/>
          <w:highlight w:val="none"/>
        </w:rPr>
        <w:t>第一章  总则</w:t>
      </w:r>
    </w:p>
    <w:p w14:paraId="54BEEC36">
      <w:pPr>
        <w:rPr>
          <w:rFonts w:hint="default" w:ascii="Times New Roman" w:hAnsi="Times New Roman" w:cs="Times New Roman"/>
          <w:b w:val="0"/>
          <w:bCs w:val="0"/>
          <w:color w:val="auto"/>
          <w:highlight w:val="none"/>
        </w:rPr>
      </w:pPr>
    </w:p>
    <w:p w14:paraId="6FFBF201">
      <w:pPr>
        <w:keepNext w:val="0"/>
        <w:keepLines w:val="0"/>
        <w:pageBreakBefore w:val="0"/>
        <w:widowControl w:val="0"/>
        <w:kinsoku/>
        <w:wordWrap/>
        <w:overflowPunct/>
        <w:topLinePunct w:val="0"/>
        <w:autoSpaceDE/>
        <w:autoSpaceDN/>
        <w:bidi w:val="0"/>
        <w:adjustRightInd/>
        <w:snapToGrid/>
        <w:spacing w:line="348"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 xml:space="preserve">第一条  </w:t>
      </w:r>
      <w:r>
        <w:rPr>
          <w:rFonts w:hint="eastAsia" w:ascii="仿宋_GB2312" w:hAnsi="仿宋_GB2312" w:eastAsia="仿宋_GB2312" w:cs="仿宋_GB2312"/>
          <w:color w:val="auto"/>
          <w:sz w:val="32"/>
          <w:szCs w:val="32"/>
          <w:highlight w:val="none"/>
        </w:rPr>
        <w:t>为进一步</w:t>
      </w:r>
      <w:r>
        <w:rPr>
          <w:rFonts w:hint="eastAsia" w:ascii="仿宋_GB2312" w:hAnsi="仿宋_GB2312" w:eastAsia="仿宋_GB2312" w:cs="仿宋_GB2312"/>
          <w:color w:val="auto"/>
          <w:sz w:val="32"/>
          <w:szCs w:val="32"/>
          <w:highlight w:val="none"/>
          <w:lang w:eastAsia="zh-CN"/>
        </w:rPr>
        <w:t>规范我</w:t>
      </w:r>
      <w:r>
        <w:rPr>
          <w:rFonts w:hint="eastAsia" w:ascii="仿宋_GB2312" w:hAnsi="仿宋_GB2312" w:eastAsia="仿宋_GB2312" w:cs="仿宋_GB2312"/>
          <w:color w:val="auto"/>
          <w:sz w:val="32"/>
          <w:szCs w:val="32"/>
          <w:highlight w:val="none"/>
          <w:lang w:val="en-US" w:eastAsia="zh-CN"/>
        </w:rPr>
        <w:t>镇</w:t>
      </w:r>
      <w:r>
        <w:rPr>
          <w:rFonts w:hint="eastAsia" w:ascii="仿宋_GB2312" w:hAnsi="仿宋_GB2312" w:eastAsia="仿宋_GB2312" w:cs="仿宋_GB2312"/>
          <w:color w:val="auto"/>
          <w:sz w:val="32"/>
          <w:szCs w:val="32"/>
          <w:highlight w:val="none"/>
          <w:lang w:eastAsia="zh-CN"/>
        </w:rPr>
        <w:t>农村产权流转交易行为，确保交易活动公平、公正、公开，</w:t>
      </w:r>
      <w:r>
        <w:rPr>
          <w:rFonts w:hint="eastAsia" w:ascii="仿宋_GB2312" w:hAnsi="仿宋_GB2312" w:eastAsia="仿宋_GB2312" w:cs="仿宋_GB2312"/>
          <w:color w:val="auto"/>
          <w:sz w:val="32"/>
          <w:szCs w:val="32"/>
          <w:highlight w:val="none"/>
          <w:lang w:val="en-US" w:eastAsia="zh-CN"/>
        </w:rPr>
        <w:t>促进集体资产保值增值，推动集体经济高质量发展，为实施乡村振兴战略提供有力保障。</w:t>
      </w:r>
      <w:r>
        <w:rPr>
          <w:rFonts w:hint="eastAsia" w:ascii="仿宋_GB2312" w:hAnsi="仿宋_GB2312" w:eastAsia="仿宋_GB2312" w:cs="仿宋_GB2312"/>
          <w:color w:val="auto"/>
          <w:sz w:val="32"/>
          <w:szCs w:val="32"/>
          <w:highlight w:val="none"/>
        </w:rPr>
        <w:t>根</w:t>
      </w:r>
      <w:r>
        <w:rPr>
          <w:rFonts w:hint="eastAsia" w:ascii="仿宋_GB2312" w:hAnsi="仿宋_GB2312" w:eastAsia="仿宋_GB2312" w:cs="仿宋_GB2312"/>
          <w:color w:val="auto"/>
          <w:sz w:val="32"/>
          <w:szCs w:val="32"/>
          <w:highlight w:val="none"/>
          <w:lang w:eastAsia="zh-CN"/>
        </w:rPr>
        <w:t>据《中华人民共和国农村集体经济组织法》、《广东</w:t>
      </w:r>
      <w:r>
        <w:rPr>
          <w:rFonts w:hint="eastAsia" w:ascii="仿宋_GB2312" w:hAnsi="仿宋_GB2312" w:eastAsia="仿宋_GB2312" w:cs="仿宋_GB2312"/>
          <w:color w:val="auto"/>
          <w:sz w:val="32"/>
          <w:szCs w:val="32"/>
          <w:highlight w:val="none"/>
        </w:rPr>
        <w:t>省农村集体经济组织管理规定》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《广东省农村集体资产管理条例》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中山市</w:t>
      </w:r>
      <w:r>
        <w:rPr>
          <w:rFonts w:hint="eastAsia" w:ascii="仿宋_GB2312" w:hAnsi="仿宋_GB2312" w:eastAsia="仿宋_GB2312" w:cs="仿宋_GB2312"/>
          <w:color w:val="auto"/>
          <w:sz w:val="32"/>
          <w:szCs w:val="32"/>
          <w:highlight w:val="none"/>
          <w:lang w:eastAsia="zh-CN"/>
        </w:rPr>
        <w:t>农村产权流转交易</w:t>
      </w:r>
      <w:r>
        <w:rPr>
          <w:rFonts w:hint="eastAsia" w:ascii="仿宋_GB2312" w:hAnsi="仿宋_GB2312" w:eastAsia="仿宋_GB2312" w:cs="仿宋_GB2312"/>
          <w:color w:val="auto"/>
          <w:sz w:val="32"/>
          <w:szCs w:val="32"/>
          <w:highlight w:val="none"/>
          <w:lang w:val="en-US" w:eastAsia="zh-CN"/>
        </w:rPr>
        <w:t>操作指引（试行）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等有关规定，</w:t>
      </w:r>
      <w:r>
        <w:rPr>
          <w:rFonts w:hint="eastAsia" w:ascii="仿宋_GB2312" w:hAnsi="仿宋_GB2312" w:eastAsia="仿宋_GB2312" w:cs="仿宋_GB2312"/>
          <w:color w:val="auto"/>
          <w:sz w:val="32"/>
          <w:szCs w:val="32"/>
          <w:highlight w:val="none"/>
          <w:lang w:val="en-US" w:eastAsia="zh-CN"/>
        </w:rPr>
        <w:t>结合中山市农村集体三资和财务监管一体化平台（以下简称“一体化平台”）使用实际情况以及</w:t>
      </w:r>
      <w:r>
        <w:rPr>
          <w:rFonts w:hint="eastAsia" w:ascii="仿宋_GB2312" w:hAnsi="仿宋_GB2312" w:eastAsia="仿宋_GB2312" w:cs="仿宋_GB2312"/>
          <w:color w:val="auto"/>
          <w:sz w:val="32"/>
          <w:szCs w:val="32"/>
          <w:highlight w:val="none"/>
          <w:lang w:eastAsia="zh-CN"/>
        </w:rPr>
        <w:t>我</w:t>
      </w:r>
      <w:r>
        <w:rPr>
          <w:rFonts w:hint="eastAsia" w:ascii="仿宋_GB2312" w:hAnsi="仿宋_GB2312" w:eastAsia="仿宋_GB2312" w:cs="仿宋_GB2312"/>
          <w:color w:val="auto"/>
          <w:sz w:val="32"/>
          <w:szCs w:val="32"/>
          <w:highlight w:val="none"/>
          <w:lang w:val="en-US" w:eastAsia="zh-CN"/>
        </w:rPr>
        <w:t>镇</w:t>
      </w:r>
      <w:r>
        <w:rPr>
          <w:rFonts w:hint="eastAsia" w:ascii="仿宋_GB2312" w:hAnsi="仿宋_GB2312" w:eastAsia="仿宋_GB2312" w:cs="仿宋_GB2312"/>
          <w:color w:val="auto"/>
          <w:sz w:val="32"/>
          <w:szCs w:val="32"/>
          <w:highlight w:val="none"/>
          <w:lang w:eastAsia="zh-CN"/>
        </w:rPr>
        <w:t>实际</w:t>
      </w:r>
      <w:r>
        <w:rPr>
          <w:rFonts w:hint="eastAsia" w:ascii="仿宋_GB2312" w:hAnsi="仿宋_GB2312" w:eastAsia="仿宋_GB2312" w:cs="仿宋_GB2312"/>
          <w:color w:val="auto"/>
          <w:sz w:val="32"/>
          <w:szCs w:val="32"/>
          <w:highlight w:val="none"/>
        </w:rPr>
        <w:t>，制定本</w:t>
      </w:r>
      <w:r>
        <w:rPr>
          <w:rFonts w:hint="eastAsia" w:ascii="仿宋_GB2312" w:hAnsi="仿宋_GB2312" w:eastAsia="仿宋_GB2312" w:cs="仿宋_GB2312"/>
          <w:color w:val="auto"/>
          <w:sz w:val="32"/>
          <w:szCs w:val="32"/>
          <w:highlight w:val="none"/>
          <w:lang w:eastAsia="zh-CN"/>
        </w:rPr>
        <w:t>办法</w:t>
      </w:r>
      <w:r>
        <w:rPr>
          <w:rFonts w:hint="eastAsia" w:ascii="仿宋_GB2312" w:hAnsi="仿宋_GB2312" w:eastAsia="仿宋_GB2312" w:cs="仿宋_GB2312"/>
          <w:color w:val="auto"/>
          <w:sz w:val="32"/>
          <w:szCs w:val="32"/>
          <w:highlight w:val="none"/>
        </w:rPr>
        <w:t>。</w:t>
      </w:r>
    </w:p>
    <w:p w14:paraId="7C75970A">
      <w:pPr>
        <w:widowControl w:val="0"/>
        <w:wordWrap/>
        <w:adjustRightInd/>
        <w:snapToGrid/>
        <w:spacing w:before="0" w:after="0" w:line="348"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rPr>
        <w:t>第</w:t>
      </w:r>
      <w:r>
        <w:rPr>
          <w:rFonts w:hint="eastAsia" w:ascii="仿宋_GB2312" w:hAnsi="仿宋_GB2312" w:eastAsia="仿宋_GB2312" w:cs="仿宋_GB2312"/>
          <w:b w:val="0"/>
          <w:bCs w:val="0"/>
          <w:color w:val="auto"/>
          <w:sz w:val="32"/>
          <w:szCs w:val="32"/>
          <w:highlight w:val="none"/>
          <w:lang w:eastAsia="zh-CN"/>
        </w:rPr>
        <w:t>二</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color w:val="auto"/>
          <w:kern w:val="0"/>
          <w:sz w:val="32"/>
          <w:szCs w:val="32"/>
          <w:highlight w:val="none"/>
          <w:lang w:val="en-US" w:eastAsia="zh-CN" w:bidi="ar-SA"/>
        </w:rPr>
        <w:t>农村产权流转交易的范围和品种，依据相应法律法规确定。</w:t>
      </w:r>
      <w:r>
        <w:rPr>
          <w:rFonts w:hint="eastAsia" w:ascii="仿宋_GB2312" w:hAnsi="仿宋_GB2312" w:eastAsia="仿宋_GB2312" w:cs="仿宋_GB2312"/>
          <w:b w:val="0"/>
          <w:bCs w:val="0"/>
          <w:color w:val="auto"/>
          <w:sz w:val="32"/>
          <w:szCs w:val="32"/>
          <w:highlight w:val="none"/>
          <w:lang w:eastAsia="zh-CN"/>
        </w:rPr>
        <w:t>现阶段农村产权流转交易品种主要包括：农户承包土地经营权（包括集体统筹家庭承包农地及未承包农地后统一对外发包，或其他地类以专业承包方式发包的）、林权、“四荒”使用权、农业类知识产权、农村集体经营性资产（不含土地）所有权或使用权，以及农户、农民合作组织、农村集体等拥有的农业生产设施设备所有权（或使用权）、小型水利设施使用权等。农村集体土地所有权除外。</w:t>
      </w:r>
    </w:p>
    <w:p w14:paraId="0DC5F86E">
      <w:pPr>
        <w:widowControl w:val="0"/>
        <w:wordWrap/>
        <w:adjustRightInd/>
        <w:snapToGrid/>
        <w:spacing w:before="0" w:after="0" w:line="348"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第</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本办法适用于</w:t>
      </w:r>
      <w:r>
        <w:rPr>
          <w:rFonts w:hint="eastAsia" w:ascii="仿宋_GB2312" w:hAnsi="仿宋_GB2312" w:eastAsia="仿宋_GB2312" w:cs="仿宋_GB2312"/>
          <w:color w:val="auto"/>
          <w:sz w:val="32"/>
          <w:szCs w:val="32"/>
          <w:highlight w:val="none"/>
          <w:lang w:val="en-US" w:eastAsia="zh-CN"/>
        </w:rPr>
        <w:t>本</w:t>
      </w:r>
      <w:r>
        <w:rPr>
          <w:rFonts w:hint="eastAsia" w:ascii="仿宋_GB2312" w:hAnsi="仿宋_GB2312" w:eastAsia="仿宋_GB2312" w:cs="仿宋_GB2312"/>
          <w:color w:val="auto"/>
          <w:sz w:val="32"/>
          <w:szCs w:val="32"/>
          <w:highlight w:val="none"/>
        </w:rPr>
        <w:t>镇</w:t>
      </w:r>
      <w:r>
        <w:rPr>
          <w:rFonts w:hint="eastAsia" w:ascii="仿宋_GB2312" w:hAnsi="仿宋_GB2312" w:eastAsia="仿宋_GB2312" w:cs="仿宋_GB2312"/>
          <w:color w:val="auto"/>
          <w:sz w:val="32"/>
          <w:szCs w:val="32"/>
          <w:highlight w:val="none"/>
          <w:lang w:val="en-US" w:eastAsia="zh-CN"/>
        </w:rPr>
        <w:t>行政区域内依法设立的农村集体经济组织，包括经济联合社、经济合作社和股份合作经济社等，及其所有的企业、代行农村集体经济组织职能的村民委员会和村民小组、村民委员会改制为居民委员会后的原农村集体经济组织。</w:t>
      </w:r>
    </w:p>
    <w:p w14:paraId="27A67ABC">
      <w:pPr>
        <w:widowControl w:val="0"/>
        <w:wordWrap/>
        <w:adjustRightInd/>
        <w:snapToGrid/>
        <w:spacing w:before="0" w:after="0" w:line="348"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第四条 农村产权流转交易应当坚持民主决策、公开交易、公平公正、诚实守信、</w:t>
      </w:r>
      <w:r>
        <w:rPr>
          <w:rFonts w:hint="eastAsia" w:ascii="仿宋_GB2312" w:hAnsi="仿宋_GB2312" w:eastAsia="仿宋_GB2312" w:cs="仿宋_GB2312"/>
          <w:color w:val="auto"/>
          <w:sz w:val="32"/>
          <w:szCs w:val="32"/>
          <w:highlight w:val="none"/>
        </w:rPr>
        <w:t>依法合规</w:t>
      </w:r>
      <w:r>
        <w:rPr>
          <w:rFonts w:hint="eastAsia" w:ascii="仿宋_GB2312" w:hAnsi="仿宋_GB2312" w:eastAsia="仿宋_GB2312" w:cs="仿宋_GB2312"/>
          <w:color w:val="auto"/>
          <w:sz w:val="32"/>
          <w:szCs w:val="32"/>
          <w:highlight w:val="none"/>
          <w:lang w:val="en-US" w:eastAsia="zh-CN"/>
        </w:rPr>
        <w:t>原则，通过一体化平台进行交易。</w:t>
      </w:r>
    </w:p>
    <w:p w14:paraId="3A4C52C6">
      <w:pPr>
        <w:widowControl w:val="0"/>
        <w:wordWrap/>
        <w:adjustRightInd/>
        <w:snapToGrid/>
        <w:spacing w:before="0" w:after="0" w:line="348"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 xml:space="preserve">第五条 </w:t>
      </w:r>
      <w:r>
        <w:rPr>
          <w:rFonts w:hint="eastAsia" w:ascii="仿宋_GB2312" w:hAnsi="仿宋_GB2312" w:eastAsia="仿宋_GB2312" w:cs="仿宋_GB2312"/>
          <w:color w:val="auto"/>
          <w:sz w:val="32"/>
          <w:szCs w:val="32"/>
          <w:highlight w:val="none"/>
          <w:lang w:eastAsia="zh-CN"/>
        </w:rPr>
        <w:t>农村产权流转交易各主体应严格遵守国家、省、市、</w:t>
      </w:r>
      <w:r>
        <w:rPr>
          <w:rFonts w:hint="eastAsia" w:ascii="仿宋_GB2312" w:hAnsi="仿宋_GB2312" w:eastAsia="仿宋_GB2312" w:cs="仿宋_GB2312"/>
          <w:color w:val="auto"/>
          <w:sz w:val="32"/>
          <w:szCs w:val="32"/>
          <w:highlight w:val="none"/>
          <w:lang w:val="en-US" w:eastAsia="zh-CN"/>
        </w:rPr>
        <w:t>镇</w:t>
      </w:r>
      <w:r>
        <w:rPr>
          <w:rFonts w:hint="eastAsia" w:ascii="仿宋_GB2312" w:hAnsi="仿宋_GB2312" w:eastAsia="仿宋_GB2312" w:cs="仿宋_GB2312"/>
          <w:color w:val="auto"/>
          <w:sz w:val="32"/>
          <w:szCs w:val="32"/>
          <w:highlight w:val="none"/>
          <w:lang w:eastAsia="zh-CN"/>
        </w:rPr>
        <w:t>有关交易活动的管理规定，自觉服从</w:t>
      </w:r>
      <w:r>
        <w:rPr>
          <w:rFonts w:hint="eastAsia" w:ascii="仿宋_GB2312" w:hAnsi="仿宋_GB2312" w:eastAsia="仿宋_GB2312" w:cs="仿宋_GB2312"/>
          <w:color w:val="auto"/>
          <w:sz w:val="32"/>
          <w:szCs w:val="32"/>
          <w:highlight w:val="none"/>
          <w:lang w:val="en-US" w:eastAsia="zh-CN"/>
        </w:rPr>
        <w:t>一体化平台</w:t>
      </w:r>
      <w:r>
        <w:rPr>
          <w:rFonts w:hint="eastAsia" w:ascii="仿宋_GB2312" w:hAnsi="仿宋_GB2312" w:eastAsia="仿宋_GB2312" w:cs="仿宋_GB2312"/>
          <w:color w:val="auto"/>
          <w:sz w:val="32"/>
          <w:szCs w:val="32"/>
          <w:highlight w:val="none"/>
          <w:lang w:eastAsia="zh-CN"/>
        </w:rPr>
        <w:t>的运营管理制度，接受行政监督部门的监督。农村产权流转交易不得侵犯集体或他人的合法权益，不得损害公共利益，不得扰乱正常市场秩序。</w:t>
      </w:r>
    </w:p>
    <w:p w14:paraId="5BD14FAD">
      <w:pPr>
        <w:pStyle w:val="6"/>
        <w:jc w:val="both"/>
        <w:rPr>
          <w:rFonts w:hint="default"/>
          <w:color w:val="auto"/>
          <w:highlight w:val="none"/>
        </w:rPr>
      </w:pPr>
    </w:p>
    <w:p w14:paraId="0D33410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2240" w:firstLineChars="700"/>
        <w:jc w:val="both"/>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kern w:val="0"/>
          <w:sz w:val="32"/>
          <w:szCs w:val="32"/>
          <w:highlight w:val="none"/>
        </w:rPr>
        <w:t xml:space="preserve">第二章 </w:t>
      </w:r>
      <w:r>
        <w:rPr>
          <w:rFonts w:hint="default" w:ascii="Times New Roman" w:hAnsi="Times New Roman" w:eastAsia="黑体" w:cs="Times New Roman"/>
          <w:b w:val="0"/>
          <w:bCs w:val="0"/>
          <w:color w:val="auto"/>
          <w:kern w:val="0"/>
          <w:sz w:val="32"/>
          <w:szCs w:val="32"/>
          <w:highlight w:val="none"/>
          <w:lang w:val="en-US" w:eastAsia="zh-CN"/>
        </w:rPr>
        <w:t xml:space="preserve"> </w:t>
      </w:r>
      <w:r>
        <w:rPr>
          <w:rFonts w:hint="default" w:ascii="Times New Roman" w:hAnsi="Times New Roman" w:eastAsia="黑体" w:cs="Times New Roman"/>
          <w:color w:val="auto"/>
          <w:sz w:val="32"/>
          <w:szCs w:val="32"/>
          <w:highlight w:val="none"/>
          <w:lang w:val="en-US" w:eastAsia="zh-CN"/>
        </w:rPr>
        <w:t>管理机构及职责</w:t>
      </w:r>
    </w:p>
    <w:p w14:paraId="50ACCD1F">
      <w:pPr>
        <w:keepNext w:val="0"/>
        <w:keepLines w:val="0"/>
        <w:pageBreakBefore w:val="0"/>
        <w:numPr>
          <w:ilvl w:val="0"/>
          <w:numId w:val="0"/>
        </w:numPr>
        <w:kinsoku/>
        <w:overflowPunct/>
        <w:topLinePunct w:val="0"/>
        <w:autoSpaceDE/>
        <w:autoSpaceDN/>
        <w:bidi w:val="0"/>
        <w:adjustRightInd w:val="0"/>
        <w:snapToGrid w:val="0"/>
        <w:spacing w:line="620" w:lineRule="exact"/>
        <w:ind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第六条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黄圃镇人民政府负责统筹、协调、指导和监督辖区内</w:t>
      </w:r>
      <w:r>
        <w:rPr>
          <w:rFonts w:hint="eastAsia" w:ascii="仿宋_GB2312" w:hAnsi="仿宋_GB2312" w:eastAsia="仿宋_GB2312" w:cs="仿宋_GB2312"/>
          <w:color w:val="auto"/>
          <w:sz w:val="32"/>
          <w:szCs w:val="32"/>
          <w:highlight w:val="none"/>
          <w:lang w:eastAsia="zh-CN"/>
        </w:rPr>
        <w:t>农村产权流转交易</w:t>
      </w:r>
      <w:r>
        <w:rPr>
          <w:rFonts w:hint="eastAsia" w:ascii="仿宋_GB2312" w:hAnsi="仿宋_GB2312" w:eastAsia="仿宋_GB2312" w:cs="仿宋_GB2312"/>
          <w:b w:val="0"/>
          <w:bCs w:val="0"/>
          <w:color w:val="auto"/>
          <w:sz w:val="32"/>
          <w:szCs w:val="32"/>
          <w:highlight w:val="none"/>
          <w:lang w:val="en-US" w:eastAsia="zh-CN"/>
        </w:rPr>
        <w:t>管理工作，</w:t>
      </w:r>
      <w:r>
        <w:rPr>
          <w:rFonts w:hint="eastAsia" w:ascii="仿宋_GB2312" w:hAnsi="仿宋_GB2312" w:eastAsia="仿宋_GB2312" w:cs="仿宋_GB2312"/>
          <w:color w:val="auto"/>
          <w:sz w:val="32"/>
          <w:szCs w:val="32"/>
          <w:highlight w:val="none"/>
          <w:lang w:val="en-US" w:eastAsia="zh-CN"/>
        </w:rPr>
        <w:t>农村产权流转交易管理机构（即原农村“三资”管理机构）设在镇农业农村部门，</w:t>
      </w:r>
      <w:r>
        <w:rPr>
          <w:rFonts w:hint="eastAsia" w:ascii="仿宋_GB2312" w:hAnsi="仿宋_GB2312" w:eastAsia="仿宋_GB2312" w:cs="仿宋_GB2312"/>
          <w:b w:val="0"/>
          <w:bCs w:val="0"/>
          <w:color w:val="auto"/>
          <w:sz w:val="32"/>
          <w:szCs w:val="32"/>
          <w:highlight w:val="none"/>
          <w:lang w:val="en-US" w:eastAsia="zh-CN"/>
        </w:rPr>
        <w:t>具体</w:t>
      </w:r>
      <w:r>
        <w:rPr>
          <w:rFonts w:hint="eastAsia" w:ascii="仿宋_GB2312" w:hAnsi="仿宋_GB2312" w:eastAsia="仿宋_GB2312" w:cs="仿宋_GB2312"/>
          <w:color w:val="auto"/>
          <w:sz w:val="32"/>
          <w:szCs w:val="32"/>
          <w:highlight w:val="none"/>
          <w:lang w:val="en-US" w:eastAsia="zh-CN"/>
        </w:rPr>
        <w:t>负责本镇农村产权流转交易的指导和监督工作，具体履行以下职责：</w:t>
      </w:r>
    </w:p>
    <w:p w14:paraId="3B01291E">
      <w:pPr>
        <w:keepNext w:val="0"/>
        <w:keepLines w:val="0"/>
        <w:pageBreakBefore w:val="0"/>
        <w:numPr>
          <w:ilvl w:val="0"/>
          <w:numId w:val="0"/>
        </w:numPr>
        <w:kinsoku/>
        <w:overflowPunct/>
        <w:topLinePunct w:val="0"/>
        <w:autoSpaceDE/>
        <w:autoSpaceDN/>
        <w:bidi w:val="0"/>
        <w:adjustRightInd w:val="0"/>
        <w:snapToGrid w:val="0"/>
        <w:spacing w:line="620" w:lineRule="exact"/>
        <w:ind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制定和完善农村</w:t>
      </w:r>
      <w:r>
        <w:rPr>
          <w:rFonts w:hint="eastAsia" w:ascii="仿宋_GB2312" w:hAnsi="仿宋_GB2312" w:eastAsia="仿宋_GB2312" w:cs="仿宋_GB2312"/>
          <w:color w:val="auto"/>
          <w:sz w:val="32"/>
          <w:szCs w:val="32"/>
          <w:highlight w:val="none"/>
          <w:lang w:val="en-US" w:eastAsia="zh-CN"/>
        </w:rPr>
        <w:t>产权流转</w:t>
      </w:r>
      <w:r>
        <w:rPr>
          <w:rFonts w:hint="eastAsia" w:ascii="仿宋_GB2312" w:hAnsi="仿宋_GB2312" w:eastAsia="仿宋_GB2312" w:cs="仿宋_GB2312"/>
          <w:color w:val="auto"/>
          <w:sz w:val="32"/>
          <w:szCs w:val="32"/>
          <w:highlight w:val="none"/>
        </w:rPr>
        <w:t>交易管理办法和规章制度</w:t>
      </w:r>
      <w:r>
        <w:rPr>
          <w:rFonts w:hint="eastAsia" w:ascii="仿宋_GB2312" w:hAnsi="仿宋_GB2312" w:eastAsia="仿宋_GB2312" w:cs="仿宋_GB2312"/>
          <w:color w:val="auto"/>
          <w:sz w:val="32"/>
          <w:szCs w:val="32"/>
          <w:highlight w:val="none"/>
          <w:lang w:eastAsia="zh-CN"/>
        </w:rPr>
        <w:t>；</w:t>
      </w:r>
    </w:p>
    <w:p w14:paraId="7159B928">
      <w:pPr>
        <w:keepNext w:val="0"/>
        <w:keepLines w:val="0"/>
        <w:pageBreakBefore w:val="0"/>
        <w:numPr>
          <w:ilvl w:val="0"/>
          <w:numId w:val="0"/>
        </w:numPr>
        <w:kinsoku/>
        <w:overflowPunct/>
        <w:topLinePunct w:val="0"/>
        <w:autoSpaceDE/>
        <w:autoSpaceDN/>
        <w:bidi w:val="0"/>
        <w:adjustRightInd w:val="0"/>
        <w:snapToGrid w:val="0"/>
        <w:spacing w:line="620" w:lineRule="exact"/>
        <w:ind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（二）指导农村集体经济组织开展清产核资，建立健全集体资产台账、合同台账，并录入一体化平台进行管理，监管农村集体资产动态变化和合同履行情况；</w:t>
      </w:r>
    </w:p>
    <w:p w14:paraId="2C0DC54F">
      <w:pPr>
        <w:keepNext w:val="0"/>
        <w:keepLines w:val="0"/>
        <w:pageBreakBefore w:val="0"/>
        <w:numPr>
          <w:ilvl w:val="0"/>
          <w:numId w:val="0"/>
        </w:numPr>
        <w:kinsoku/>
        <w:overflowPunct/>
        <w:topLinePunct w:val="0"/>
        <w:autoSpaceDE/>
        <w:autoSpaceDN/>
        <w:bidi w:val="0"/>
        <w:adjustRightInd w:val="0"/>
        <w:snapToGrid w:val="0"/>
        <w:spacing w:line="620" w:lineRule="exact"/>
        <w:ind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（三）指导、监督农村集体经济组织按规定流程</w:t>
      </w:r>
      <w:r>
        <w:rPr>
          <w:rFonts w:hint="eastAsia" w:ascii="仿宋_GB2312" w:hAnsi="仿宋_GB2312" w:eastAsia="仿宋_GB2312" w:cs="仿宋_GB2312"/>
          <w:color w:val="auto"/>
          <w:sz w:val="32"/>
          <w:szCs w:val="32"/>
          <w:highlight w:val="none"/>
          <w:lang w:val="en" w:eastAsia="zh-CN"/>
        </w:rPr>
        <w:t>选择交易方式并</w:t>
      </w:r>
      <w:r>
        <w:rPr>
          <w:rFonts w:hint="eastAsia" w:ascii="仿宋_GB2312" w:hAnsi="仿宋_GB2312" w:eastAsia="仿宋_GB2312" w:cs="仿宋_GB2312"/>
          <w:color w:val="auto"/>
          <w:sz w:val="32"/>
          <w:szCs w:val="32"/>
          <w:highlight w:val="none"/>
          <w:lang w:val="en-US" w:eastAsia="zh-CN"/>
        </w:rPr>
        <w:t>进行交易，审核辖区内农村集体提交的农村产权流转交易资料是否完整、齐全；</w:t>
      </w:r>
    </w:p>
    <w:p w14:paraId="7C540BDF">
      <w:pPr>
        <w:keepNext w:val="0"/>
        <w:keepLines w:val="0"/>
        <w:pageBreakBefore w:val="0"/>
        <w:numPr>
          <w:ilvl w:val="0"/>
          <w:numId w:val="0"/>
        </w:numPr>
        <w:kinsoku/>
        <w:overflowPunct/>
        <w:topLinePunct w:val="0"/>
        <w:autoSpaceDE/>
        <w:autoSpaceDN/>
        <w:bidi w:val="0"/>
        <w:adjustRightInd w:val="0"/>
        <w:snapToGrid w:val="0"/>
        <w:spacing w:line="620" w:lineRule="exact"/>
        <w:ind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（四）牵头协调辖区内涉及多部门职能的交易事项审核工作；</w:t>
      </w:r>
    </w:p>
    <w:p w14:paraId="0E71F52C">
      <w:pPr>
        <w:keepNext w:val="0"/>
        <w:keepLines w:val="0"/>
        <w:pageBreakBefore w:val="0"/>
        <w:numPr>
          <w:ilvl w:val="0"/>
          <w:numId w:val="0"/>
        </w:numPr>
        <w:kinsoku/>
        <w:overflowPunct/>
        <w:topLinePunct w:val="0"/>
        <w:autoSpaceDE/>
        <w:autoSpaceDN/>
        <w:bidi w:val="0"/>
        <w:adjustRightInd w:val="0"/>
        <w:snapToGrid w:val="0"/>
        <w:spacing w:line="620" w:lineRule="exact"/>
        <w:ind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（五）开设交易保证金账户，对保证金实行专户储存、专账核算管理；</w:t>
      </w:r>
    </w:p>
    <w:p w14:paraId="6BD8E6C7">
      <w:pPr>
        <w:keepNext w:val="0"/>
        <w:keepLines w:val="0"/>
        <w:pageBreakBefore w:val="0"/>
        <w:numPr>
          <w:ilvl w:val="0"/>
          <w:numId w:val="0"/>
        </w:numPr>
        <w:kinsoku/>
        <w:overflowPunct/>
        <w:topLinePunct w:val="0"/>
        <w:autoSpaceDE/>
        <w:autoSpaceDN/>
        <w:bidi w:val="0"/>
        <w:adjustRightInd w:val="0"/>
        <w:snapToGrid w:val="0"/>
        <w:spacing w:line="620" w:lineRule="exact"/>
        <w:ind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（六）监督组织交易过程和交易信息公开情况；</w:t>
      </w:r>
    </w:p>
    <w:p w14:paraId="06C82882">
      <w:pPr>
        <w:keepNext w:val="0"/>
        <w:keepLines w:val="0"/>
        <w:pageBreakBefore w:val="0"/>
        <w:numPr>
          <w:ilvl w:val="0"/>
          <w:numId w:val="0"/>
        </w:numPr>
        <w:kinsoku/>
        <w:overflowPunct/>
        <w:topLinePunct w:val="0"/>
        <w:autoSpaceDE/>
        <w:autoSpaceDN/>
        <w:bidi w:val="0"/>
        <w:adjustRightInd w:val="0"/>
        <w:snapToGrid w:val="0"/>
        <w:spacing w:line="620" w:lineRule="exact"/>
        <w:ind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（七）监督交易的进程以及合同的签订、变更和归档；</w:t>
      </w:r>
    </w:p>
    <w:p w14:paraId="1D6C65F1">
      <w:pPr>
        <w:keepNext w:val="0"/>
        <w:keepLines w:val="0"/>
        <w:pageBreakBefore w:val="0"/>
        <w:numPr>
          <w:ilvl w:val="0"/>
          <w:numId w:val="0"/>
        </w:numPr>
        <w:kinsoku/>
        <w:overflowPunct/>
        <w:topLinePunct w:val="0"/>
        <w:autoSpaceDE/>
        <w:autoSpaceDN/>
        <w:bidi w:val="0"/>
        <w:adjustRightInd w:val="0"/>
        <w:snapToGrid w:val="0"/>
        <w:spacing w:line="620" w:lineRule="exact"/>
        <w:ind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（八）协助调查处理农村产权流转交易过程中的投诉、举报。</w:t>
      </w:r>
    </w:p>
    <w:p w14:paraId="3FBB1F0D">
      <w:pPr>
        <w:keepNext w:val="0"/>
        <w:keepLines w:val="0"/>
        <w:pageBreakBefore w:val="0"/>
        <w:numPr>
          <w:ilvl w:val="0"/>
          <w:numId w:val="0"/>
        </w:numPr>
        <w:kinsoku/>
        <w:overflowPunct/>
        <w:topLinePunct w:val="0"/>
        <w:autoSpaceDE/>
        <w:autoSpaceDN/>
        <w:bidi w:val="0"/>
        <w:adjustRightInd w:val="0"/>
        <w:snapToGrid w:val="0"/>
        <w:spacing w:line="620" w:lineRule="exact"/>
        <w:ind w:firstLine="640" w:firstLineChars="200"/>
        <w:jc w:val="both"/>
        <w:textAlignment w:val="auto"/>
        <w:outlineLvl w:val="2"/>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（九）发现</w:t>
      </w:r>
      <w:r>
        <w:rPr>
          <w:rFonts w:hint="eastAsia" w:ascii="仿宋_GB2312" w:hAnsi="仿宋_GB2312" w:eastAsia="仿宋_GB2312" w:cs="仿宋_GB2312"/>
          <w:color w:val="auto"/>
          <w:sz w:val="32"/>
          <w:szCs w:val="32"/>
          <w:highlight w:val="none"/>
        </w:rPr>
        <w:t>违反</w:t>
      </w:r>
      <w:r>
        <w:rPr>
          <w:rFonts w:hint="eastAsia" w:ascii="仿宋_GB2312" w:hAnsi="仿宋_GB2312" w:eastAsia="仿宋_GB2312" w:cs="仿宋_GB2312"/>
          <w:color w:val="auto"/>
          <w:sz w:val="32"/>
          <w:szCs w:val="32"/>
          <w:highlight w:val="none"/>
          <w:lang w:eastAsia="zh-CN"/>
        </w:rPr>
        <w:t>违法违纪线索</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，移交纪委或司法机关处理。</w:t>
      </w:r>
    </w:p>
    <w:p w14:paraId="37A4055B">
      <w:pPr>
        <w:keepNext w:val="0"/>
        <w:keepLines w:val="0"/>
        <w:pageBreakBefore w:val="0"/>
        <w:numPr>
          <w:ilvl w:val="0"/>
          <w:numId w:val="0"/>
        </w:numPr>
        <w:kinsoku/>
        <w:overflowPunct/>
        <w:topLinePunct w:val="0"/>
        <w:autoSpaceDE/>
        <w:autoSpaceDN/>
        <w:bidi w:val="0"/>
        <w:adjustRightInd w:val="0"/>
        <w:snapToGrid w:val="0"/>
        <w:spacing w:line="620" w:lineRule="exact"/>
        <w:ind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（十）</w:t>
      </w:r>
      <w:r>
        <w:rPr>
          <w:rFonts w:hint="eastAsia" w:ascii="仿宋_GB2312" w:hAnsi="仿宋_GB2312" w:eastAsia="仿宋_GB2312" w:cs="仿宋_GB2312"/>
          <w:b w:val="0"/>
          <w:bCs w:val="0"/>
          <w:color w:val="auto"/>
          <w:spacing w:val="0"/>
          <w:sz w:val="32"/>
          <w:szCs w:val="32"/>
          <w:highlight w:val="none"/>
          <w:lang w:eastAsia="zh-CN"/>
        </w:rPr>
        <w:t>负责</w:t>
      </w:r>
      <w:r>
        <w:rPr>
          <w:rFonts w:hint="eastAsia" w:ascii="仿宋_GB2312" w:hAnsi="仿宋_GB2312" w:eastAsia="仿宋_GB2312" w:cs="仿宋_GB2312"/>
          <w:b w:val="0"/>
          <w:bCs w:val="0"/>
          <w:color w:val="auto"/>
          <w:spacing w:val="0"/>
          <w:sz w:val="32"/>
          <w:szCs w:val="32"/>
          <w:highlight w:val="none"/>
        </w:rPr>
        <w:t>法律、法规赋予的其他职责和上级部门交办的其他事项。</w:t>
      </w:r>
    </w:p>
    <w:p w14:paraId="5F57CB1D">
      <w:pPr>
        <w:keepNext w:val="0"/>
        <w:keepLines w:val="0"/>
        <w:pageBreakBefore w:val="0"/>
        <w:kinsoku/>
        <w:overflowPunct/>
        <w:topLinePunct w:val="0"/>
        <w:autoSpaceDE/>
        <w:autoSpaceDN/>
        <w:bidi w:val="0"/>
        <w:adjustRightInd w:val="0"/>
        <w:snapToGrid w:val="0"/>
        <w:spacing w:line="620" w:lineRule="exact"/>
        <w:ind w:firstLine="640" w:firstLineChars="200"/>
        <w:jc w:val="both"/>
        <w:textAlignment w:val="auto"/>
        <w:outlineLvl w:val="2"/>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w:t>
      </w:r>
      <w:r>
        <w:rPr>
          <w:rFonts w:hint="eastAsia" w:ascii="仿宋_GB2312" w:hAnsi="仿宋_GB2312" w:eastAsia="仿宋_GB2312" w:cs="仿宋_GB2312"/>
          <w:b w:val="0"/>
          <w:bCs w:val="0"/>
          <w:color w:val="auto"/>
          <w:sz w:val="32"/>
          <w:szCs w:val="32"/>
          <w:highlight w:val="none"/>
          <w:lang w:val="en-US" w:eastAsia="zh-CN"/>
        </w:rPr>
        <w:t>七</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eastAsia="zh-CN"/>
        </w:rPr>
        <w:t>全镇</w:t>
      </w:r>
      <w:r>
        <w:rPr>
          <w:rFonts w:hint="eastAsia" w:ascii="仿宋_GB2312" w:hAnsi="仿宋_GB2312" w:eastAsia="仿宋_GB2312" w:cs="仿宋_GB2312"/>
          <w:b w:val="0"/>
          <w:bCs w:val="0"/>
          <w:color w:val="auto"/>
          <w:sz w:val="32"/>
          <w:szCs w:val="32"/>
          <w:highlight w:val="none"/>
          <w:lang w:val="en-US" w:eastAsia="zh-CN"/>
        </w:rPr>
        <w:t>15</w:t>
      </w:r>
      <w:r>
        <w:rPr>
          <w:rFonts w:hint="eastAsia" w:ascii="仿宋_GB2312" w:hAnsi="仿宋_GB2312" w:eastAsia="仿宋_GB2312" w:cs="仿宋_GB2312"/>
          <w:b w:val="0"/>
          <w:bCs w:val="0"/>
          <w:color w:val="auto"/>
          <w:sz w:val="32"/>
          <w:szCs w:val="32"/>
          <w:highlight w:val="none"/>
          <w:lang w:eastAsia="zh-CN"/>
        </w:rPr>
        <w:t>个</w:t>
      </w:r>
      <w:r>
        <w:rPr>
          <w:rFonts w:hint="eastAsia" w:ascii="仿宋_GB2312" w:hAnsi="仿宋_GB2312" w:eastAsia="仿宋_GB2312" w:cs="仿宋_GB2312"/>
          <w:b w:val="0"/>
          <w:bCs w:val="0"/>
          <w:color w:val="auto"/>
          <w:sz w:val="32"/>
          <w:szCs w:val="32"/>
          <w:highlight w:val="none"/>
          <w:lang w:val="en-US" w:eastAsia="zh-CN"/>
        </w:rPr>
        <w:t>有</w:t>
      </w:r>
      <w:r>
        <w:rPr>
          <w:rFonts w:hint="eastAsia" w:ascii="仿宋_GB2312" w:hAnsi="仿宋_GB2312" w:eastAsia="仿宋_GB2312" w:cs="仿宋_GB2312"/>
          <w:color w:val="auto"/>
          <w:sz w:val="32"/>
          <w:szCs w:val="32"/>
          <w:highlight w:val="none"/>
          <w:lang w:eastAsia="zh-CN"/>
        </w:rPr>
        <w:t>农村集体</w:t>
      </w:r>
      <w:r>
        <w:rPr>
          <w:rFonts w:hint="eastAsia" w:ascii="仿宋_GB2312" w:hAnsi="仿宋_GB2312" w:eastAsia="仿宋_GB2312" w:cs="仿宋_GB2312"/>
          <w:color w:val="auto"/>
          <w:sz w:val="32"/>
          <w:szCs w:val="32"/>
          <w:highlight w:val="none"/>
          <w:lang w:val="en-US" w:eastAsia="zh-CN"/>
        </w:rPr>
        <w:t>经济的</w:t>
      </w:r>
      <w:r>
        <w:rPr>
          <w:rFonts w:hint="eastAsia" w:ascii="仿宋_GB2312" w:hAnsi="仿宋_GB2312" w:eastAsia="仿宋_GB2312" w:cs="仿宋_GB2312"/>
          <w:b w:val="0"/>
          <w:bCs w:val="0"/>
          <w:color w:val="auto"/>
          <w:sz w:val="32"/>
          <w:szCs w:val="32"/>
          <w:highlight w:val="none"/>
          <w:lang w:val="en-US" w:eastAsia="zh-CN"/>
        </w:rPr>
        <w:t>村（社区）</w:t>
      </w:r>
      <w:r>
        <w:rPr>
          <w:rFonts w:hint="eastAsia" w:ascii="仿宋_GB2312" w:hAnsi="仿宋_GB2312" w:eastAsia="仿宋_GB2312" w:cs="仿宋_GB2312"/>
          <w:color w:val="auto"/>
          <w:sz w:val="32"/>
          <w:szCs w:val="32"/>
          <w:highlight w:val="none"/>
        </w:rPr>
        <w:t>是</w:t>
      </w:r>
      <w:r>
        <w:rPr>
          <w:rFonts w:hint="eastAsia" w:ascii="仿宋_GB2312" w:hAnsi="仿宋_GB2312" w:eastAsia="仿宋_GB2312" w:cs="仿宋_GB2312"/>
          <w:color w:val="auto"/>
          <w:sz w:val="32"/>
          <w:szCs w:val="32"/>
          <w:highlight w:val="none"/>
          <w:lang w:eastAsia="zh-CN"/>
        </w:rPr>
        <w:t>实施农村产权流转交易的主体，</w:t>
      </w:r>
      <w:r>
        <w:rPr>
          <w:rFonts w:hint="eastAsia" w:ascii="仿宋_GB2312" w:hAnsi="仿宋_GB2312" w:eastAsia="仿宋_GB2312" w:cs="仿宋_GB2312"/>
          <w:color w:val="auto"/>
          <w:sz w:val="32"/>
          <w:szCs w:val="32"/>
          <w:highlight w:val="none"/>
          <w:lang w:val="en-US" w:eastAsia="zh-CN"/>
        </w:rPr>
        <w:t>设</w:t>
      </w:r>
      <w:r>
        <w:rPr>
          <w:rFonts w:hint="eastAsia" w:ascii="仿宋_GB2312" w:hAnsi="仿宋_GB2312" w:eastAsia="仿宋_GB2312" w:cs="仿宋_GB2312"/>
          <w:color w:val="auto"/>
          <w:sz w:val="32"/>
          <w:szCs w:val="32"/>
          <w:highlight w:val="none"/>
        </w:rPr>
        <w:t>立农村</w:t>
      </w:r>
      <w:r>
        <w:rPr>
          <w:rFonts w:hint="eastAsia" w:ascii="仿宋_GB2312" w:hAnsi="仿宋_GB2312" w:eastAsia="仿宋_GB2312" w:cs="仿宋_GB2312"/>
          <w:color w:val="auto"/>
          <w:sz w:val="32"/>
          <w:szCs w:val="32"/>
          <w:highlight w:val="none"/>
          <w:lang w:val="en-US" w:eastAsia="zh-CN"/>
        </w:rPr>
        <w:t>产权流转交易管理小组</w:t>
      </w:r>
      <w:r>
        <w:rPr>
          <w:rFonts w:hint="eastAsia" w:ascii="仿宋_GB2312" w:hAnsi="仿宋_GB2312" w:eastAsia="仿宋_GB2312" w:cs="仿宋_GB2312"/>
          <w:color w:val="auto"/>
          <w:sz w:val="32"/>
          <w:szCs w:val="32"/>
          <w:highlight w:val="none"/>
        </w:rPr>
        <w:t>（以下简称</w:t>
      </w:r>
      <w:r>
        <w:rPr>
          <w:rFonts w:hint="eastAsia" w:ascii="仿宋_GB2312" w:hAnsi="仿宋_GB2312" w:eastAsia="仿宋_GB2312" w:cs="仿宋_GB2312"/>
          <w:color w:val="auto"/>
          <w:sz w:val="32"/>
          <w:szCs w:val="32"/>
          <w:highlight w:val="none"/>
          <w:lang w:val="en-US" w:eastAsia="zh-CN"/>
        </w:rPr>
        <w:t>产权管理小组</w:t>
      </w:r>
      <w:r>
        <w:rPr>
          <w:rFonts w:hint="eastAsia" w:ascii="仿宋_GB2312" w:hAnsi="仿宋_GB2312" w:eastAsia="仿宋_GB2312" w:cs="仿宋_GB2312"/>
          <w:color w:val="auto"/>
          <w:sz w:val="32"/>
          <w:szCs w:val="32"/>
          <w:highlight w:val="none"/>
        </w:rPr>
        <w:t>），由村（</w:t>
      </w:r>
      <w:r>
        <w:rPr>
          <w:rFonts w:hint="eastAsia" w:ascii="仿宋_GB2312" w:hAnsi="仿宋_GB2312" w:eastAsia="仿宋_GB2312" w:cs="仿宋_GB2312"/>
          <w:color w:val="auto"/>
          <w:sz w:val="32"/>
          <w:szCs w:val="32"/>
          <w:highlight w:val="none"/>
          <w:lang w:val="en-US" w:eastAsia="zh-CN"/>
        </w:rPr>
        <w:t>居</w:t>
      </w:r>
      <w:r>
        <w:rPr>
          <w:rFonts w:hint="eastAsia" w:ascii="仿宋_GB2312" w:hAnsi="仿宋_GB2312" w:eastAsia="仿宋_GB2312" w:cs="仿宋_GB2312"/>
          <w:color w:val="auto"/>
          <w:sz w:val="32"/>
          <w:szCs w:val="32"/>
          <w:highlight w:val="none"/>
        </w:rPr>
        <w:t>）股联社的社长或者理事长、资产管理人员、村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务监督委员会等相关人员组成。</w:t>
      </w:r>
      <w:r>
        <w:rPr>
          <w:rFonts w:hint="eastAsia" w:ascii="仿宋_GB2312" w:hAnsi="仿宋_GB2312" w:eastAsia="仿宋_GB2312" w:cs="仿宋_GB2312"/>
          <w:color w:val="auto"/>
          <w:sz w:val="32"/>
          <w:szCs w:val="32"/>
          <w:highlight w:val="none"/>
          <w:lang w:val="en-US" w:eastAsia="zh-CN"/>
        </w:rPr>
        <w:t>具体履行以下</w:t>
      </w:r>
      <w:r>
        <w:rPr>
          <w:rFonts w:hint="eastAsia" w:ascii="仿宋_GB2312" w:hAnsi="仿宋_GB2312" w:eastAsia="仿宋_GB2312" w:cs="仿宋_GB2312"/>
          <w:b w:val="0"/>
          <w:bCs w:val="0"/>
          <w:color w:val="auto"/>
          <w:sz w:val="32"/>
          <w:szCs w:val="32"/>
          <w:highlight w:val="none"/>
        </w:rPr>
        <w:t>职</w:t>
      </w:r>
      <w:r>
        <w:rPr>
          <w:rFonts w:hint="eastAsia" w:ascii="仿宋_GB2312" w:hAnsi="仿宋_GB2312" w:eastAsia="仿宋_GB2312" w:cs="仿宋_GB2312"/>
          <w:b w:val="0"/>
          <w:bCs w:val="0"/>
          <w:color w:val="auto"/>
          <w:sz w:val="32"/>
          <w:szCs w:val="32"/>
          <w:highlight w:val="none"/>
          <w:lang w:eastAsia="zh-CN"/>
        </w:rPr>
        <w:t>责</w:t>
      </w:r>
      <w:r>
        <w:rPr>
          <w:rFonts w:hint="eastAsia" w:ascii="仿宋_GB2312" w:hAnsi="仿宋_GB2312" w:eastAsia="仿宋_GB2312" w:cs="仿宋_GB2312"/>
          <w:b w:val="0"/>
          <w:bCs w:val="0"/>
          <w:color w:val="auto"/>
          <w:sz w:val="32"/>
          <w:szCs w:val="32"/>
          <w:highlight w:val="none"/>
        </w:rPr>
        <w:t>：</w:t>
      </w:r>
    </w:p>
    <w:p w14:paraId="5AA0DD36">
      <w:pPr>
        <w:keepNext w:val="0"/>
        <w:keepLines w:val="0"/>
        <w:pageBreakBefore w:val="0"/>
        <w:numPr>
          <w:ilvl w:val="0"/>
          <w:numId w:val="1"/>
        </w:numPr>
        <w:kinsoku/>
        <w:overflowPunct/>
        <w:topLinePunct w:val="0"/>
        <w:autoSpaceDE/>
        <w:autoSpaceDN/>
        <w:bidi w:val="0"/>
        <w:adjustRightInd w:val="0"/>
        <w:snapToGrid w:val="0"/>
        <w:spacing w:line="620" w:lineRule="exact"/>
        <w:ind w:left="-10" w:firstLine="640" w:firstLineChars="0"/>
        <w:jc w:val="both"/>
        <w:textAlignment w:val="auto"/>
        <w:outlineLvl w:val="2"/>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负责</w:t>
      </w:r>
      <w:r>
        <w:rPr>
          <w:rFonts w:hint="eastAsia" w:ascii="仿宋_GB2312" w:hAnsi="仿宋_GB2312" w:eastAsia="仿宋_GB2312" w:cs="仿宋_GB2312"/>
          <w:b w:val="0"/>
          <w:bCs w:val="0"/>
          <w:color w:val="auto"/>
          <w:sz w:val="32"/>
          <w:szCs w:val="32"/>
          <w:highlight w:val="none"/>
          <w:lang w:val="en-US" w:eastAsia="zh-CN"/>
        </w:rPr>
        <w:t>贯彻执行</w:t>
      </w:r>
      <w:r>
        <w:rPr>
          <w:rFonts w:hint="eastAsia" w:ascii="仿宋_GB2312" w:hAnsi="仿宋_GB2312" w:eastAsia="仿宋_GB2312" w:cs="仿宋_GB2312"/>
          <w:color w:val="auto"/>
          <w:sz w:val="32"/>
          <w:szCs w:val="32"/>
          <w:highlight w:val="none"/>
          <w:lang w:val="en-US" w:eastAsia="zh-CN"/>
        </w:rPr>
        <w:t>上级</w:t>
      </w:r>
      <w:r>
        <w:rPr>
          <w:rFonts w:hint="eastAsia" w:ascii="仿宋_GB2312" w:hAnsi="仿宋_GB2312" w:eastAsia="仿宋_GB2312" w:cs="仿宋_GB2312"/>
          <w:color w:val="auto"/>
          <w:sz w:val="32"/>
          <w:szCs w:val="32"/>
          <w:highlight w:val="none"/>
        </w:rPr>
        <w:t>制定的农村</w:t>
      </w:r>
      <w:r>
        <w:rPr>
          <w:rFonts w:hint="eastAsia" w:ascii="仿宋_GB2312" w:hAnsi="仿宋_GB2312" w:eastAsia="仿宋_GB2312" w:cs="仿宋_GB2312"/>
          <w:color w:val="auto"/>
          <w:sz w:val="32"/>
          <w:szCs w:val="32"/>
          <w:highlight w:val="none"/>
          <w:lang w:val="en-US" w:eastAsia="zh-CN"/>
        </w:rPr>
        <w:t>产权流转</w:t>
      </w:r>
      <w:r>
        <w:rPr>
          <w:rFonts w:hint="eastAsia" w:ascii="仿宋_GB2312" w:hAnsi="仿宋_GB2312" w:eastAsia="仿宋_GB2312" w:cs="仿宋_GB2312"/>
          <w:color w:val="auto"/>
          <w:sz w:val="32"/>
          <w:szCs w:val="32"/>
          <w:highlight w:val="none"/>
        </w:rPr>
        <w:t>交易管理办法和规章制度</w:t>
      </w:r>
      <w:r>
        <w:rPr>
          <w:rFonts w:hint="eastAsia" w:ascii="仿宋_GB2312" w:hAnsi="仿宋_GB2312" w:eastAsia="仿宋_GB2312" w:cs="仿宋_GB2312"/>
          <w:b w:val="0"/>
          <w:bCs w:val="0"/>
          <w:color w:val="auto"/>
          <w:sz w:val="32"/>
          <w:szCs w:val="32"/>
          <w:highlight w:val="none"/>
        </w:rPr>
        <w:t>；</w:t>
      </w:r>
    </w:p>
    <w:p w14:paraId="7108178E">
      <w:pPr>
        <w:keepNext w:val="0"/>
        <w:keepLines w:val="0"/>
        <w:pageBreakBefore w:val="0"/>
        <w:numPr>
          <w:ilvl w:val="0"/>
          <w:numId w:val="1"/>
        </w:numPr>
        <w:kinsoku/>
        <w:overflowPunct/>
        <w:topLinePunct w:val="0"/>
        <w:autoSpaceDE/>
        <w:autoSpaceDN/>
        <w:bidi w:val="0"/>
        <w:adjustRightInd w:val="0"/>
        <w:snapToGrid w:val="0"/>
        <w:spacing w:line="620" w:lineRule="exact"/>
        <w:ind w:left="-10" w:firstLine="640" w:firstLineChars="0"/>
        <w:jc w:val="both"/>
        <w:textAlignment w:val="auto"/>
        <w:outlineLvl w:val="2"/>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做好</w:t>
      </w:r>
      <w:r>
        <w:rPr>
          <w:rFonts w:hint="eastAsia" w:ascii="仿宋_GB2312" w:hAnsi="仿宋_GB2312" w:eastAsia="仿宋_GB2312" w:cs="仿宋_GB2312"/>
          <w:b w:val="0"/>
          <w:bCs w:val="0"/>
          <w:color w:val="auto"/>
          <w:sz w:val="32"/>
          <w:szCs w:val="32"/>
          <w:highlight w:val="none"/>
          <w:lang w:val="en-US" w:eastAsia="zh-CN"/>
        </w:rPr>
        <w:t>村、组两级</w:t>
      </w:r>
      <w:r>
        <w:rPr>
          <w:rFonts w:hint="eastAsia" w:ascii="仿宋_GB2312" w:hAnsi="仿宋_GB2312" w:eastAsia="仿宋_GB2312" w:cs="仿宋_GB2312"/>
          <w:b w:val="0"/>
          <w:bCs w:val="0"/>
          <w:color w:val="auto"/>
          <w:sz w:val="32"/>
          <w:szCs w:val="32"/>
          <w:highlight w:val="none"/>
          <w:lang w:eastAsia="zh-CN"/>
        </w:rPr>
        <w:t>农村集体资产资源清产核资，建立规范的集体资产台账、合同台账，并将集体资产、资源、合同等信息录入</w:t>
      </w:r>
      <w:r>
        <w:rPr>
          <w:rFonts w:hint="eastAsia" w:ascii="仿宋_GB2312" w:hAnsi="仿宋_GB2312" w:eastAsia="仿宋_GB2312" w:cs="仿宋_GB2312"/>
          <w:b w:val="0"/>
          <w:bCs w:val="0"/>
          <w:color w:val="auto"/>
          <w:sz w:val="32"/>
          <w:szCs w:val="32"/>
          <w:highlight w:val="none"/>
          <w:lang w:val="en-US" w:eastAsia="zh-CN"/>
        </w:rPr>
        <w:t>一体化平台</w:t>
      </w:r>
      <w:r>
        <w:rPr>
          <w:rFonts w:hint="eastAsia" w:ascii="仿宋_GB2312" w:hAnsi="仿宋_GB2312" w:eastAsia="仿宋_GB2312" w:cs="仿宋_GB2312"/>
          <w:b w:val="0"/>
          <w:bCs w:val="0"/>
          <w:color w:val="auto"/>
          <w:sz w:val="32"/>
          <w:szCs w:val="32"/>
          <w:highlight w:val="none"/>
          <w:lang w:eastAsia="zh-CN"/>
        </w:rPr>
        <w:t>，履行集体资产日常管理工作职责；</w:t>
      </w:r>
    </w:p>
    <w:p w14:paraId="1192A44F">
      <w:pPr>
        <w:keepNext w:val="0"/>
        <w:keepLines w:val="0"/>
        <w:pageBreakBefore w:val="0"/>
        <w:numPr>
          <w:ilvl w:val="0"/>
          <w:numId w:val="1"/>
        </w:numPr>
        <w:kinsoku/>
        <w:overflowPunct/>
        <w:topLinePunct w:val="0"/>
        <w:autoSpaceDE/>
        <w:autoSpaceDN/>
        <w:bidi w:val="0"/>
        <w:adjustRightInd w:val="0"/>
        <w:snapToGrid w:val="0"/>
        <w:spacing w:line="620" w:lineRule="exact"/>
        <w:ind w:left="-10" w:firstLine="640" w:firstLineChars="0"/>
        <w:jc w:val="both"/>
        <w:textAlignment w:val="auto"/>
        <w:outlineLvl w:val="2"/>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负责</w:t>
      </w:r>
      <w:r>
        <w:rPr>
          <w:rFonts w:hint="eastAsia" w:ascii="仿宋_GB2312" w:hAnsi="仿宋_GB2312" w:eastAsia="仿宋_GB2312" w:cs="仿宋_GB2312"/>
          <w:b w:val="0"/>
          <w:bCs w:val="0"/>
          <w:color w:val="auto"/>
          <w:sz w:val="32"/>
          <w:szCs w:val="32"/>
          <w:highlight w:val="none"/>
          <w:lang w:val="en-US" w:eastAsia="zh-CN"/>
        </w:rPr>
        <w:t>村、组两级</w:t>
      </w:r>
      <w:r>
        <w:rPr>
          <w:rFonts w:hint="eastAsia" w:ascii="仿宋_GB2312" w:hAnsi="仿宋_GB2312" w:eastAsia="仿宋_GB2312" w:cs="仿宋_GB2312"/>
          <w:b w:val="0"/>
          <w:bCs w:val="0"/>
          <w:color w:val="auto"/>
          <w:sz w:val="32"/>
          <w:szCs w:val="32"/>
          <w:highlight w:val="none"/>
          <w:lang w:eastAsia="zh-CN"/>
        </w:rPr>
        <w:t>农村</w:t>
      </w:r>
      <w:r>
        <w:rPr>
          <w:rFonts w:hint="eastAsia" w:ascii="仿宋_GB2312" w:hAnsi="仿宋_GB2312" w:eastAsia="仿宋_GB2312" w:cs="仿宋_GB2312"/>
          <w:b w:val="0"/>
          <w:bCs w:val="0"/>
          <w:color w:val="auto"/>
          <w:sz w:val="32"/>
          <w:szCs w:val="32"/>
          <w:highlight w:val="none"/>
          <w:lang w:val="en-US" w:eastAsia="zh-CN"/>
        </w:rPr>
        <w:t>产权流转交易的组织</w:t>
      </w:r>
      <w:r>
        <w:rPr>
          <w:rFonts w:hint="eastAsia" w:ascii="仿宋_GB2312" w:hAnsi="仿宋_GB2312" w:eastAsia="仿宋_GB2312" w:cs="仿宋_GB2312"/>
          <w:b w:val="0"/>
          <w:bCs w:val="0"/>
          <w:color w:val="auto"/>
          <w:sz w:val="32"/>
          <w:szCs w:val="32"/>
          <w:highlight w:val="none"/>
          <w:lang w:eastAsia="zh-CN"/>
        </w:rPr>
        <w:t>实施，</w:t>
      </w:r>
      <w:r>
        <w:rPr>
          <w:rFonts w:hint="eastAsia" w:ascii="仿宋_GB2312" w:hAnsi="仿宋_GB2312" w:eastAsia="仿宋_GB2312" w:cs="仿宋_GB2312"/>
          <w:b w:val="0"/>
          <w:bCs w:val="0"/>
          <w:color w:val="auto"/>
          <w:sz w:val="32"/>
          <w:szCs w:val="32"/>
          <w:highlight w:val="none"/>
          <w:lang w:val="en-US" w:eastAsia="zh-CN"/>
        </w:rPr>
        <w:t>包括</w:t>
      </w:r>
      <w:r>
        <w:rPr>
          <w:rFonts w:hint="eastAsia" w:ascii="仿宋_GB2312" w:hAnsi="仿宋_GB2312" w:eastAsia="仿宋_GB2312" w:cs="仿宋_GB2312"/>
          <w:b w:val="0"/>
          <w:bCs w:val="0"/>
          <w:color w:val="auto"/>
          <w:sz w:val="32"/>
          <w:szCs w:val="32"/>
          <w:highlight w:val="none"/>
          <w:lang w:eastAsia="zh-CN"/>
        </w:rPr>
        <w:t>拟定农村</w:t>
      </w:r>
      <w:r>
        <w:rPr>
          <w:rFonts w:hint="eastAsia" w:ascii="仿宋_GB2312" w:hAnsi="仿宋_GB2312" w:eastAsia="仿宋_GB2312" w:cs="仿宋_GB2312"/>
          <w:b w:val="0"/>
          <w:bCs w:val="0"/>
          <w:color w:val="auto"/>
          <w:sz w:val="32"/>
          <w:szCs w:val="32"/>
          <w:highlight w:val="none"/>
          <w:lang w:val="en-US" w:eastAsia="zh-CN"/>
        </w:rPr>
        <w:t>产权流转交易</w:t>
      </w:r>
      <w:r>
        <w:rPr>
          <w:rFonts w:hint="eastAsia" w:ascii="仿宋_GB2312" w:hAnsi="仿宋_GB2312" w:eastAsia="仿宋_GB2312" w:cs="仿宋_GB2312"/>
          <w:b w:val="0"/>
          <w:bCs w:val="0"/>
          <w:color w:val="auto"/>
          <w:sz w:val="32"/>
          <w:szCs w:val="32"/>
          <w:highlight w:val="none"/>
          <w:lang w:eastAsia="zh-CN"/>
        </w:rPr>
        <w:t>方案、</w:t>
      </w:r>
      <w:r>
        <w:rPr>
          <w:rFonts w:hint="eastAsia" w:ascii="仿宋_GB2312" w:hAnsi="仿宋_GB2312" w:eastAsia="仿宋_GB2312" w:cs="仿宋_GB2312"/>
          <w:b w:val="0"/>
          <w:bCs w:val="0"/>
          <w:color w:val="auto"/>
          <w:sz w:val="32"/>
          <w:szCs w:val="32"/>
          <w:highlight w:val="none"/>
          <w:lang w:val="en-US" w:eastAsia="zh-CN"/>
        </w:rPr>
        <w:t>落实民主议决、</w:t>
      </w:r>
      <w:r>
        <w:rPr>
          <w:rFonts w:hint="eastAsia" w:ascii="仿宋_GB2312" w:hAnsi="仿宋_GB2312" w:eastAsia="仿宋_GB2312" w:cs="仿宋_GB2312"/>
          <w:b w:val="0"/>
          <w:bCs w:val="0"/>
          <w:color w:val="auto"/>
          <w:sz w:val="32"/>
          <w:szCs w:val="32"/>
          <w:highlight w:val="none"/>
          <w:lang w:eastAsia="zh-CN"/>
        </w:rPr>
        <w:t>办理</w:t>
      </w:r>
      <w:r>
        <w:rPr>
          <w:rFonts w:hint="eastAsia" w:ascii="仿宋_GB2312" w:hAnsi="仿宋_GB2312" w:eastAsia="仿宋_GB2312" w:cs="仿宋_GB2312"/>
          <w:b w:val="0"/>
          <w:bCs w:val="0"/>
          <w:color w:val="auto"/>
          <w:sz w:val="32"/>
          <w:szCs w:val="32"/>
          <w:highlight w:val="none"/>
          <w:lang w:val="en-US" w:eastAsia="zh-CN"/>
        </w:rPr>
        <w:t>交易</w:t>
      </w:r>
      <w:r>
        <w:rPr>
          <w:rFonts w:hint="eastAsia" w:ascii="仿宋_GB2312" w:hAnsi="仿宋_GB2312" w:eastAsia="仿宋_GB2312" w:cs="仿宋_GB2312"/>
          <w:b w:val="0"/>
          <w:bCs w:val="0"/>
          <w:color w:val="auto"/>
          <w:sz w:val="32"/>
          <w:szCs w:val="32"/>
          <w:highlight w:val="none"/>
          <w:lang w:eastAsia="zh-CN"/>
        </w:rPr>
        <w:t>项目审批</w:t>
      </w:r>
      <w:r>
        <w:rPr>
          <w:rFonts w:hint="eastAsia" w:ascii="仿宋_GB2312" w:hAnsi="仿宋_GB2312" w:eastAsia="仿宋_GB2312" w:cs="仿宋_GB2312"/>
          <w:b w:val="0"/>
          <w:bCs w:val="0"/>
          <w:color w:val="auto"/>
          <w:sz w:val="32"/>
          <w:szCs w:val="32"/>
          <w:highlight w:val="none"/>
          <w:lang w:val="en-US" w:eastAsia="zh-CN"/>
        </w:rPr>
        <w:t>立项</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信息发布和</w:t>
      </w:r>
      <w:r>
        <w:rPr>
          <w:rFonts w:hint="eastAsia" w:ascii="仿宋_GB2312" w:hAnsi="仿宋_GB2312" w:eastAsia="仿宋_GB2312" w:cs="仿宋_GB2312"/>
          <w:b w:val="0"/>
          <w:bCs w:val="0"/>
          <w:color w:val="auto"/>
          <w:sz w:val="32"/>
          <w:szCs w:val="32"/>
          <w:highlight w:val="none"/>
        </w:rPr>
        <w:t>公示</w:t>
      </w:r>
      <w:r>
        <w:rPr>
          <w:rFonts w:hint="eastAsia" w:ascii="仿宋_GB2312" w:hAnsi="仿宋_GB2312" w:eastAsia="仿宋_GB2312" w:cs="仿宋_GB2312"/>
          <w:b w:val="0"/>
          <w:bCs w:val="0"/>
          <w:color w:val="auto"/>
          <w:sz w:val="32"/>
          <w:szCs w:val="32"/>
          <w:highlight w:val="none"/>
          <w:lang w:eastAsia="zh-CN"/>
        </w:rPr>
        <w:t>、答疑或接受咨询、</w:t>
      </w:r>
      <w:r>
        <w:rPr>
          <w:rFonts w:hint="eastAsia" w:ascii="仿宋_GB2312" w:hAnsi="仿宋_GB2312" w:eastAsia="仿宋_GB2312" w:cs="仿宋_GB2312"/>
          <w:b w:val="0"/>
          <w:bCs w:val="0"/>
          <w:color w:val="auto"/>
          <w:sz w:val="32"/>
          <w:szCs w:val="32"/>
          <w:highlight w:val="none"/>
          <w:lang w:val="en-US" w:eastAsia="zh-CN"/>
        </w:rPr>
        <w:t>组织交易</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合同签订、</w:t>
      </w:r>
      <w:r>
        <w:rPr>
          <w:rFonts w:hint="eastAsia" w:ascii="仿宋_GB2312" w:hAnsi="仿宋_GB2312" w:eastAsia="仿宋_GB2312" w:cs="仿宋_GB2312"/>
          <w:b w:val="0"/>
          <w:bCs w:val="0"/>
          <w:color w:val="auto"/>
          <w:sz w:val="32"/>
          <w:szCs w:val="32"/>
          <w:highlight w:val="none"/>
          <w:lang w:val="en-US" w:eastAsia="zh-CN"/>
        </w:rPr>
        <w:t>归档上传项目实施过程全部档案资料至一体化平台</w:t>
      </w:r>
      <w:r>
        <w:rPr>
          <w:rFonts w:hint="eastAsia" w:ascii="仿宋_GB2312" w:hAnsi="仿宋_GB2312" w:eastAsia="仿宋_GB2312" w:cs="仿宋_GB2312"/>
          <w:b w:val="0"/>
          <w:bCs w:val="0"/>
          <w:color w:val="auto"/>
          <w:sz w:val="32"/>
          <w:szCs w:val="32"/>
          <w:highlight w:val="none"/>
        </w:rPr>
        <w:t>等</w:t>
      </w:r>
      <w:r>
        <w:rPr>
          <w:rFonts w:hint="eastAsia" w:ascii="仿宋_GB2312" w:hAnsi="仿宋_GB2312" w:eastAsia="仿宋_GB2312" w:cs="仿宋_GB2312"/>
          <w:b w:val="0"/>
          <w:bCs w:val="0"/>
          <w:color w:val="auto"/>
          <w:sz w:val="32"/>
          <w:szCs w:val="32"/>
          <w:highlight w:val="none"/>
          <w:lang w:eastAsia="zh-CN"/>
        </w:rPr>
        <w:t>各环节</w:t>
      </w:r>
      <w:r>
        <w:rPr>
          <w:rFonts w:hint="eastAsia" w:ascii="仿宋_GB2312" w:hAnsi="仿宋_GB2312" w:eastAsia="仿宋_GB2312" w:cs="仿宋_GB2312"/>
          <w:b w:val="0"/>
          <w:bCs w:val="0"/>
          <w:color w:val="auto"/>
          <w:sz w:val="32"/>
          <w:szCs w:val="32"/>
          <w:highlight w:val="none"/>
          <w:lang w:val="en-US" w:eastAsia="zh-CN"/>
        </w:rPr>
        <w:t>工作；</w:t>
      </w:r>
    </w:p>
    <w:p w14:paraId="40D1901C">
      <w:pPr>
        <w:keepNext w:val="0"/>
        <w:keepLines w:val="0"/>
        <w:pageBreakBefore w:val="0"/>
        <w:numPr>
          <w:ilvl w:val="0"/>
          <w:numId w:val="1"/>
        </w:numPr>
        <w:kinsoku/>
        <w:overflowPunct/>
        <w:topLinePunct w:val="0"/>
        <w:autoSpaceDE/>
        <w:autoSpaceDN/>
        <w:bidi w:val="0"/>
        <w:adjustRightInd w:val="0"/>
        <w:snapToGrid w:val="0"/>
        <w:spacing w:line="620" w:lineRule="exact"/>
        <w:ind w:left="-10" w:firstLine="640" w:firstLineChars="0"/>
        <w:jc w:val="both"/>
        <w:textAlignment w:val="auto"/>
        <w:outlineLvl w:val="2"/>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负责</w:t>
      </w:r>
      <w:r>
        <w:rPr>
          <w:rFonts w:hint="eastAsia" w:ascii="仿宋_GB2312" w:hAnsi="仿宋_GB2312" w:eastAsia="仿宋_GB2312" w:cs="仿宋_GB2312"/>
          <w:b w:val="0"/>
          <w:bCs w:val="0"/>
          <w:color w:val="auto"/>
          <w:sz w:val="32"/>
          <w:szCs w:val="32"/>
          <w:highlight w:val="none"/>
          <w:lang w:val="en-US" w:eastAsia="zh-CN"/>
        </w:rPr>
        <w:t>村、组两级</w:t>
      </w:r>
      <w:r>
        <w:rPr>
          <w:rFonts w:hint="eastAsia" w:ascii="仿宋_GB2312" w:hAnsi="仿宋_GB2312" w:eastAsia="仿宋_GB2312" w:cs="仿宋_GB2312"/>
          <w:b w:val="0"/>
          <w:bCs w:val="0"/>
          <w:color w:val="auto"/>
          <w:sz w:val="32"/>
          <w:szCs w:val="32"/>
          <w:highlight w:val="none"/>
        </w:rPr>
        <w:t>有关</w:t>
      </w:r>
      <w:r>
        <w:rPr>
          <w:rFonts w:hint="eastAsia" w:ascii="仿宋_GB2312" w:hAnsi="仿宋_GB2312" w:eastAsia="仿宋_GB2312" w:cs="仿宋_GB2312"/>
          <w:b w:val="0"/>
          <w:bCs w:val="0"/>
          <w:color w:val="auto"/>
          <w:sz w:val="32"/>
          <w:szCs w:val="32"/>
          <w:highlight w:val="none"/>
          <w:lang w:val="en-US" w:eastAsia="zh-CN"/>
        </w:rPr>
        <w:t>农村产权流转交易</w:t>
      </w:r>
      <w:r>
        <w:rPr>
          <w:rFonts w:hint="eastAsia" w:ascii="仿宋_GB2312" w:hAnsi="仿宋_GB2312" w:eastAsia="仿宋_GB2312" w:cs="仿宋_GB2312"/>
          <w:b w:val="0"/>
          <w:bCs w:val="0"/>
          <w:color w:val="auto"/>
          <w:sz w:val="32"/>
          <w:szCs w:val="32"/>
          <w:highlight w:val="none"/>
        </w:rPr>
        <w:t>合同纠纷的调处工作</w:t>
      </w:r>
      <w:r>
        <w:rPr>
          <w:rFonts w:hint="eastAsia" w:ascii="仿宋_GB2312" w:hAnsi="仿宋_GB2312" w:eastAsia="仿宋_GB2312" w:cs="仿宋_GB2312"/>
          <w:b w:val="0"/>
          <w:bCs w:val="0"/>
          <w:color w:val="auto"/>
          <w:sz w:val="32"/>
          <w:szCs w:val="32"/>
          <w:highlight w:val="none"/>
          <w:lang w:eastAsia="zh-CN"/>
        </w:rPr>
        <w:t>，调查处理农村产权流转交易过程中的投诉、举报</w:t>
      </w:r>
      <w:r>
        <w:rPr>
          <w:rFonts w:hint="eastAsia" w:ascii="仿宋_GB2312" w:hAnsi="仿宋_GB2312" w:eastAsia="仿宋_GB2312" w:cs="仿宋_GB2312"/>
          <w:b w:val="0"/>
          <w:bCs w:val="0"/>
          <w:color w:val="auto"/>
          <w:sz w:val="32"/>
          <w:szCs w:val="32"/>
          <w:highlight w:val="none"/>
        </w:rPr>
        <w:t>；</w:t>
      </w:r>
    </w:p>
    <w:p w14:paraId="72379053">
      <w:pPr>
        <w:keepNext w:val="0"/>
        <w:keepLines w:val="0"/>
        <w:pageBreakBefore w:val="0"/>
        <w:widowControl w:val="0"/>
        <w:numPr>
          <w:ilvl w:val="0"/>
          <w:numId w:val="1"/>
        </w:numPr>
        <w:kinsoku/>
        <w:wordWrap/>
        <w:overflowPunct/>
        <w:topLinePunct w:val="0"/>
        <w:autoSpaceDE/>
        <w:autoSpaceDN/>
        <w:bidi w:val="0"/>
        <w:adjustRightInd w:val="0"/>
        <w:snapToGrid w:val="0"/>
        <w:spacing w:line="620" w:lineRule="exact"/>
        <w:ind w:left="-10" w:firstLine="640" w:firstLineChars="0"/>
        <w:jc w:val="both"/>
        <w:textAlignment w:val="auto"/>
        <w:outlineLvl w:val="2"/>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lang w:eastAsia="zh-CN"/>
        </w:rPr>
        <w:t>负责</w:t>
      </w:r>
      <w:r>
        <w:rPr>
          <w:rFonts w:hint="eastAsia" w:ascii="仿宋_GB2312" w:hAnsi="仿宋_GB2312" w:eastAsia="仿宋_GB2312" w:cs="仿宋_GB2312"/>
          <w:b w:val="0"/>
          <w:bCs w:val="0"/>
          <w:color w:val="auto"/>
          <w:spacing w:val="0"/>
          <w:sz w:val="32"/>
          <w:szCs w:val="32"/>
          <w:highlight w:val="none"/>
        </w:rPr>
        <w:t>法律、法规赋予的其他职责和上级部门交办的其他事项。</w:t>
      </w:r>
    </w:p>
    <w:p w14:paraId="5B9A3CBE">
      <w:pPr>
        <w:pStyle w:val="6"/>
        <w:jc w:val="both"/>
        <w:rPr>
          <w:rFonts w:hint="default"/>
          <w:color w:val="auto"/>
          <w:highlight w:val="none"/>
        </w:rPr>
      </w:pPr>
    </w:p>
    <w:p w14:paraId="3781F8E7">
      <w:pPr>
        <w:keepNext w:val="0"/>
        <w:keepLines w:val="0"/>
        <w:pageBreakBefore w:val="0"/>
        <w:widowControl w:val="0"/>
        <w:numPr>
          <w:ilvl w:val="0"/>
          <w:numId w:val="0"/>
        </w:numPr>
        <w:kinsoku/>
        <w:wordWrap/>
        <w:overflowPunct/>
        <w:topLinePunct w:val="0"/>
        <w:autoSpaceDE/>
        <w:autoSpaceDN/>
        <w:bidi w:val="0"/>
        <w:adjustRightInd/>
        <w:snapToGrid w:val="0"/>
        <w:spacing w:beforeLines="50" w:line="620" w:lineRule="exact"/>
        <w:ind w:firstLine="2560" w:firstLineChars="800"/>
        <w:jc w:val="both"/>
        <w:textAlignment w:val="auto"/>
        <w:outlineLvl w:val="1"/>
        <w:rPr>
          <w:rFonts w:hint="default" w:ascii="Times New Roman" w:hAnsi="Times New Roman" w:eastAsia="黑体" w:cs="Times New Roman"/>
          <w:b w:val="0"/>
          <w:bCs w:val="0"/>
          <w:color w:val="auto"/>
          <w:sz w:val="32"/>
          <w:szCs w:val="32"/>
          <w:highlight w:val="none"/>
          <w:lang w:eastAsia="zh-CN"/>
        </w:rPr>
      </w:pPr>
      <w:r>
        <w:rPr>
          <w:rFonts w:hint="eastAsia" w:ascii="Times New Roman" w:hAnsi="Times New Roman" w:eastAsia="黑体" w:cs="Times New Roman"/>
          <w:b w:val="0"/>
          <w:bCs w:val="0"/>
          <w:color w:val="auto"/>
          <w:kern w:val="0"/>
          <w:sz w:val="32"/>
          <w:szCs w:val="32"/>
          <w:highlight w:val="none"/>
          <w:lang w:val="en-US" w:eastAsia="zh-CN"/>
        </w:rPr>
        <w:t>第三章  民主议决</w:t>
      </w:r>
    </w:p>
    <w:p w14:paraId="663FFAED">
      <w:pPr>
        <w:keepNext w:val="0"/>
        <w:keepLines w:val="0"/>
        <w:pageBreakBefore w:val="0"/>
        <w:kinsoku/>
        <w:overflowPunct/>
        <w:topLinePunct w:val="0"/>
        <w:autoSpaceDE/>
        <w:autoSpaceDN/>
        <w:bidi w:val="0"/>
        <w:adjustRightInd w:val="0"/>
        <w:snapToGrid w:val="0"/>
        <w:spacing w:line="620" w:lineRule="exact"/>
        <w:ind w:firstLine="640" w:firstLineChars="200"/>
        <w:jc w:val="both"/>
        <w:textAlignment w:val="auto"/>
        <w:outlineLvl w:val="2"/>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第</w:t>
      </w:r>
      <w:r>
        <w:rPr>
          <w:rFonts w:hint="eastAsia" w:ascii="仿宋_GB2312" w:hAnsi="仿宋_GB2312" w:eastAsia="仿宋_GB2312" w:cs="仿宋_GB2312"/>
          <w:b w:val="0"/>
          <w:bCs w:val="0"/>
          <w:color w:val="auto"/>
          <w:sz w:val="32"/>
          <w:szCs w:val="32"/>
          <w:highlight w:val="none"/>
          <w:lang w:val="en-US" w:eastAsia="zh-CN"/>
        </w:rPr>
        <w:t>八</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kern w:val="0"/>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村级的单个项目</w:t>
      </w:r>
      <w:r>
        <w:rPr>
          <w:rFonts w:hint="eastAsia" w:ascii="仿宋_GB2312" w:hAnsi="仿宋_GB2312" w:eastAsia="仿宋_GB2312" w:cs="仿宋_GB2312"/>
          <w:color w:val="auto"/>
          <w:sz w:val="32"/>
          <w:szCs w:val="32"/>
          <w:highlight w:val="none"/>
          <w:lang w:val="en-US" w:eastAsia="zh-CN"/>
        </w:rPr>
        <w:t>交易</w:t>
      </w:r>
      <w:r>
        <w:rPr>
          <w:rFonts w:hint="eastAsia" w:ascii="仿宋_GB2312" w:hAnsi="仿宋_GB2312" w:eastAsia="仿宋_GB2312" w:cs="仿宋_GB2312"/>
          <w:color w:val="auto"/>
          <w:sz w:val="32"/>
          <w:szCs w:val="32"/>
          <w:highlight w:val="none"/>
          <w:lang w:eastAsia="zh-CN"/>
        </w:rPr>
        <w:t>拟总标的额在</w:t>
      </w:r>
      <w:r>
        <w:rPr>
          <w:rFonts w:hint="eastAsia" w:ascii="仿宋_GB2312" w:hAnsi="仿宋_GB2312" w:eastAsia="仿宋_GB2312" w:cs="仿宋_GB2312"/>
          <w:color w:val="auto"/>
          <w:sz w:val="32"/>
          <w:szCs w:val="32"/>
          <w:highlight w:val="none"/>
          <w:lang w:val="en-US" w:eastAsia="zh-CN"/>
        </w:rPr>
        <w:t>100万元（含）以上的，纳入村（社区）重大财务事项，按照“四议两公开”工作法程序决策、实施；</w:t>
      </w:r>
      <w:r>
        <w:rPr>
          <w:rFonts w:hint="eastAsia" w:ascii="仿宋_GB2312" w:hAnsi="仿宋_GB2312" w:eastAsia="仿宋_GB2312" w:cs="仿宋_GB2312"/>
          <w:color w:val="auto"/>
          <w:sz w:val="32"/>
          <w:szCs w:val="32"/>
          <w:highlight w:val="none"/>
          <w:lang w:eastAsia="zh-CN"/>
        </w:rPr>
        <w:t>拟总标的额在</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0万元（含）至100万元的，由</w:t>
      </w:r>
      <w:r>
        <w:rPr>
          <w:rFonts w:hint="eastAsia" w:ascii="仿宋_GB2312" w:hAnsi="仿宋_GB2312" w:eastAsia="仿宋_GB2312" w:cs="仿宋_GB2312"/>
          <w:color w:val="auto"/>
          <w:sz w:val="32"/>
          <w:szCs w:val="32"/>
          <w:highlight w:val="none"/>
          <w:lang w:val="en-US" w:eastAsia="zh-CN"/>
        </w:rPr>
        <w:t>有监事会会员列席的“两委”会议讨论决定</w:t>
      </w:r>
      <w:r>
        <w:rPr>
          <w:rFonts w:hint="eastAsia" w:ascii="仿宋_GB2312" w:hAnsi="仿宋_GB2312" w:eastAsia="仿宋_GB2312" w:cs="仿宋_GB2312"/>
          <w:color w:val="auto"/>
          <w:sz w:val="32"/>
          <w:szCs w:val="32"/>
          <w:highlight w:val="none"/>
          <w:lang w:eastAsia="zh-CN"/>
        </w:rPr>
        <w:t>；拟总标的额</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0万元以下的，由“</w:t>
      </w:r>
      <w:r>
        <w:rPr>
          <w:rFonts w:hint="eastAsia" w:ascii="仿宋_GB2312" w:hAnsi="仿宋_GB2312" w:eastAsia="仿宋_GB2312" w:cs="仿宋_GB2312"/>
          <w:color w:val="auto"/>
          <w:sz w:val="32"/>
          <w:szCs w:val="32"/>
          <w:highlight w:val="none"/>
          <w:lang w:val="en-US" w:eastAsia="zh-CN"/>
        </w:rPr>
        <w:t>两委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会议讨论决定</w:t>
      </w:r>
      <w:r>
        <w:rPr>
          <w:rFonts w:hint="eastAsia" w:ascii="仿宋_GB2312" w:hAnsi="仿宋_GB2312" w:eastAsia="仿宋_GB2312" w:cs="仿宋_GB2312"/>
          <w:color w:val="auto"/>
          <w:sz w:val="32"/>
          <w:szCs w:val="32"/>
          <w:highlight w:val="none"/>
          <w:lang w:eastAsia="zh-CN"/>
        </w:rPr>
        <w:t>。</w:t>
      </w:r>
    </w:p>
    <w:p w14:paraId="2A4D040E">
      <w:pPr>
        <w:keepNext w:val="0"/>
        <w:keepLines w:val="0"/>
        <w:pageBreakBefore w:val="0"/>
        <w:kinsoku/>
        <w:overflowPunct/>
        <w:topLinePunct w:val="0"/>
        <w:autoSpaceDE/>
        <w:autoSpaceDN/>
        <w:bidi w:val="0"/>
        <w:adjustRightInd w:val="0"/>
        <w:snapToGrid w:val="0"/>
        <w:spacing w:line="620" w:lineRule="exact"/>
        <w:ind w:firstLine="640" w:firstLineChars="200"/>
        <w:jc w:val="both"/>
        <w:textAlignment w:val="auto"/>
        <w:outlineLvl w:val="2"/>
        <w:rPr>
          <w:rFonts w:hint="eastAsia" w:ascii="仿宋_GB2312" w:hAnsi="仿宋_GB2312" w:eastAsia="仿宋_GB2312" w:cs="仿宋_GB2312"/>
          <w:b w:val="0"/>
          <w:bCs w:val="0"/>
          <w:color w:val="auto"/>
          <w:sz w:val="32"/>
          <w:highlight w:val="none"/>
          <w:lang w:val="en-US" w:eastAsia="zh-CN"/>
        </w:rPr>
      </w:pPr>
      <w:r>
        <w:rPr>
          <w:rFonts w:hint="eastAsia" w:ascii="仿宋_GB2312" w:hAnsi="仿宋_GB2312" w:eastAsia="仿宋_GB2312" w:cs="仿宋_GB2312"/>
          <w:color w:val="auto"/>
          <w:sz w:val="32"/>
          <w:szCs w:val="32"/>
          <w:highlight w:val="none"/>
          <w:lang w:val="en-US" w:eastAsia="zh-CN"/>
        </w:rPr>
        <w:t>第九条　组级的单个项目交易</w:t>
      </w:r>
      <w:r>
        <w:rPr>
          <w:rFonts w:hint="eastAsia" w:ascii="仿宋_GB2312" w:hAnsi="仿宋_GB2312" w:eastAsia="仿宋_GB2312" w:cs="仿宋_GB2312"/>
          <w:b w:val="0"/>
          <w:bCs w:val="0"/>
          <w:color w:val="auto"/>
          <w:sz w:val="32"/>
          <w:highlight w:val="none"/>
          <w:lang w:val="en-US" w:eastAsia="zh-CN"/>
        </w:rPr>
        <w:t>拟总标的额在</w:t>
      </w:r>
      <w:r>
        <w:rPr>
          <w:rFonts w:hint="eastAsia" w:ascii="仿宋_GB2312" w:hAnsi="仿宋_GB2312" w:eastAsia="仿宋_GB2312" w:cs="仿宋_GB2312"/>
          <w:color w:val="auto"/>
          <w:sz w:val="32"/>
          <w:szCs w:val="32"/>
          <w:highlight w:val="none"/>
          <w:lang w:val="en-US" w:eastAsia="zh-CN"/>
        </w:rPr>
        <w:t>100万元（含）以上的，纳入组级重大财务事项，按照“四议两公开”工作法程序决策、实施；</w:t>
      </w:r>
      <w:r>
        <w:rPr>
          <w:rFonts w:hint="eastAsia" w:ascii="仿宋_GB2312" w:hAnsi="仿宋_GB2312" w:eastAsia="仿宋_GB2312" w:cs="仿宋_GB2312"/>
          <w:b w:val="0"/>
          <w:bCs w:val="0"/>
          <w:color w:val="auto"/>
          <w:sz w:val="32"/>
          <w:highlight w:val="none"/>
          <w:lang w:val="en-US" w:eastAsia="zh-CN"/>
        </w:rPr>
        <w:t>拟总标的额在5000元至100万元或交易期限在3年以上的由村（居）民小组长和代表出具方案，并经三分之二以上的成员代表</w:t>
      </w:r>
      <w:r>
        <w:rPr>
          <w:rFonts w:hint="eastAsia" w:ascii="仿宋_GB2312" w:hAnsi="仿宋_GB2312" w:eastAsia="仿宋_GB2312" w:cs="仿宋_GB2312"/>
          <w:color w:val="auto"/>
          <w:sz w:val="32"/>
          <w:szCs w:val="32"/>
          <w:highlight w:val="none"/>
          <w:lang w:val="en-US" w:eastAsia="zh-CN"/>
        </w:rPr>
        <w:t>表决决定；</w:t>
      </w:r>
      <w:r>
        <w:rPr>
          <w:rFonts w:hint="eastAsia" w:ascii="仿宋_GB2312" w:hAnsi="仿宋_GB2312" w:eastAsia="仿宋_GB2312" w:cs="仿宋_GB2312"/>
          <w:b w:val="0"/>
          <w:bCs w:val="0"/>
          <w:color w:val="auto"/>
          <w:sz w:val="32"/>
          <w:szCs w:val="32"/>
          <w:highlight w:val="none"/>
          <w:lang w:eastAsia="zh-CN"/>
        </w:rPr>
        <w:t>拟</w:t>
      </w:r>
      <w:r>
        <w:rPr>
          <w:rFonts w:hint="eastAsia" w:ascii="仿宋_GB2312" w:hAnsi="仿宋_GB2312" w:eastAsia="仿宋_GB2312" w:cs="仿宋_GB2312"/>
          <w:b w:val="0"/>
          <w:bCs w:val="0"/>
          <w:color w:val="auto"/>
          <w:sz w:val="32"/>
          <w:highlight w:val="none"/>
          <w:lang w:val="en-US" w:eastAsia="zh-CN"/>
        </w:rPr>
        <w:t>总标的额5000元（含）以下且交易期限3年（含）以下的，由</w:t>
      </w:r>
      <w:r>
        <w:rPr>
          <w:rFonts w:hint="eastAsia" w:ascii="仿宋_GB2312" w:hAnsi="仿宋_GB2312" w:eastAsia="仿宋_GB2312" w:cs="仿宋_GB2312"/>
          <w:b w:val="0"/>
          <w:bCs w:val="0"/>
          <w:color w:val="auto"/>
          <w:sz w:val="32"/>
          <w:szCs w:val="32"/>
          <w:highlight w:val="none"/>
          <w:lang w:val="en-US" w:eastAsia="zh-CN"/>
        </w:rPr>
        <w:t>村（居）民小组长和代表共同研究决定。</w:t>
      </w:r>
    </w:p>
    <w:p w14:paraId="6FE522DC">
      <w:pPr>
        <w:keepNext w:val="0"/>
        <w:keepLines w:val="0"/>
        <w:pageBreakBefore w:val="0"/>
        <w:kinsoku/>
        <w:overflowPunct/>
        <w:topLinePunct w:val="0"/>
        <w:autoSpaceDE/>
        <w:autoSpaceDN/>
        <w:bidi w:val="0"/>
        <w:adjustRightInd w:val="0"/>
        <w:snapToGrid w:val="0"/>
        <w:spacing w:line="620" w:lineRule="exact"/>
        <w:ind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第十条 纳入村（社区）或组级重大财务事项的项目，应报镇农业农村局、镇财政分局备案。经“四议两公开”流程全部通过后，方可开展交易。</w:t>
      </w:r>
    </w:p>
    <w:p w14:paraId="72AB559A">
      <w:pPr>
        <w:keepNext w:val="0"/>
        <w:keepLines w:val="0"/>
        <w:pageBreakBefore w:val="0"/>
        <w:kinsoku/>
        <w:overflowPunct/>
        <w:topLinePunct w:val="0"/>
        <w:autoSpaceDE/>
        <w:autoSpaceDN/>
        <w:bidi w:val="0"/>
        <w:adjustRightInd w:val="0"/>
        <w:snapToGrid w:val="0"/>
        <w:spacing w:line="620" w:lineRule="exact"/>
        <w:ind w:firstLine="640" w:firstLineChars="200"/>
        <w:jc w:val="both"/>
        <w:textAlignment w:val="auto"/>
        <w:outlineLvl w:val="2"/>
        <w:rPr>
          <w:rFonts w:hint="eastAsia" w:ascii="仿宋_GB2312" w:hAnsi="仿宋_GB2312" w:eastAsia="仿宋_GB2312" w:cs="仿宋_GB2312"/>
          <w:b w:val="0"/>
          <w:bCs w:val="0"/>
          <w:color w:val="auto"/>
          <w:sz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第</w:t>
      </w:r>
      <w:r>
        <w:rPr>
          <w:rFonts w:hint="eastAsia" w:ascii="仿宋_GB2312" w:hAnsi="仿宋_GB2312" w:eastAsia="仿宋_GB2312" w:cs="仿宋_GB2312"/>
          <w:b w:val="0"/>
          <w:bCs w:val="0"/>
          <w:color w:val="auto"/>
          <w:sz w:val="32"/>
          <w:szCs w:val="32"/>
          <w:highlight w:val="none"/>
          <w:lang w:val="en-US" w:eastAsia="zh-CN"/>
        </w:rPr>
        <w:t>十一</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highlight w:val="none"/>
          <w:lang w:val="en-US" w:eastAsia="zh-CN"/>
        </w:rPr>
        <w:t>农村产权流转交易讨论表决事项应包括以下内容：</w:t>
      </w:r>
    </w:p>
    <w:p w14:paraId="35592BDA">
      <w:pPr>
        <w:keepNext w:val="0"/>
        <w:keepLines w:val="0"/>
        <w:pageBreakBefore w:val="0"/>
        <w:widowControl/>
        <w:numPr>
          <w:ilvl w:val="0"/>
          <w:numId w:val="0"/>
        </w:numPr>
        <w:kinsoku/>
        <w:overflowPunct/>
        <w:topLinePunct w:val="0"/>
        <w:autoSpaceDE/>
        <w:autoSpaceDN/>
        <w:bidi w:val="0"/>
        <w:snapToGrid w:val="0"/>
        <w:spacing w:before="50" w:after="50" w:line="620" w:lineRule="exact"/>
        <w:ind w:firstLine="640" w:firstLineChars="200"/>
        <w:jc w:val="both"/>
        <w:textAlignment w:val="auto"/>
        <w:rPr>
          <w:rFonts w:hint="eastAsia" w:ascii="仿宋_GB2312" w:hAnsi="仿宋_GB2312" w:eastAsia="仿宋_GB2312" w:cs="仿宋_GB2312"/>
          <w:b w:val="0"/>
          <w:bCs w:val="0"/>
          <w:color w:val="auto"/>
          <w:sz w:val="32"/>
          <w:highlight w:val="none"/>
          <w:lang w:val="en-US" w:eastAsia="zh-CN"/>
        </w:rPr>
      </w:pPr>
      <w:r>
        <w:rPr>
          <w:rFonts w:hint="eastAsia" w:ascii="仿宋_GB2312" w:hAnsi="仿宋_GB2312" w:eastAsia="仿宋_GB2312" w:cs="仿宋_GB2312"/>
          <w:b w:val="0"/>
          <w:bCs w:val="0"/>
          <w:color w:val="auto"/>
          <w:sz w:val="32"/>
          <w:highlight w:val="none"/>
          <w:lang w:val="en-US" w:eastAsia="zh-CN"/>
        </w:rPr>
        <w:t>（一）交易所涉资产的详细信息（包括现状与拟定用途）；</w:t>
      </w:r>
    </w:p>
    <w:p w14:paraId="75D060EB">
      <w:pPr>
        <w:keepNext w:val="0"/>
        <w:keepLines w:val="0"/>
        <w:pageBreakBefore w:val="0"/>
        <w:widowControl/>
        <w:kinsoku/>
        <w:overflowPunct/>
        <w:topLinePunct w:val="0"/>
        <w:autoSpaceDE/>
        <w:autoSpaceDN/>
        <w:bidi w:val="0"/>
        <w:snapToGrid w:val="0"/>
        <w:spacing w:before="50" w:after="50" w:line="620" w:lineRule="exact"/>
        <w:ind w:firstLine="640" w:firstLineChars="200"/>
        <w:jc w:val="both"/>
        <w:textAlignment w:val="auto"/>
        <w:rPr>
          <w:rFonts w:hint="eastAsia" w:ascii="仿宋_GB2312" w:hAnsi="仿宋_GB2312" w:eastAsia="仿宋_GB2312" w:cs="仿宋_GB2312"/>
          <w:b w:val="0"/>
          <w:bCs w:val="0"/>
          <w:color w:val="auto"/>
          <w:sz w:val="32"/>
          <w:highlight w:val="none"/>
          <w:lang w:val="en-US" w:eastAsia="zh-CN"/>
        </w:rPr>
      </w:pPr>
      <w:r>
        <w:rPr>
          <w:rFonts w:hint="eastAsia" w:ascii="仿宋_GB2312" w:hAnsi="仿宋_GB2312" w:eastAsia="仿宋_GB2312" w:cs="仿宋_GB2312"/>
          <w:b w:val="0"/>
          <w:bCs w:val="0"/>
          <w:color w:val="auto"/>
          <w:sz w:val="32"/>
          <w:highlight w:val="none"/>
          <w:lang w:val="en-US" w:eastAsia="zh-CN"/>
        </w:rPr>
        <w:t>（二）交易方式及竞投人资格条件；</w:t>
      </w:r>
    </w:p>
    <w:p w14:paraId="08F32E87">
      <w:pPr>
        <w:keepNext w:val="0"/>
        <w:keepLines w:val="0"/>
        <w:pageBreakBefore w:val="0"/>
        <w:widowControl/>
        <w:kinsoku/>
        <w:overflowPunct/>
        <w:topLinePunct w:val="0"/>
        <w:autoSpaceDE/>
        <w:autoSpaceDN/>
        <w:bidi w:val="0"/>
        <w:snapToGrid w:val="0"/>
        <w:spacing w:before="50" w:after="50" w:line="620" w:lineRule="exact"/>
        <w:ind w:firstLine="640" w:firstLineChars="200"/>
        <w:jc w:val="both"/>
        <w:textAlignment w:val="auto"/>
        <w:rPr>
          <w:rFonts w:hint="eastAsia" w:ascii="仿宋_GB2312" w:hAnsi="仿宋_GB2312" w:eastAsia="仿宋_GB2312" w:cs="仿宋_GB2312"/>
          <w:b w:val="0"/>
          <w:bCs w:val="0"/>
          <w:color w:val="auto"/>
          <w:sz w:val="32"/>
          <w:highlight w:val="none"/>
          <w:lang w:val="en-US" w:eastAsia="zh-CN"/>
        </w:rPr>
      </w:pPr>
      <w:r>
        <w:rPr>
          <w:rFonts w:hint="eastAsia" w:ascii="仿宋_GB2312" w:hAnsi="仿宋_GB2312" w:eastAsia="仿宋_GB2312" w:cs="仿宋_GB2312"/>
          <w:b w:val="0"/>
          <w:bCs w:val="0"/>
          <w:color w:val="auto"/>
          <w:sz w:val="32"/>
          <w:highlight w:val="none"/>
          <w:lang w:val="en-US" w:eastAsia="zh-CN"/>
        </w:rPr>
        <w:t>（三）交易底价及递增幅度；</w:t>
      </w:r>
    </w:p>
    <w:p w14:paraId="6076C093">
      <w:pPr>
        <w:keepNext w:val="0"/>
        <w:keepLines w:val="0"/>
        <w:pageBreakBefore w:val="0"/>
        <w:widowControl/>
        <w:kinsoku/>
        <w:overflowPunct/>
        <w:topLinePunct w:val="0"/>
        <w:autoSpaceDE/>
        <w:autoSpaceDN/>
        <w:bidi w:val="0"/>
        <w:snapToGrid w:val="0"/>
        <w:spacing w:before="50" w:after="50" w:line="620" w:lineRule="exact"/>
        <w:ind w:firstLine="640" w:firstLineChars="200"/>
        <w:jc w:val="both"/>
        <w:textAlignment w:val="auto"/>
        <w:rPr>
          <w:rFonts w:hint="eastAsia" w:ascii="仿宋_GB2312" w:hAnsi="仿宋_GB2312" w:eastAsia="仿宋_GB2312" w:cs="仿宋_GB2312"/>
          <w:b w:val="0"/>
          <w:bCs w:val="0"/>
          <w:color w:val="auto"/>
          <w:sz w:val="32"/>
          <w:highlight w:val="none"/>
          <w:lang w:val="en-US" w:eastAsia="zh-CN"/>
        </w:rPr>
      </w:pPr>
      <w:r>
        <w:rPr>
          <w:rFonts w:hint="eastAsia" w:ascii="仿宋_GB2312" w:hAnsi="仿宋_GB2312" w:eastAsia="仿宋_GB2312" w:cs="仿宋_GB2312"/>
          <w:b w:val="0"/>
          <w:bCs w:val="0"/>
          <w:color w:val="auto"/>
          <w:sz w:val="32"/>
          <w:highlight w:val="none"/>
          <w:lang w:val="en-US" w:eastAsia="zh-CN"/>
        </w:rPr>
        <w:t>（四）交易保证金数额；</w:t>
      </w:r>
    </w:p>
    <w:p w14:paraId="39D6EEEF">
      <w:pPr>
        <w:keepNext w:val="0"/>
        <w:keepLines w:val="0"/>
        <w:pageBreakBefore w:val="0"/>
        <w:widowControl/>
        <w:kinsoku/>
        <w:overflowPunct/>
        <w:topLinePunct w:val="0"/>
        <w:autoSpaceDE/>
        <w:autoSpaceDN/>
        <w:bidi w:val="0"/>
        <w:snapToGrid w:val="0"/>
        <w:spacing w:before="50" w:after="50" w:line="620" w:lineRule="exact"/>
        <w:ind w:firstLine="640" w:firstLineChars="200"/>
        <w:jc w:val="both"/>
        <w:textAlignment w:val="auto"/>
        <w:rPr>
          <w:rFonts w:hint="eastAsia" w:ascii="仿宋_GB2312" w:hAnsi="仿宋_GB2312" w:eastAsia="仿宋_GB2312" w:cs="仿宋_GB2312"/>
          <w:b w:val="0"/>
          <w:bCs w:val="0"/>
          <w:color w:val="auto"/>
          <w:sz w:val="32"/>
          <w:highlight w:val="none"/>
          <w:lang w:val="en-US" w:eastAsia="zh-CN"/>
        </w:rPr>
      </w:pPr>
      <w:r>
        <w:rPr>
          <w:rFonts w:hint="eastAsia" w:ascii="仿宋_GB2312" w:hAnsi="仿宋_GB2312" w:eastAsia="仿宋_GB2312" w:cs="仿宋_GB2312"/>
          <w:b w:val="0"/>
          <w:bCs w:val="0"/>
          <w:color w:val="auto"/>
          <w:sz w:val="32"/>
          <w:highlight w:val="none"/>
          <w:lang w:val="en-US" w:eastAsia="zh-CN"/>
        </w:rPr>
        <w:t>（五）合同期限及履约保证金数额；</w:t>
      </w:r>
    </w:p>
    <w:p w14:paraId="1684B2AA">
      <w:pPr>
        <w:keepNext w:val="0"/>
        <w:keepLines w:val="0"/>
        <w:pageBreakBefore w:val="0"/>
        <w:widowControl/>
        <w:kinsoku/>
        <w:overflowPunct/>
        <w:topLinePunct w:val="0"/>
        <w:autoSpaceDE/>
        <w:autoSpaceDN/>
        <w:bidi w:val="0"/>
        <w:snapToGrid w:val="0"/>
        <w:spacing w:before="50" w:after="50" w:line="620" w:lineRule="exact"/>
        <w:ind w:firstLine="640" w:firstLineChars="200"/>
        <w:jc w:val="both"/>
        <w:textAlignment w:val="auto"/>
        <w:rPr>
          <w:rFonts w:hint="default" w:ascii="仿宋_GB2312" w:hAnsi="仿宋_GB2312" w:eastAsia="仿宋_GB2312" w:cs="仿宋_GB2312"/>
          <w:b w:val="0"/>
          <w:bCs w:val="0"/>
          <w:color w:val="auto"/>
          <w:sz w:val="32"/>
          <w:highlight w:val="none"/>
          <w:lang w:val="en-US" w:eastAsia="zh-CN"/>
        </w:rPr>
      </w:pPr>
      <w:r>
        <w:rPr>
          <w:rFonts w:hint="eastAsia" w:ascii="仿宋_GB2312" w:hAnsi="仿宋_GB2312" w:eastAsia="仿宋_GB2312" w:cs="仿宋_GB2312"/>
          <w:b w:val="0"/>
          <w:bCs w:val="0"/>
          <w:color w:val="auto"/>
          <w:sz w:val="32"/>
          <w:highlight w:val="none"/>
          <w:lang w:val="en-US" w:eastAsia="zh-CN"/>
        </w:rPr>
        <w:t>（六）合同范本；</w:t>
      </w:r>
    </w:p>
    <w:p w14:paraId="377605C0">
      <w:pPr>
        <w:keepNext w:val="0"/>
        <w:keepLines w:val="0"/>
        <w:pageBreakBefore w:val="0"/>
        <w:widowControl/>
        <w:kinsoku/>
        <w:wordWrap/>
        <w:overflowPunct/>
        <w:topLinePunct w:val="0"/>
        <w:autoSpaceDE/>
        <w:autoSpaceDN/>
        <w:bidi w:val="0"/>
        <w:adjustRightInd/>
        <w:snapToGrid w:val="0"/>
        <w:spacing w:before="50" w:after="50" w:line="620" w:lineRule="exact"/>
        <w:ind w:firstLine="640" w:firstLineChars="200"/>
        <w:jc w:val="both"/>
        <w:textAlignment w:val="auto"/>
        <w:outlineLvl w:val="9"/>
        <w:rPr>
          <w:rFonts w:hint="eastAsia" w:ascii="Times New Roman" w:hAnsi="Times New Roman" w:eastAsia="黑体" w:cs="Times New Roman"/>
          <w:b w:val="0"/>
          <w:bCs w:val="0"/>
          <w:color w:val="auto"/>
          <w:kern w:val="0"/>
          <w:sz w:val="32"/>
          <w:szCs w:val="32"/>
          <w:highlight w:val="none"/>
          <w:lang w:val="en-US" w:eastAsia="zh-CN"/>
        </w:rPr>
      </w:pPr>
      <w:r>
        <w:rPr>
          <w:rFonts w:hint="eastAsia" w:ascii="仿宋_GB2312" w:hAnsi="仿宋_GB2312" w:eastAsia="仿宋_GB2312" w:cs="仿宋_GB2312"/>
          <w:b w:val="0"/>
          <w:bCs w:val="0"/>
          <w:color w:val="auto"/>
          <w:sz w:val="32"/>
          <w:highlight w:val="none"/>
          <w:lang w:val="en-US" w:eastAsia="zh-CN"/>
        </w:rPr>
        <w:t>（七）其他与项目相关的特殊要求。</w:t>
      </w:r>
    </w:p>
    <w:p w14:paraId="0EC8D312">
      <w:pPr>
        <w:keepNext w:val="0"/>
        <w:keepLines w:val="0"/>
        <w:pageBreakBefore w:val="0"/>
        <w:widowControl w:val="0"/>
        <w:kinsoku/>
        <w:wordWrap/>
        <w:overflowPunct/>
        <w:topLinePunct w:val="0"/>
        <w:autoSpaceDE/>
        <w:autoSpaceDN/>
        <w:bidi w:val="0"/>
        <w:adjustRightInd/>
        <w:snapToGrid w:val="0"/>
        <w:spacing w:before="200" w:after="200" w:line="620" w:lineRule="exact"/>
        <w:jc w:val="center"/>
        <w:textAlignment w:val="auto"/>
        <w:outlineLvl w:val="1"/>
        <w:rPr>
          <w:rFonts w:hint="default" w:ascii="Times New Roman" w:hAnsi="Times New Roman" w:eastAsia="黑体" w:cs="Times New Roman"/>
          <w:b w:val="0"/>
          <w:bCs w:val="0"/>
          <w:color w:val="auto"/>
          <w:kern w:val="0"/>
          <w:sz w:val="32"/>
          <w:szCs w:val="32"/>
          <w:highlight w:val="none"/>
          <w:lang w:val="en-US" w:eastAsia="zh-CN"/>
        </w:rPr>
      </w:pPr>
      <w:r>
        <w:rPr>
          <w:rFonts w:hint="eastAsia" w:ascii="Times New Roman" w:hAnsi="Times New Roman" w:eastAsia="黑体" w:cs="Times New Roman"/>
          <w:b w:val="0"/>
          <w:bCs w:val="0"/>
          <w:color w:val="auto"/>
          <w:kern w:val="0"/>
          <w:sz w:val="32"/>
          <w:szCs w:val="32"/>
          <w:highlight w:val="none"/>
          <w:lang w:val="en-US" w:eastAsia="zh-CN"/>
        </w:rPr>
        <w:t>第四章  审批管理</w:t>
      </w:r>
    </w:p>
    <w:p w14:paraId="7BDCB5D8">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outlineLvl w:val="2"/>
        <w:rPr>
          <w:rFonts w:hint="eastAsia" w:ascii="仿宋_GB2312" w:hAnsi="仿宋_GB2312" w:eastAsia="仿宋_GB2312" w:cs="仿宋_GB2312"/>
          <w:b w:val="0"/>
          <w:bCs w:val="0"/>
          <w:color w:val="auto"/>
          <w:sz w:val="32"/>
          <w:highlight w:val="none"/>
          <w:lang w:val="en-US" w:eastAsia="zh-CN"/>
        </w:rPr>
      </w:pPr>
      <w:r>
        <w:rPr>
          <w:rFonts w:hint="eastAsia" w:ascii="仿宋_GB2312" w:hAnsi="仿宋_GB2312" w:eastAsia="仿宋_GB2312" w:cs="仿宋_GB2312"/>
          <w:b w:val="0"/>
          <w:bCs w:val="0"/>
          <w:color w:val="auto"/>
          <w:sz w:val="32"/>
          <w:szCs w:val="32"/>
          <w:highlight w:val="none"/>
        </w:rPr>
        <w:t>第</w:t>
      </w:r>
      <w:r>
        <w:rPr>
          <w:rFonts w:hint="eastAsia" w:ascii="仿宋_GB2312" w:hAnsi="仿宋_GB2312" w:eastAsia="仿宋_GB2312" w:cs="仿宋_GB2312"/>
          <w:b w:val="0"/>
          <w:bCs w:val="0"/>
          <w:color w:val="auto"/>
          <w:sz w:val="32"/>
          <w:szCs w:val="32"/>
          <w:highlight w:val="none"/>
          <w:lang w:val="en-US" w:eastAsia="zh-CN"/>
        </w:rPr>
        <w:t>十二</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highlight w:val="none"/>
          <w:lang w:val="en-US" w:eastAsia="zh-CN"/>
        </w:rPr>
        <w:t>村（社区）每月对即将到期（6个月内）的产权流转经济合同进行梳理，按本办法相关规定开展民主议决并提交项目交易审批。对于因特殊原因未能及时流转交易的土地和资产，集体经济组织应加强管理，避免集体资产被侵占或被违规使用。</w:t>
      </w:r>
    </w:p>
    <w:p w14:paraId="0499DB60">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highlight w:val="none"/>
          <w:lang w:val="en-US" w:eastAsia="zh-CN"/>
        </w:rPr>
        <w:t>第十三条 经审核批复的项目，如涉及交易价格、合同期限等交易核心事项变更的，应重新提交审核。</w:t>
      </w:r>
    </w:p>
    <w:p w14:paraId="3DA84593">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jc w:val="both"/>
        <w:textAlignment w:val="auto"/>
        <w:outlineLvl w:val="2"/>
        <w:rPr>
          <w:rFonts w:hint="eastAsia" w:ascii="仿宋_GB2312" w:hAnsi="仿宋_GB2312" w:eastAsia="仿宋_GB2312" w:cs="仿宋_GB2312"/>
          <w:b w:val="0"/>
          <w:bCs w:val="0"/>
          <w:color w:val="auto"/>
          <w:sz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第十四</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highlight w:val="none"/>
          <w:lang w:val="en-US" w:eastAsia="zh-CN"/>
        </w:rPr>
        <w:t xml:space="preserve"> 集体土地资源管理</w:t>
      </w:r>
    </w:p>
    <w:p w14:paraId="3D0DAD45">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outlineLvl w:val="2"/>
        <w:rPr>
          <w:rFonts w:hint="eastAsia" w:ascii="仿宋_GB2312" w:hAnsi="仿宋_GB2312" w:eastAsia="仿宋_GB2312" w:cs="仿宋_GB2312"/>
          <w:b w:val="0"/>
          <w:bCs w:val="0"/>
          <w:color w:val="auto"/>
          <w:sz w:val="32"/>
          <w:szCs w:val="24"/>
          <w:highlight w:val="none"/>
          <w:lang w:val="en-US" w:eastAsia="zh-CN"/>
        </w:rPr>
      </w:pPr>
      <w:r>
        <w:rPr>
          <w:rFonts w:hint="eastAsia" w:ascii="仿宋_GB2312" w:hAnsi="仿宋_GB2312" w:eastAsia="仿宋_GB2312" w:cs="仿宋_GB2312"/>
          <w:b w:val="0"/>
          <w:bCs w:val="0"/>
          <w:color w:val="auto"/>
          <w:sz w:val="32"/>
          <w:szCs w:val="24"/>
          <w:highlight w:val="none"/>
          <w:lang w:val="en-US" w:eastAsia="zh-CN"/>
        </w:rPr>
        <w:t>（一）建设用地租赁</w:t>
      </w:r>
    </w:p>
    <w:p w14:paraId="5EA6D2B9">
      <w:pPr>
        <w:keepNext w:val="0"/>
        <w:keepLines w:val="0"/>
        <w:pageBreakBefore w:val="0"/>
        <w:numPr>
          <w:ilvl w:val="0"/>
          <w:numId w:val="0"/>
        </w:numPr>
        <w:kinsoku/>
        <w:overflowPunct/>
        <w:topLinePunct w:val="0"/>
        <w:autoSpaceDE/>
        <w:autoSpaceDN/>
        <w:bidi w:val="0"/>
        <w:adjustRightInd w:val="0"/>
        <w:snapToGrid w:val="0"/>
        <w:spacing w:line="620" w:lineRule="exact"/>
        <w:ind w:firstLine="640" w:firstLineChars="200"/>
        <w:jc w:val="both"/>
        <w:textAlignment w:val="auto"/>
        <w:rPr>
          <w:rFonts w:hint="eastAsia" w:ascii="仿宋_GB2312" w:hAnsi="仿宋_GB2312" w:eastAsia="仿宋_GB2312" w:cs="仿宋_GB2312"/>
          <w:b w:val="0"/>
          <w:bCs w:val="0"/>
          <w:color w:val="auto"/>
          <w:sz w:val="32"/>
          <w:highlight w:val="none"/>
          <w:lang w:val="en-US" w:eastAsia="zh-CN"/>
        </w:rPr>
      </w:pPr>
      <w:r>
        <w:rPr>
          <w:rFonts w:hint="eastAsia" w:ascii="仿宋_GB2312" w:hAnsi="仿宋_GB2312" w:eastAsia="仿宋_GB2312" w:cs="仿宋_GB2312"/>
          <w:b w:val="0"/>
          <w:bCs w:val="0"/>
          <w:color w:val="auto"/>
          <w:sz w:val="32"/>
          <w:highlight w:val="none"/>
          <w:lang w:val="en-US" w:eastAsia="zh-CN"/>
        </w:rPr>
        <w:t>1.建设用地在办理合法用地手续之前，禁止新建或加建任何建筑物；已办理土地产权证相关手续的，新建或加建建筑物需严格</w:t>
      </w:r>
      <w:r>
        <w:rPr>
          <w:rFonts w:hint="eastAsia" w:ascii="仿宋_GB2312" w:hAnsi="仿宋_GB2312" w:eastAsia="仿宋_GB2312" w:cs="仿宋_GB2312"/>
          <w:b w:val="0"/>
          <w:bCs w:val="0"/>
          <w:color w:val="auto"/>
          <w:sz w:val="32"/>
          <w:highlight w:val="none"/>
          <w:lang w:eastAsia="zh-CN"/>
        </w:rPr>
        <w:t>履行</w:t>
      </w:r>
      <w:r>
        <w:rPr>
          <w:rFonts w:hint="eastAsia" w:ascii="仿宋_GB2312" w:hAnsi="仿宋_GB2312" w:eastAsia="仿宋_GB2312" w:cs="仿宋_GB2312"/>
          <w:b w:val="0"/>
          <w:bCs w:val="0"/>
          <w:color w:val="auto"/>
          <w:sz w:val="32"/>
          <w:highlight w:val="none"/>
          <w:lang w:val="en-US" w:eastAsia="zh-CN"/>
        </w:rPr>
        <w:t>报建手续。</w:t>
      </w:r>
    </w:p>
    <w:p w14:paraId="1495BE3B">
      <w:pPr>
        <w:keepNext w:val="0"/>
        <w:keepLines w:val="0"/>
        <w:pageBreakBefore w:val="0"/>
        <w:numPr>
          <w:ilvl w:val="0"/>
          <w:numId w:val="0"/>
        </w:numPr>
        <w:kinsoku/>
        <w:overflowPunct/>
        <w:topLinePunct w:val="0"/>
        <w:autoSpaceDE/>
        <w:autoSpaceDN/>
        <w:bidi w:val="0"/>
        <w:adjustRightInd w:val="0"/>
        <w:snapToGrid w:val="0"/>
        <w:spacing w:line="620" w:lineRule="exact"/>
        <w:ind w:firstLine="640" w:firstLineChars="200"/>
        <w:jc w:val="both"/>
        <w:textAlignment w:val="auto"/>
        <w:rPr>
          <w:rFonts w:hint="eastAsia" w:ascii="仿宋_GB2312" w:hAnsi="仿宋_GB2312" w:eastAsia="仿宋_GB2312" w:cs="仿宋_GB2312"/>
          <w:b w:val="0"/>
          <w:bCs w:val="0"/>
          <w:color w:val="auto"/>
          <w:sz w:val="32"/>
          <w:highlight w:val="none"/>
          <w:lang w:val="en-US" w:eastAsia="zh-CN"/>
        </w:rPr>
      </w:pPr>
      <w:r>
        <w:rPr>
          <w:rFonts w:hint="eastAsia" w:ascii="仿宋_GB2312" w:hAnsi="仿宋_GB2312" w:eastAsia="仿宋_GB2312" w:cs="仿宋_GB2312"/>
          <w:b w:val="0"/>
          <w:bCs w:val="0"/>
          <w:color w:val="auto"/>
          <w:sz w:val="32"/>
          <w:highlight w:val="none"/>
          <w:lang w:val="en-US" w:eastAsia="zh-CN"/>
        </w:rPr>
        <w:t>2.禁止在合同条款内以承诺到期后可续租年限或附带延长租赁期限的合同（补充协议）等形式突破20年的租赁期限。</w:t>
      </w:r>
    </w:p>
    <w:p w14:paraId="3B79E8DA">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jc w:val="both"/>
        <w:textAlignment w:val="auto"/>
        <w:rPr>
          <w:rFonts w:hint="eastAsia" w:ascii="仿宋_GB2312" w:hAnsi="仿宋_GB2312" w:eastAsia="仿宋_GB2312" w:cs="仿宋_GB2312"/>
          <w:b w:val="0"/>
          <w:bCs w:val="0"/>
          <w:color w:val="auto"/>
          <w:sz w:val="32"/>
          <w:highlight w:val="none"/>
          <w:lang w:val="en-US" w:eastAsia="zh-CN"/>
        </w:rPr>
      </w:pPr>
      <w:r>
        <w:rPr>
          <w:rFonts w:hint="eastAsia" w:ascii="仿宋_GB2312" w:hAnsi="仿宋_GB2312" w:eastAsia="仿宋_GB2312" w:cs="仿宋_GB2312"/>
          <w:b w:val="0"/>
          <w:bCs w:val="0"/>
          <w:color w:val="auto"/>
          <w:sz w:val="32"/>
          <w:highlight w:val="none"/>
          <w:lang w:val="en-US" w:eastAsia="zh-CN"/>
        </w:rPr>
        <w:t>3.建设用地出租时，应有合同相关条款约定由承租方建设的不可移动建筑物、固定设施在合同到期后的产权归属，避免争议。</w:t>
      </w:r>
    </w:p>
    <w:p w14:paraId="2FF92520">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jc w:val="both"/>
        <w:textAlignment w:val="auto"/>
        <w:rPr>
          <w:rFonts w:hint="eastAsia" w:ascii="仿宋_GB2312" w:hAnsi="仿宋_GB2312" w:eastAsia="仿宋_GB2312" w:cs="仿宋_GB2312"/>
          <w:b w:val="0"/>
          <w:bCs w:val="0"/>
          <w:color w:val="auto"/>
          <w:sz w:val="32"/>
          <w:highlight w:val="none"/>
          <w:lang w:val="en-US" w:eastAsia="zh-CN"/>
        </w:rPr>
      </w:pPr>
      <w:r>
        <w:rPr>
          <w:rFonts w:hint="eastAsia" w:ascii="仿宋_GB2312" w:hAnsi="仿宋_GB2312" w:eastAsia="仿宋_GB2312" w:cs="仿宋_GB2312"/>
          <w:b w:val="0"/>
          <w:bCs w:val="0"/>
          <w:color w:val="auto"/>
          <w:sz w:val="32"/>
          <w:highlight w:val="none"/>
          <w:lang w:val="en-US" w:eastAsia="zh-CN"/>
        </w:rPr>
        <w:t>4.对于涉及“三旧”改造、“政府储备用地”等土地临时租赁，应与承租人公开协商，经民主议事程序表决同意并提交部门审核后，签订不定期临时租赁合同或委托管理合同，临时租赁合同期限一般不超过2年，如遇特殊情况，经民主议事程序通过和部门审批后，可适当延长临时租赁合同期限。</w:t>
      </w:r>
    </w:p>
    <w:p w14:paraId="74A60AAA">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outlineLvl w:val="2"/>
        <w:rPr>
          <w:rFonts w:hint="eastAsia" w:ascii="仿宋_GB2312" w:hAnsi="仿宋_GB2312" w:eastAsia="仿宋_GB2312" w:cs="仿宋_GB2312"/>
          <w:b w:val="0"/>
          <w:bCs w:val="0"/>
          <w:color w:val="auto"/>
          <w:sz w:val="32"/>
          <w:szCs w:val="24"/>
          <w:highlight w:val="none"/>
          <w:lang w:val="en-US" w:eastAsia="zh-CN"/>
        </w:rPr>
      </w:pPr>
      <w:r>
        <w:rPr>
          <w:rFonts w:hint="eastAsia" w:ascii="仿宋_GB2312" w:hAnsi="仿宋_GB2312" w:eastAsia="仿宋_GB2312" w:cs="仿宋_GB2312"/>
          <w:b w:val="0"/>
          <w:bCs w:val="0"/>
          <w:color w:val="auto"/>
          <w:sz w:val="32"/>
          <w:szCs w:val="24"/>
          <w:highlight w:val="none"/>
          <w:lang w:val="en-US" w:eastAsia="zh-CN"/>
        </w:rPr>
        <w:t>（二）农用地承包或流转</w:t>
      </w:r>
    </w:p>
    <w:p w14:paraId="0EDF0711">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jc w:val="both"/>
        <w:textAlignment w:val="auto"/>
        <w:rPr>
          <w:rFonts w:hint="eastAsia" w:ascii="仿宋_GB2312" w:hAnsi="仿宋_GB2312" w:eastAsia="仿宋_GB2312" w:cs="仿宋_GB2312"/>
          <w:b w:val="0"/>
          <w:bCs w:val="0"/>
          <w:color w:val="auto"/>
          <w:sz w:val="32"/>
          <w:highlight w:val="none"/>
          <w:lang w:val="en-US" w:eastAsia="zh-CN"/>
        </w:rPr>
      </w:pPr>
      <w:r>
        <w:rPr>
          <w:rFonts w:hint="eastAsia" w:ascii="仿宋_GB2312" w:hAnsi="仿宋_GB2312" w:eastAsia="仿宋_GB2312" w:cs="仿宋_GB2312"/>
          <w:b w:val="0"/>
          <w:bCs w:val="0"/>
          <w:color w:val="auto"/>
          <w:sz w:val="32"/>
          <w:highlight w:val="none"/>
          <w:lang w:val="en-US" w:eastAsia="zh-CN"/>
        </w:rPr>
        <w:t>1.农用地流转期限一般不超过5年。如租赁面积较大、前期投资大、回报周期长或经相关职能部门确认属产业引进等特殊情况，可延长流转期限，但最长不得超过20年。</w:t>
      </w:r>
    </w:p>
    <w:p w14:paraId="7D5AEFCC">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jc w:val="both"/>
        <w:textAlignment w:val="auto"/>
        <w:rPr>
          <w:rFonts w:hint="eastAsia" w:ascii="仿宋_GB2312" w:hAnsi="仿宋_GB2312" w:eastAsia="仿宋_GB2312" w:cs="仿宋_GB2312"/>
          <w:b w:val="0"/>
          <w:bCs w:val="0"/>
          <w:color w:val="auto"/>
          <w:sz w:val="32"/>
          <w:highlight w:val="none"/>
          <w:lang w:val="en-US" w:eastAsia="zh-CN"/>
        </w:rPr>
      </w:pPr>
      <w:r>
        <w:rPr>
          <w:rFonts w:hint="eastAsia" w:ascii="仿宋_GB2312" w:hAnsi="仿宋_GB2312" w:eastAsia="仿宋_GB2312" w:cs="仿宋_GB2312"/>
          <w:b w:val="0"/>
          <w:bCs w:val="0"/>
          <w:color w:val="auto"/>
          <w:sz w:val="32"/>
          <w:highlight w:val="none"/>
          <w:lang w:val="en-US" w:eastAsia="zh-CN"/>
        </w:rPr>
        <w:t>2.土地利用规划为耕地的，严禁承包耕地新增挖塘养鱼、种植苗木、草皮、非农建设等破坏耕作层的生产经营行为，属于永久基本农田保护区的应重点用于稻谷、玉米和薯类等粮食作物生产；</w:t>
      </w:r>
    </w:p>
    <w:p w14:paraId="1F6F06E0">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jc w:val="both"/>
        <w:textAlignment w:val="auto"/>
        <w:rPr>
          <w:rFonts w:hint="eastAsia" w:ascii="仿宋_GB2312" w:hAnsi="仿宋_GB2312" w:eastAsia="仿宋_GB2312" w:cs="仿宋_GB2312"/>
          <w:b w:val="0"/>
          <w:bCs w:val="0"/>
          <w:color w:val="auto"/>
          <w:sz w:val="32"/>
          <w:highlight w:val="none"/>
          <w:lang w:val="en-US" w:eastAsia="zh-CN"/>
        </w:rPr>
      </w:pPr>
      <w:r>
        <w:rPr>
          <w:rFonts w:hint="eastAsia" w:ascii="仿宋_GB2312" w:hAnsi="仿宋_GB2312" w:eastAsia="仿宋_GB2312" w:cs="仿宋_GB2312"/>
          <w:b w:val="0"/>
          <w:bCs w:val="0"/>
          <w:color w:val="auto"/>
          <w:sz w:val="32"/>
          <w:highlight w:val="none"/>
          <w:lang w:val="en-US" w:eastAsia="zh-CN"/>
        </w:rPr>
        <w:t>3.土地利用规划为耕地，现状是鱼塘、草皮或已硬底化等破坏耕作层生产经营类型，且属于2020年度国土变更调查后新增或纳入镇复耕范围的，应按复耕要求予以整改后发包，经营类型必须符合耕地种植规定，通过调整种植结构实现复耕；未纳入镇复耕范围的，可保持现状经营，根据现行政策逐步引导土地生产经营类型向农业种植类转型。</w:t>
      </w:r>
    </w:p>
    <w:p w14:paraId="567C3C47">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jc w:val="both"/>
        <w:textAlignment w:val="auto"/>
        <w:rPr>
          <w:rFonts w:hint="eastAsia" w:ascii="仿宋_GB2312" w:hAnsi="仿宋_GB2312" w:eastAsia="仿宋_GB2312" w:cs="仿宋_GB2312"/>
          <w:b w:val="0"/>
          <w:bCs w:val="0"/>
          <w:color w:val="auto"/>
          <w:sz w:val="32"/>
          <w:highlight w:val="none"/>
          <w:lang w:val="en-US" w:eastAsia="zh-CN"/>
        </w:rPr>
      </w:pPr>
      <w:r>
        <w:rPr>
          <w:rFonts w:hint="eastAsia" w:ascii="仿宋_GB2312" w:hAnsi="仿宋_GB2312" w:eastAsia="仿宋_GB2312" w:cs="仿宋_GB2312"/>
          <w:b w:val="0"/>
          <w:bCs w:val="0"/>
          <w:color w:val="auto"/>
          <w:sz w:val="32"/>
          <w:highlight w:val="none"/>
          <w:lang w:val="en-US" w:eastAsia="zh-CN"/>
        </w:rPr>
        <w:t>4. 涉及水利保护用地到期后重新交易的，需严格按照水利部门有关意见开展生产经营。</w:t>
      </w:r>
    </w:p>
    <w:p w14:paraId="3ACE6C35">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jc w:val="both"/>
        <w:textAlignment w:val="auto"/>
        <w:rPr>
          <w:rFonts w:hint="eastAsia" w:ascii="仿宋_GB2312" w:hAnsi="仿宋_GB2312" w:eastAsia="仿宋_GB2312" w:cs="仿宋_GB2312"/>
          <w:b w:val="0"/>
          <w:bCs w:val="0"/>
          <w:color w:val="auto"/>
          <w:sz w:val="32"/>
          <w:highlight w:val="none"/>
          <w:lang w:val="en-US" w:eastAsia="zh-CN"/>
        </w:rPr>
      </w:pPr>
      <w:r>
        <w:rPr>
          <w:rFonts w:hint="eastAsia" w:ascii="仿宋_GB2312" w:hAnsi="仿宋_GB2312" w:eastAsia="仿宋_GB2312" w:cs="仿宋_GB2312"/>
          <w:b w:val="0"/>
          <w:bCs w:val="0"/>
          <w:color w:val="auto"/>
          <w:sz w:val="32"/>
          <w:highlight w:val="none"/>
          <w:lang w:val="en-US" w:eastAsia="zh-CN"/>
        </w:rPr>
        <w:t>5. 鼓励农用地适度规模经营，农村集体经济组织可选择统租统管模式。通过民主决策和公开程序后，选择合适的经营方案，并按照市级文件要求对流转面积较大的单个项目实施备案。已录入平台的农用地一般不得随意拆分，如确有拆分需要，应报镇农业农村局及镇分管农业农村工作领导审批后再通过一体化平台操作。</w:t>
      </w:r>
    </w:p>
    <w:p w14:paraId="6A361532">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jc w:val="both"/>
        <w:textAlignment w:val="auto"/>
        <w:rPr>
          <w:rFonts w:hint="eastAsia" w:ascii="仿宋_GB2312" w:hAnsi="仿宋_GB2312" w:eastAsia="仿宋_GB2312" w:cs="仿宋_GB2312"/>
          <w:b w:val="0"/>
          <w:bCs w:val="0"/>
          <w:color w:val="auto"/>
          <w:sz w:val="32"/>
          <w:highlight w:val="none"/>
          <w:lang w:val="en-US" w:eastAsia="zh-CN"/>
        </w:rPr>
      </w:pPr>
      <w:r>
        <w:rPr>
          <w:rFonts w:hint="eastAsia" w:ascii="仿宋_GB2312" w:hAnsi="仿宋_GB2312" w:eastAsia="仿宋_GB2312" w:cs="仿宋_GB2312"/>
          <w:b w:val="0"/>
          <w:bCs w:val="0"/>
          <w:color w:val="auto"/>
          <w:sz w:val="32"/>
          <w:highlight w:val="none"/>
          <w:lang w:val="en-US" w:eastAsia="zh-CN"/>
        </w:rPr>
        <w:t>6.加强窝棚整治，合同已到期的发包项目需完成窝棚整治才可提交审批，如提前审批流程的需由集体经济组织出具</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窝棚整治承诺书，并确保合同到期后完成窝棚整治。</w:t>
      </w:r>
    </w:p>
    <w:p w14:paraId="7382F874">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jc w:val="both"/>
        <w:textAlignment w:val="auto"/>
        <w:outlineLvl w:val="2"/>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val="0"/>
          <w:bCs w:val="0"/>
          <w:color w:val="auto"/>
          <w:sz w:val="32"/>
          <w:szCs w:val="32"/>
          <w:highlight w:val="none"/>
          <w:lang w:eastAsia="zh-CN"/>
        </w:rPr>
        <w:t>第十五</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highlight w:val="none"/>
          <w:lang w:val="en-US" w:eastAsia="zh-CN"/>
        </w:rPr>
        <w:t xml:space="preserve"> 如制定的资产交易方案违反土地资源管理规定，则审批不通过；交易受让人签订合同后因违反土地资源管理和交易合同有关规定开展经营的，由有关职能部门负责查处，发包、承包方必须无条件配合实施，如涉及相关整治费用的，由交易受让人承担。</w:t>
      </w:r>
    </w:p>
    <w:p w14:paraId="6037B659">
      <w:pPr>
        <w:keepNext w:val="0"/>
        <w:keepLines w:val="0"/>
        <w:pageBreakBefore w:val="0"/>
        <w:widowControl w:val="0"/>
        <w:kinsoku/>
        <w:wordWrap/>
        <w:overflowPunct/>
        <w:topLinePunct w:val="0"/>
        <w:autoSpaceDE/>
        <w:autoSpaceDN/>
        <w:bidi w:val="0"/>
        <w:adjustRightInd/>
        <w:snapToGrid w:val="0"/>
        <w:spacing w:before="200" w:after="200" w:line="620" w:lineRule="exact"/>
        <w:jc w:val="center"/>
        <w:textAlignment w:val="auto"/>
        <w:outlineLvl w:val="1"/>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第五章   交易方式及程序</w:t>
      </w:r>
    </w:p>
    <w:p w14:paraId="1A181F7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第十六</w:t>
      </w:r>
      <w:r>
        <w:rPr>
          <w:rFonts w:hint="eastAsia" w:ascii="仿宋_GB2312" w:hAnsi="仿宋_GB2312" w:eastAsia="仿宋_GB2312" w:cs="仿宋_GB2312"/>
          <w:b w:val="0"/>
          <w:bCs w:val="0"/>
          <w:color w:val="auto"/>
          <w:sz w:val="32"/>
          <w:szCs w:val="32"/>
          <w:highlight w:val="none"/>
        </w:rPr>
        <w:t xml:space="preserve">条 </w:t>
      </w:r>
      <w:r>
        <w:rPr>
          <w:rFonts w:hint="eastAsia" w:ascii="仿宋_GB2312" w:hAnsi="仿宋_GB2312" w:eastAsia="仿宋_GB2312" w:cs="仿宋_GB2312"/>
          <w:b w:val="0"/>
          <w:bCs w:val="0"/>
          <w:color w:val="auto"/>
          <w:sz w:val="32"/>
          <w:szCs w:val="32"/>
          <w:highlight w:val="none"/>
          <w:lang w:val="en-US" w:eastAsia="zh-CN"/>
        </w:rPr>
        <w:t>农村产权流转交易根据资产性质要求及资产标的额的不同，主要通过电子竞投、公开协商（公开遴选）、公开协商（定向协商）、简易挂牌、续约、小额零散交易等方式进行。</w:t>
      </w:r>
      <w:r>
        <w:rPr>
          <w:rFonts w:hint="eastAsia" w:ascii="仿宋_GB2312" w:hAnsi="仿宋_GB2312" w:eastAsia="仿宋_GB2312" w:cs="仿宋_GB2312"/>
          <w:color w:val="auto"/>
          <w:sz w:val="32"/>
          <w:szCs w:val="32"/>
          <w:highlight w:val="none"/>
          <w:lang w:val="en-US" w:eastAsia="zh-CN"/>
        </w:rPr>
        <w:t>交易方式依法定程序由农村集体经济组织</w:t>
      </w:r>
      <w:r>
        <w:rPr>
          <w:rFonts w:hint="eastAsia" w:ascii="仿宋_GB2312" w:hAnsi="仿宋_GB2312" w:eastAsia="仿宋_GB2312" w:cs="仿宋_GB2312"/>
          <w:color w:val="auto"/>
          <w:sz w:val="32"/>
          <w:szCs w:val="32"/>
          <w:highlight w:val="none"/>
          <w:lang w:val="en" w:eastAsia="zh-CN"/>
        </w:rPr>
        <w:t>民主决策</w:t>
      </w:r>
      <w:r>
        <w:rPr>
          <w:rFonts w:hint="eastAsia" w:ascii="仿宋_GB2312" w:hAnsi="仿宋_GB2312" w:eastAsia="仿宋_GB2312" w:cs="仿宋_GB2312"/>
          <w:color w:val="auto"/>
          <w:sz w:val="32"/>
          <w:szCs w:val="32"/>
          <w:highlight w:val="none"/>
          <w:lang w:val="en-US" w:eastAsia="zh-CN"/>
        </w:rPr>
        <w:t>，并经镇农业农村部门审核确定。</w:t>
      </w:r>
    </w:p>
    <w:p w14:paraId="772F1F7A">
      <w:pPr>
        <w:pStyle w:val="3"/>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hAnsi="仿宋_GB2312" w:eastAsia="仿宋_GB2312" w:cs="仿宋_GB2312"/>
          <w:b/>
          <w:bCs/>
          <w:color w:val="auto"/>
          <w:sz w:val="32"/>
          <w:szCs w:val="32"/>
          <w:highlight w:val="none"/>
          <w:lang w:val="en-US" w:eastAsia="zh-CN"/>
        </w:rPr>
      </w:pPr>
    </w:p>
    <w:p w14:paraId="7CE5C93F">
      <w:pPr>
        <w:pStyle w:val="3"/>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第一节 电子竞投</w:t>
      </w:r>
    </w:p>
    <w:p w14:paraId="6E2C438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第十七条  </w:t>
      </w:r>
      <w:r>
        <w:rPr>
          <w:rFonts w:hint="eastAsia" w:ascii="仿宋_GB2312" w:hAnsi="仿宋_GB2312" w:eastAsia="仿宋_GB2312" w:cs="仿宋_GB2312"/>
          <w:color w:val="auto"/>
          <w:sz w:val="32"/>
          <w:szCs w:val="32"/>
          <w:highlight w:val="none"/>
        </w:rPr>
        <w:t>农村</w:t>
      </w:r>
      <w:r>
        <w:rPr>
          <w:rFonts w:hint="eastAsia" w:ascii="仿宋_GB2312" w:hAnsi="仿宋_GB2312" w:eastAsia="仿宋_GB2312" w:cs="仿宋_GB2312"/>
          <w:color w:val="auto"/>
          <w:sz w:val="32"/>
          <w:szCs w:val="32"/>
          <w:highlight w:val="none"/>
          <w:lang w:eastAsia="zh-CN"/>
        </w:rPr>
        <w:t>产权流转</w:t>
      </w:r>
      <w:r>
        <w:rPr>
          <w:rFonts w:hint="eastAsia" w:ascii="仿宋_GB2312" w:hAnsi="仿宋_GB2312" w:eastAsia="仿宋_GB2312" w:cs="仿宋_GB2312"/>
          <w:color w:val="auto"/>
          <w:sz w:val="32"/>
          <w:szCs w:val="32"/>
          <w:highlight w:val="none"/>
        </w:rPr>
        <w:t>交易</w:t>
      </w:r>
      <w:r>
        <w:rPr>
          <w:rFonts w:hint="eastAsia" w:ascii="仿宋_GB2312" w:hAnsi="仿宋_GB2312" w:eastAsia="仿宋_GB2312" w:cs="仿宋_GB2312"/>
          <w:color w:val="auto"/>
          <w:sz w:val="32"/>
          <w:szCs w:val="32"/>
          <w:highlight w:val="none"/>
          <w:lang w:eastAsia="zh-CN"/>
        </w:rPr>
        <w:t>一般</w:t>
      </w:r>
      <w:r>
        <w:rPr>
          <w:rFonts w:hint="eastAsia" w:ascii="仿宋_GB2312" w:hAnsi="仿宋_GB2312" w:eastAsia="仿宋_GB2312" w:cs="仿宋_GB2312"/>
          <w:color w:val="auto"/>
          <w:sz w:val="32"/>
          <w:szCs w:val="32"/>
          <w:highlight w:val="none"/>
        </w:rPr>
        <w:t>采取</w:t>
      </w:r>
      <w:r>
        <w:rPr>
          <w:rFonts w:hint="eastAsia" w:ascii="仿宋_GB2312" w:hAnsi="仿宋_GB2312" w:eastAsia="仿宋_GB2312" w:cs="仿宋_GB2312"/>
          <w:color w:val="auto"/>
          <w:sz w:val="32"/>
          <w:szCs w:val="32"/>
          <w:highlight w:val="none"/>
          <w:lang w:eastAsia="zh-CN"/>
        </w:rPr>
        <w:t>电子竞投交易</w:t>
      </w:r>
      <w:r>
        <w:rPr>
          <w:rFonts w:hint="eastAsia" w:ascii="仿宋_GB2312" w:hAnsi="仿宋_GB2312" w:eastAsia="仿宋_GB2312" w:cs="仿宋_GB2312"/>
          <w:color w:val="auto"/>
          <w:sz w:val="32"/>
          <w:szCs w:val="32"/>
          <w:highlight w:val="none"/>
        </w:rPr>
        <w:t>方式进行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竞投人在一体化平台通过竞价形式达成交易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农村集体在制定资产交易方案时应当明确竞投人范围，并经农村集体经济组织民主表决通过；方案没有明确竞投人范围的，视为面向社会公开竞投。</w:t>
      </w:r>
    </w:p>
    <w:p w14:paraId="204233B0">
      <w:pPr>
        <w:keepNext w:val="0"/>
        <w:keepLines w:val="0"/>
        <w:pageBreakBefore w:val="0"/>
        <w:kinsoku/>
        <w:overflowPunct/>
        <w:topLinePunct w:val="0"/>
        <w:autoSpaceDE/>
        <w:autoSpaceDN/>
        <w:bidi w:val="0"/>
        <w:adjustRightInd w:val="0"/>
        <w:snapToGrid w:val="0"/>
        <w:spacing w:line="620" w:lineRule="exact"/>
        <w:ind w:firstLine="640" w:firstLineChars="200"/>
        <w:jc w:val="both"/>
        <w:textAlignment w:val="auto"/>
        <w:outlineLvl w:val="2"/>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第十八条 </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电子竞投交易程序一般包括：民主决策、交易申请、审核发布、报名并缴纳保证金、网上竞价、成交结果公示、签订合同、发布成交公告等流程。</w:t>
      </w:r>
    </w:p>
    <w:p w14:paraId="537BE319">
      <w:pPr>
        <w:widowControl w:val="0"/>
        <w:wordWrap/>
        <w:adjustRightInd/>
        <w:snapToGrid/>
        <w:spacing w:before="0" w:after="0" w:line="348" w:lineRule="auto"/>
        <w:ind w:left="0" w:leftChars="0" w:right="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（一）民主决策。农村集体经济组织按规定召开</w:t>
      </w:r>
      <w:r>
        <w:rPr>
          <w:rFonts w:hint="eastAsia" w:ascii="仿宋_GB2312" w:hAnsi="仿宋_GB2312" w:eastAsia="仿宋_GB2312" w:cs="仿宋_GB2312"/>
          <w:color w:val="auto"/>
          <w:sz w:val="32"/>
          <w:szCs w:val="32"/>
          <w:highlight w:val="none"/>
        </w:rPr>
        <w:t>相应层次</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会议对农村产权流转交易方案进行表决。方案应包括的内容详见</w:t>
      </w:r>
      <w:r>
        <w:rPr>
          <w:rFonts w:hint="eastAsia" w:ascii="仿宋_GB2312" w:hAnsi="仿宋_GB2312" w:eastAsia="仿宋_GB2312" w:cs="仿宋_GB2312"/>
          <w:color w:val="auto"/>
          <w:sz w:val="32"/>
          <w:szCs w:val="32"/>
          <w:highlight w:val="none"/>
          <w:lang w:val="en-US" w:eastAsia="zh-CN"/>
        </w:rPr>
        <w:t>第三章第十一条。</w:t>
      </w:r>
    </w:p>
    <w:p w14:paraId="399E0E2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b w:val="0"/>
          <w:bCs w:val="0"/>
          <w:color w:val="auto"/>
          <w:sz w:val="32"/>
          <w:szCs w:val="32"/>
          <w:highlight w:val="none"/>
          <w:lang w:val="en-US" w:eastAsia="zh-CN"/>
        </w:rPr>
        <w:t>（二）交易申请。</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交易方案经民主表决通过后，农村集体经济组织按立项审批结果在一体化平台提出交易申请。申请资料应包括但不限于以下内容：</w:t>
      </w:r>
    </w:p>
    <w:p w14:paraId="327605A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1、项目审批表</w:t>
      </w:r>
    </w:p>
    <w:p w14:paraId="0B317EC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2、拟定的交易合同和产权流转交易方案；</w:t>
      </w:r>
    </w:p>
    <w:p w14:paraId="60F7403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3、依权限表决通过交易方案的会议记录；</w:t>
      </w:r>
    </w:p>
    <w:p w14:paraId="3B3EF9D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4、属重大事项的，按“四议两公开”工作法规定应提交的材料；</w:t>
      </w:r>
    </w:p>
    <w:p w14:paraId="1D1F9CF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5、交易资产现状图、测量图、窝棚整治承诺书；</w:t>
      </w:r>
    </w:p>
    <w:p w14:paraId="147BE3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6、按有关要求应提交的其他材料。</w:t>
      </w:r>
    </w:p>
    <w:p w14:paraId="0136CC36">
      <w:pPr>
        <w:keepNext w:val="0"/>
        <w:keepLines w:val="0"/>
        <w:pageBreakBefore w:val="0"/>
        <w:kinsoku/>
        <w:overflowPunct/>
        <w:topLinePunct w:val="0"/>
        <w:autoSpaceDE/>
        <w:autoSpaceDN/>
        <w:bidi w:val="0"/>
        <w:adjustRightInd w:val="0"/>
        <w:snapToGrid w:val="0"/>
        <w:spacing w:line="620" w:lineRule="exact"/>
        <w:ind w:firstLine="640" w:firstLineChars="200"/>
        <w:jc w:val="both"/>
        <w:textAlignment w:val="auto"/>
        <w:outlineLvl w:val="2"/>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（三）审核发布。由镇</w:t>
      </w:r>
      <w:r>
        <w:rPr>
          <w:rFonts w:hint="eastAsia" w:ascii="仿宋_GB2312" w:hAnsi="仿宋_GB2312" w:eastAsia="仿宋_GB2312" w:cs="仿宋_GB2312"/>
          <w:color w:val="auto"/>
          <w:sz w:val="32"/>
          <w:szCs w:val="32"/>
          <w:highlight w:val="none"/>
          <w:lang w:val="en-US" w:eastAsia="zh-CN"/>
        </w:rPr>
        <w:t>农村农村部门</w:t>
      </w:r>
      <w:r>
        <w:rPr>
          <w:rFonts w:hint="eastAsia" w:ascii="仿宋_GB2312" w:hAnsi="仿宋_GB2312" w:eastAsia="仿宋_GB2312" w:cs="仿宋_GB2312"/>
          <w:b w:val="0"/>
          <w:bCs w:val="0"/>
          <w:color w:val="auto"/>
          <w:sz w:val="32"/>
          <w:szCs w:val="32"/>
          <w:highlight w:val="none"/>
          <w:lang w:val="en-US" w:eastAsia="zh-CN"/>
        </w:rPr>
        <w:t>对交易申请进行审核</w:t>
      </w:r>
      <w:r>
        <w:rPr>
          <w:rFonts w:hint="eastAsia" w:ascii="仿宋_GB2312" w:hAnsi="仿宋_GB2312" w:eastAsia="仿宋_GB2312" w:cs="仿宋_GB2312"/>
          <w:b w:val="0"/>
          <w:bCs w:val="0"/>
          <w:color w:val="auto"/>
          <w:sz w:val="32"/>
          <w:szCs w:val="32"/>
          <w:highlight w:val="none"/>
          <w:lang w:val="en" w:eastAsia="zh-CN"/>
        </w:rPr>
        <w:t>，</w:t>
      </w:r>
      <w:r>
        <w:rPr>
          <w:rFonts w:hint="eastAsia" w:ascii="仿宋_GB2312" w:hAnsi="仿宋_GB2312" w:eastAsia="仿宋_GB2312" w:cs="仿宋_GB2312"/>
          <w:b w:val="0"/>
          <w:bCs w:val="0"/>
          <w:color w:val="auto"/>
          <w:sz w:val="32"/>
          <w:szCs w:val="32"/>
          <w:highlight w:val="none"/>
          <w:lang w:val="en-US" w:eastAsia="zh-CN"/>
        </w:rPr>
        <w:t>通过审核的交易项目由</w:t>
      </w:r>
      <w:r>
        <w:rPr>
          <w:rFonts w:hint="eastAsia" w:ascii="仿宋_GB2312" w:hAnsi="仿宋_GB2312" w:eastAsia="仿宋_GB2312" w:cs="仿宋_GB2312"/>
          <w:b w:val="0"/>
          <w:bCs w:val="0"/>
          <w:color w:val="auto"/>
          <w:sz w:val="32"/>
          <w:highlight w:val="none"/>
          <w:lang w:val="en-US" w:eastAsia="zh-CN"/>
        </w:rPr>
        <w:t>村（社区）将《村（社区）集体资产项目审批表》、民主议决会议纪要、合同样板等相关资料，</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eastAsia="zh-CN"/>
        </w:rPr>
        <w:t>村（社区）、组</w:t>
      </w:r>
      <w:r>
        <w:rPr>
          <w:rFonts w:hint="eastAsia" w:ascii="仿宋_GB2312" w:hAnsi="仿宋_GB2312" w:eastAsia="仿宋_GB2312" w:cs="仿宋_GB2312"/>
          <w:color w:val="auto"/>
          <w:sz w:val="32"/>
          <w:szCs w:val="32"/>
          <w:highlight w:val="none"/>
        </w:rPr>
        <w:t>公开栏上进行公开，并在</w:t>
      </w:r>
      <w:r>
        <w:rPr>
          <w:rFonts w:hint="eastAsia" w:ascii="仿宋_GB2312" w:hAnsi="仿宋_GB2312" w:eastAsia="仿宋_GB2312" w:cs="仿宋_GB2312"/>
          <w:b w:val="0"/>
          <w:bCs w:val="0"/>
          <w:color w:val="auto"/>
          <w:sz w:val="32"/>
          <w:szCs w:val="32"/>
          <w:highlight w:val="none"/>
          <w:lang w:val="en-US" w:eastAsia="zh-CN"/>
        </w:rPr>
        <w:t>一体化平台、</w:t>
      </w:r>
      <w:r>
        <w:rPr>
          <w:rFonts w:hint="eastAsia" w:ascii="仿宋_GB2312" w:hAnsi="仿宋_GB2312" w:eastAsia="仿宋_GB2312" w:cs="仿宋_GB2312"/>
          <w:color w:val="auto"/>
          <w:sz w:val="32"/>
          <w:szCs w:val="32"/>
          <w:highlight w:val="none"/>
          <w:lang w:eastAsia="zh-CN"/>
        </w:rPr>
        <w:t>村（社区）、组</w:t>
      </w:r>
      <w:r>
        <w:rPr>
          <w:rFonts w:hint="eastAsia" w:ascii="仿宋_GB2312" w:hAnsi="仿宋_GB2312" w:eastAsia="仿宋_GB2312" w:cs="仿宋_GB2312"/>
          <w:color w:val="auto"/>
          <w:sz w:val="32"/>
          <w:szCs w:val="32"/>
          <w:highlight w:val="none"/>
        </w:rPr>
        <w:t>公开栏</w:t>
      </w:r>
      <w:r>
        <w:rPr>
          <w:rFonts w:hint="eastAsia" w:ascii="仿宋_GB2312" w:hAnsi="仿宋_GB2312" w:eastAsia="仿宋_GB2312" w:cs="仿宋_GB2312"/>
          <w:color w:val="auto"/>
          <w:sz w:val="32"/>
          <w:szCs w:val="32"/>
          <w:highlight w:val="none"/>
          <w:lang w:val="en-US" w:eastAsia="zh-CN"/>
        </w:rPr>
        <w:t>等渠道发布交易招标公告</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公告期限不少于5个工作日。交易公告应当包括交易项目基本情况、交易底价、竞投人资格条件、报名时间及方式、交易保证金金额及缴纳方式、交易时间及方式、联系人及联系方式、其他需要公告的内容。</w:t>
      </w:r>
    </w:p>
    <w:p w14:paraId="03C536C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b w:val="0"/>
          <w:bCs w:val="0"/>
          <w:color w:val="auto"/>
          <w:sz w:val="32"/>
          <w:szCs w:val="32"/>
          <w:highlight w:val="none"/>
          <w:lang w:val="en-US" w:eastAsia="zh-CN"/>
        </w:rPr>
        <w:t>（四）报名并缴纳保证金。</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竞投人按照规定时间报名并通过银行转账方式一次性足额将保证金转入到指定账户</w:t>
      </w:r>
      <w:r>
        <w:rPr>
          <w:rFonts w:hint="default" w:ascii="仿宋_GB2312" w:hAnsi="仿宋_GB2312" w:eastAsia="仿宋_GB2312" w:cs="仿宋_GB2312"/>
          <w:i w:val="0"/>
          <w:caps w:val="0"/>
          <w:color w:val="auto"/>
          <w:spacing w:val="0"/>
          <w:kern w:val="0"/>
          <w:sz w:val="32"/>
          <w:szCs w:val="32"/>
          <w:highlight w:val="none"/>
          <w:shd w:val="clear" w:color="auto" w:fill="FFFFFF"/>
          <w:lang w:val="en" w:eastAsia="zh-CN" w:bidi="ar"/>
        </w:rPr>
        <w:t>，</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保证金缴纳账户名称必须与竞投人名称保持一致。</w:t>
      </w:r>
    </w:p>
    <w:p w14:paraId="18E9FE2E">
      <w:pPr>
        <w:keepNext w:val="0"/>
        <w:keepLines w:val="0"/>
        <w:pageBreakBefore w:val="0"/>
        <w:kinsoku/>
        <w:overflowPunct/>
        <w:topLinePunct w:val="0"/>
        <w:autoSpaceDE/>
        <w:autoSpaceDN/>
        <w:bidi w:val="0"/>
        <w:adjustRightInd w:val="0"/>
        <w:snapToGrid w:val="0"/>
        <w:spacing w:line="620" w:lineRule="exact"/>
        <w:ind w:firstLine="640" w:firstLineChars="200"/>
        <w:jc w:val="both"/>
        <w:textAlignment w:val="auto"/>
        <w:outlineLvl w:val="2"/>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（五）网上竞价。竞投人通过一体化平台进行电子竞投</w:t>
      </w:r>
      <w:r>
        <w:rPr>
          <w:rFonts w:hint="eastAsia" w:ascii="仿宋_GB2312" w:hAnsi="仿宋_GB2312" w:eastAsia="仿宋_GB2312" w:cs="仿宋_GB2312"/>
          <w:b w:val="0"/>
          <w:bCs w:val="0"/>
          <w:color w:val="auto"/>
          <w:sz w:val="32"/>
          <w:szCs w:val="32"/>
          <w:highlight w:val="none"/>
          <w:lang w:val="en" w:eastAsia="zh-CN"/>
        </w:rPr>
        <w:t>，</w:t>
      </w:r>
      <w:r>
        <w:rPr>
          <w:rFonts w:hint="eastAsia" w:ascii="仿宋_GB2312" w:hAnsi="仿宋_GB2312" w:eastAsia="仿宋_GB2312" w:cs="仿宋_GB2312"/>
          <w:b w:val="0"/>
          <w:bCs w:val="0"/>
          <w:color w:val="auto"/>
          <w:sz w:val="32"/>
          <w:szCs w:val="32"/>
          <w:highlight w:val="none"/>
          <w:lang w:val="en-US" w:eastAsia="zh-CN"/>
        </w:rPr>
        <w:t>在规定时间内出价最高的竞投人为竞得人。竞得人应在规定时间内签订成交确认书。</w:t>
      </w:r>
    </w:p>
    <w:p w14:paraId="33C876A4">
      <w:pPr>
        <w:keepNext w:val="0"/>
        <w:keepLines w:val="0"/>
        <w:pageBreakBefore w:val="0"/>
        <w:kinsoku/>
        <w:overflowPunct/>
        <w:topLinePunct w:val="0"/>
        <w:autoSpaceDE/>
        <w:autoSpaceDN/>
        <w:bidi w:val="0"/>
        <w:adjustRightInd w:val="0"/>
        <w:snapToGrid w:val="0"/>
        <w:spacing w:line="620" w:lineRule="exact"/>
        <w:ind w:firstLine="640" w:firstLineChars="200"/>
        <w:jc w:val="both"/>
        <w:textAlignment w:val="auto"/>
        <w:outlineLvl w:val="2"/>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（六）成交结果公示。成交项目发布中标公告，在一体化平台和农村集体经济组织公开栏进行公示</w:t>
      </w:r>
      <w:r>
        <w:rPr>
          <w:rFonts w:hint="eastAsia" w:ascii="仿宋_GB2312" w:hAnsi="仿宋_GB2312" w:eastAsia="仿宋_GB2312" w:cs="仿宋_GB2312"/>
          <w:b w:val="0"/>
          <w:bCs w:val="0"/>
          <w:color w:val="auto"/>
          <w:sz w:val="32"/>
          <w:szCs w:val="32"/>
          <w:highlight w:val="none"/>
          <w:lang w:val="en" w:eastAsia="zh-CN"/>
        </w:rPr>
        <w:t>，</w:t>
      </w:r>
      <w:r>
        <w:rPr>
          <w:rFonts w:hint="eastAsia" w:ascii="仿宋_GB2312" w:hAnsi="仿宋_GB2312" w:eastAsia="仿宋_GB2312" w:cs="仿宋_GB2312"/>
          <w:b w:val="0"/>
          <w:bCs w:val="0"/>
          <w:color w:val="auto"/>
          <w:sz w:val="32"/>
          <w:szCs w:val="32"/>
          <w:highlight w:val="none"/>
          <w:lang w:val="en-US" w:eastAsia="zh-CN"/>
        </w:rPr>
        <w:t>公示期限不少于3个工作日。</w:t>
      </w:r>
    </w:p>
    <w:p w14:paraId="5B854AE3">
      <w:pPr>
        <w:keepNext w:val="0"/>
        <w:keepLines w:val="0"/>
        <w:pageBreakBefore w:val="0"/>
        <w:kinsoku/>
        <w:overflowPunct/>
        <w:topLinePunct w:val="0"/>
        <w:autoSpaceDE/>
        <w:autoSpaceDN/>
        <w:bidi w:val="0"/>
        <w:adjustRightInd w:val="0"/>
        <w:snapToGrid w:val="0"/>
        <w:spacing w:line="620" w:lineRule="exact"/>
        <w:ind w:firstLine="640" w:firstLineChars="200"/>
        <w:jc w:val="both"/>
        <w:textAlignment w:val="auto"/>
        <w:outlineLvl w:val="2"/>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（七）签订合同。公示无异议或者异议不成立的</w:t>
      </w:r>
      <w:r>
        <w:rPr>
          <w:rFonts w:hint="eastAsia" w:ascii="仿宋_GB2312" w:hAnsi="仿宋_GB2312" w:eastAsia="仿宋_GB2312" w:cs="仿宋_GB2312"/>
          <w:b w:val="0"/>
          <w:bCs w:val="0"/>
          <w:color w:val="auto"/>
          <w:sz w:val="32"/>
          <w:szCs w:val="32"/>
          <w:highlight w:val="none"/>
          <w:lang w:val="en" w:eastAsia="zh-CN"/>
        </w:rPr>
        <w:t>，</w:t>
      </w:r>
      <w:r>
        <w:rPr>
          <w:rFonts w:hint="eastAsia" w:ascii="仿宋_GB2312" w:hAnsi="仿宋_GB2312" w:eastAsia="仿宋_GB2312" w:cs="仿宋_GB2312"/>
          <w:b w:val="0"/>
          <w:bCs w:val="0"/>
          <w:color w:val="auto"/>
          <w:sz w:val="32"/>
          <w:szCs w:val="32"/>
          <w:highlight w:val="none"/>
          <w:lang w:val="en-US" w:eastAsia="zh-CN"/>
        </w:rPr>
        <w:t>由村（社区）组织农村集体经济组织与项目竞得人签订合同。</w:t>
      </w:r>
    </w:p>
    <w:p w14:paraId="323FC797">
      <w:pPr>
        <w:keepNext w:val="0"/>
        <w:keepLines w:val="0"/>
        <w:pageBreakBefore w:val="0"/>
        <w:kinsoku/>
        <w:overflowPunct/>
        <w:topLinePunct w:val="0"/>
        <w:autoSpaceDE/>
        <w:autoSpaceDN/>
        <w:bidi w:val="0"/>
        <w:adjustRightInd w:val="0"/>
        <w:snapToGrid w:val="0"/>
        <w:spacing w:line="620" w:lineRule="exact"/>
        <w:ind w:firstLine="640" w:firstLineChars="200"/>
        <w:jc w:val="both"/>
        <w:textAlignment w:val="auto"/>
        <w:outlineLvl w:val="2"/>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（八）发布成交公告。合同签订后</w:t>
      </w:r>
      <w:r>
        <w:rPr>
          <w:rFonts w:hint="eastAsia" w:ascii="仿宋_GB2312" w:hAnsi="仿宋_GB2312" w:eastAsia="仿宋_GB2312" w:cs="仿宋_GB2312"/>
          <w:b w:val="0"/>
          <w:bCs w:val="0"/>
          <w:color w:val="auto"/>
          <w:sz w:val="32"/>
          <w:szCs w:val="32"/>
          <w:highlight w:val="none"/>
          <w:lang w:val="en" w:eastAsia="zh-CN"/>
        </w:rPr>
        <w:t>，</w:t>
      </w:r>
      <w:r>
        <w:rPr>
          <w:rFonts w:hint="eastAsia" w:ascii="仿宋_GB2312" w:hAnsi="仿宋_GB2312" w:eastAsia="仿宋_GB2312" w:cs="仿宋_GB2312"/>
          <w:b w:val="0"/>
          <w:bCs w:val="0"/>
          <w:color w:val="auto"/>
          <w:sz w:val="32"/>
          <w:szCs w:val="32"/>
          <w:highlight w:val="none"/>
          <w:lang w:val="en-US" w:eastAsia="zh-CN"/>
        </w:rPr>
        <w:t>发布成交公告，在一体化平台和农村集体经济组织公开栏进行公示，公示期限不少于5个工作日。因竞得人原因未签订合同的，在一体化平台发布弃标公告。</w:t>
      </w:r>
    </w:p>
    <w:p w14:paraId="5FB631F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b w:val="0"/>
          <w:bCs w:val="0"/>
          <w:color w:val="auto"/>
          <w:sz w:val="32"/>
          <w:szCs w:val="32"/>
          <w:highlight w:val="none"/>
          <w:lang w:val="en-US" w:eastAsia="zh-CN"/>
        </w:rPr>
        <w:t>第十九条  根据实际工作需要，经镇</w:t>
      </w:r>
      <w:r>
        <w:rPr>
          <w:rFonts w:hint="eastAsia" w:ascii="仿宋_GB2312" w:hAnsi="仿宋_GB2312" w:eastAsia="仿宋_GB2312" w:cs="仿宋_GB2312"/>
          <w:color w:val="auto"/>
          <w:sz w:val="32"/>
          <w:szCs w:val="32"/>
          <w:highlight w:val="none"/>
          <w:lang w:val="en-US" w:eastAsia="zh-CN"/>
        </w:rPr>
        <w:t>农业农村部门</w:t>
      </w:r>
      <w:r>
        <w:rPr>
          <w:rFonts w:hint="eastAsia" w:ascii="仿宋_GB2312" w:hAnsi="仿宋_GB2312" w:eastAsia="仿宋_GB2312" w:cs="仿宋_GB2312"/>
          <w:b w:val="0"/>
          <w:bCs w:val="0"/>
          <w:color w:val="auto"/>
          <w:sz w:val="32"/>
          <w:szCs w:val="32"/>
          <w:highlight w:val="none"/>
          <w:lang w:val="en-US" w:eastAsia="zh-CN"/>
        </w:rPr>
        <w:t>审核，</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农村集体经济组织可在交易公告中对意向竞投人适当设置条件要求，条件要求须清晰合理，不得出现可能影响公平竞争的限制性、倾向性条件。其他交易条件一般在交易合同中载明。</w:t>
      </w:r>
    </w:p>
    <w:p w14:paraId="347FC1B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第二十条 镇农业农村部门及各村（社区）产权管理小组成员不得向他人透露已参与报名的潜在竞投人的名称、数量以及可能影响公平竞争的有关竞投的其他情况。</w:t>
      </w:r>
    </w:p>
    <w:p w14:paraId="0116FBAD">
      <w:pPr>
        <w:keepNext w:val="0"/>
        <w:keepLines w:val="0"/>
        <w:pageBreakBefore w:val="0"/>
        <w:kinsoku/>
        <w:overflowPunct/>
        <w:topLinePunct w:val="0"/>
        <w:autoSpaceDE/>
        <w:autoSpaceDN/>
        <w:bidi w:val="0"/>
        <w:adjustRightInd w:val="0"/>
        <w:snapToGrid w:val="0"/>
        <w:spacing w:line="620" w:lineRule="exact"/>
        <w:ind w:firstLine="640" w:firstLineChars="200"/>
        <w:jc w:val="both"/>
        <w:textAlignment w:val="auto"/>
        <w:outlineLvl w:val="2"/>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第二十一条  因无人报名或无人出价导致农村集体资产在网上公开竞价环节流标的，农村集体经济组织可重新发布招标公告公示不少于3个工作日后再次交易，也可以以原底价作为挂牌价，发布招标公告不少于3个工作日后转入正式挂牌交易环节。挂牌交易每次挂牌时间最长不超过三个月。挂牌期内，如竞价人报名成功即按挂牌价成交。经民主议决和部门审批后的半年内，若不变更交易核心条款的，可实现多次电子竞投或挂牌交易，租赁开始日期一般不得早于成交结果公示结束日期。</w:t>
      </w:r>
    </w:p>
    <w:p w14:paraId="694F7FBF">
      <w:pPr>
        <w:keepNext w:val="0"/>
        <w:keepLines w:val="0"/>
        <w:pageBreakBefore w:val="0"/>
        <w:kinsoku/>
        <w:overflowPunct/>
        <w:topLinePunct w:val="0"/>
        <w:autoSpaceDE/>
        <w:autoSpaceDN/>
        <w:bidi w:val="0"/>
        <w:adjustRightInd w:val="0"/>
        <w:snapToGrid w:val="0"/>
        <w:spacing w:line="620" w:lineRule="exact"/>
        <w:ind w:firstLine="640" w:firstLineChars="200"/>
        <w:jc w:val="both"/>
        <w:textAlignment w:val="auto"/>
        <w:outlineLvl w:val="2"/>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第二十二条  经交易报价确定竞得人的，集体经济组织不可单方面终止交易。经交易双方协商同意终止交易的，应由双方共同出具终止交易的书面声明报镇农业农村部门备案。</w:t>
      </w:r>
    </w:p>
    <w:p w14:paraId="72389421">
      <w:pPr>
        <w:keepNext w:val="0"/>
        <w:keepLines w:val="0"/>
        <w:pageBreakBefore w:val="0"/>
        <w:kinsoku/>
        <w:overflowPunct/>
        <w:topLinePunct w:val="0"/>
        <w:autoSpaceDE/>
        <w:autoSpaceDN/>
        <w:bidi w:val="0"/>
        <w:adjustRightInd w:val="0"/>
        <w:snapToGrid w:val="0"/>
        <w:spacing w:line="620" w:lineRule="exact"/>
        <w:ind w:firstLine="640" w:firstLineChars="200"/>
        <w:jc w:val="both"/>
        <w:textAlignment w:val="auto"/>
        <w:outlineLvl w:val="2"/>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交易过程中，如因集体经济组织责任或双方争议出现交易终止情况，按农村集体经济组织财务制度开支权限审批后可减免没收竞得人的交易保证金。</w:t>
      </w:r>
    </w:p>
    <w:p w14:paraId="29EEC13C">
      <w:pPr>
        <w:keepNext w:val="0"/>
        <w:keepLines w:val="0"/>
        <w:pageBreakBefore w:val="0"/>
        <w:widowControl/>
        <w:kinsoku/>
        <w:wordWrap/>
        <w:overflowPunct/>
        <w:topLinePunct w:val="0"/>
        <w:autoSpaceDE/>
        <w:autoSpaceDN/>
        <w:bidi w:val="0"/>
        <w:adjustRightInd w:val="0"/>
        <w:snapToGrid w:val="0"/>
        <w:spacing w:before="0" w:beforeAutospacing="0" w:after="0" w:afterAutospacing="0" w:line="620" w:lineRule="exact"/>
        <w:ind w:firstLine="640"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因集体经济组织责任导致交易终止造成竞得人损失的，竞得人可与集体经济组织协商赔偿事宜，协商不成的，由交易双方通过法律途径解决。</w:t>
      </w:r>
    </w:p>
    <w:p w14:paraId="13EB9D4B">
      <w:pPr>
        <w:pStyle w:val="3"/>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hAnsi="仿宋_GB2312" w:eastAsia="仿宋_GB2312" w:cs="仿宋_GB2312"/>
          <w:b/>
          <w:bCs/>
          <w:color w:val="auto"/>
          <w:sz w:val="32"/>
          <w:szCs w:val="32"/>
          <w:highlight w:val="none"/>
          <w:lang w:val="en-US" w:eastAsia="zh-CN"/>
        </w:rPr>
      </w:pPr>
    </w:p>
    <w:p w14:paraId="528A5776">
      <w:pPr>
        <w:pStyle w:val="3"/>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第二节 公开协商（公开遴选、定向协商）</w:t>
      </w:r>
    </w:p>
    <w:p w14:paraId="16ECC0A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第二十三条</w:t>
      </w:r>
      <w:r>
        <w:rPr>
          <w:rFonts w:hint="eastAsia" w:ascii="仿宋_GB2312" w:hAnsi="仿宋_GB2312" w:eastAsia="仿宋_GB2312" w:cs="仿宋_GB2312"/>
          <w:b/>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公开</w:t>
      </w:r>
      <w:r>
        <w:rPr>
          <w:rFonts w:hint="eastAsia" w:ascii="仿宋_GB2312" w:hAnsi="仿宋_GB2312" w:eastAsia="仿宋_GB2312" w:cs="仿宋_GB2312"/>
          <w:color w:val="auto"/>
          <w:sz w:val="32"/>
          <w:szCs w:val="32"/>
          <w:highlight w:val="none"/>
          <w:lang w:val="en-US" w:eastAsia="zh-CN"/>
        </w:rPr>
        <w:t>协商</w:t>
      </w:r>
      <w:r>
        <w:rPr>
          <w:rFonts w:hint="eastAsia" w:ascii="仿宋_GB2312" w:hAnsi="仿宋_GB2312" w:eastAsia="仿宋_GB2312" w:cs="仿宋_GB2312"/>
          <w:color w:val="auto"/>
          <w:sz w:val="32"/>
          <w:szCs w:val="32"/>
          <w:highlight w:val="none"/>
        </w:rPr>
        <w:t>交易</w:t>
      </w:r>
      <w:r>
        <w:rPr>
          <w:rFonts w:hint="eastAsia" w:ascii="仿宋_GB2312" w:hAnsi="仿宋_GB2312" w:eastAsia="仿宋_GB2312" w:cs="仿宋_GB2312"/>
          <w:color w:val="auto"/>
          <w:sz w:val="32"/>
          <w:szCs w:val="32"/>
          <w:highlight w:val="none"/>
          <w:lang w:eastAsia="zh-CN"/>
        </w:rPr>
        <w:t>，是指农村集体经济组织依照本办法规定的步骤就交易项目与特定意向人</w:t>
      </w:r>
      <w:r>
        <w:rPr>
          <w:rFonts w:hint="eastAsia" w:ascii="仿宋_GB2312" w:hAnsi="仿宋_GB2312" w:eastAsia="仿宋_GB2312" w:cs="仿宋_GB2312"/>
          <w:color w:val="auto"/>
          <w:sz w:val="32"/>
          <w:szCs w:val="32"/>
          <w:highlight w:val="none"/>
          <w:lang w:val="en-US" w:eastAsia="zh-CN"/>
        </w:rPr>
        <w:t>通过线下</w:t>
      </w:r>
      <w:r>
        <w:rPr>
          <w:rFonts w:hint="eastAsia" w:ascii="仿宋_GB2312" w:hAnsi="仿宋_GB2312" w:eastAsia="仿宋_GB2312" w:cs="仿宋_GB2312"/>
          <w:color w:val="auto"/>
          <w:sz w:val="32"/>
          <w:szCs w:val="32"/>
          <w:highlight w:val="none"/>
          <w:lang w:eastAsia="zh-CN"/>
        </w:rPr>
        <w:t>公开协商达成交易的方式。其中公开协商交易可分为公开遴选（一对多）和定向协商（一对一）两种交易方式。</w:t>
      </w:r>
    </w:p>
    <w:p w14:paraId="5551F1F2">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以下项目可采用公开协商方式进行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但拟承租价格不得低于同等条件资产的市场平均价格，且一般不得分租、转租：</w:t>
      </w:r>
    </w:p>
    <w:p w14:paraId="2F6F2B3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（一）符合各级政府产业规划导向政策或连片开发的项目；</w:t>
      </w:r>
    </w:p>
    <w:p w14:paraId="76C9C5C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（二）由各级政府引入或主导实施的农村集体重大项目或产业，或涉及水、电、煤气、通信等特殊行业的交易项目；</w:t>
      </w:r>
    </w:p>
    <w:p w14:paraId="584DC56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（三）已纳入“三旧”改造或村级工业园改造前期土地整备范围，各级政府需实施预租、统租托管的集体资产；</w:t>
      </w:r>
    </w:p>
    <w:p w14:paraId="240DE79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（四）纳入国家、省、市重点工程项目范围需实施预租、统租的集体资产；因国家、省、市重点工程项目的建设需要，临时使用项目范围以外需提前实施预租、统租的集体资产；</w:t>
      </w:r>
    </w:p>
    <w:p w14:paraId="3CDCD95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（五）租用集体经济组织资产进行经营的企业需要配套的专用设施，或企业利用同一集体经济组织集体资产扩大生产规模</w:t>
      </w:r>
      <w:r>
        <w:rPr>
          <w:rFonts w:hint="eastAsia" w:ascii="仿宋_GB2312" w:hAnsi="仿宋_GB2312" w:eastAsia="仿宋_GB2312" w:cs="仿宋_GB2312"/>
          <w:color w:val="auto"/>
          <w:sz w:val="32"/>
          <w:szCs w:val="32"/>
          <w:highlight w:val="none"/>
          <w:lang w:eastAsia="zh-CN"/>
        </w:rPr>
        <w:t>；</w:t>
      </w:r>
    </w:p>
    <w:p w14:paraId="175ABA5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（六）集体经济组织与各级政府或其代表机构（含国企央企，省属、市属、镇属企业）的交易项目，本村（社区）范围内的集体经济组织间的交易项目</w:t>
      </w:r>
      <w:r>
        <w:rPr>
          <w:rFonts w:hint="eastAsia" w:ascii="仿宋_GB2312" w:hAnsi="仿宋_GB2312" w:eastAsia="仿宋_GB2312" w:cs="仿宋_GB2312"/>
          <w:color w:val="auto"/>
          <w:sz w:val="32"/>
          <w:szCs w:val="32"/>
          <w:highlight w:val="none"/>
          <w:lang w:eastAsia="zh-CN"/>
        </w:rPr>
        <w:t>；</w:t>
      </w:r>
    </w:p>
    <w:p w14:paraId="4F3AB59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（七）幼儿园、养老院、村（社区）保洁服务等涉及民生和公益事业项目；</w:t>
      </w:r>
    </w:p>
    <w:p w14:paraId="35B1ED2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（八）以农村集体建设用地使用权之外的集体资产折价入股、合资、合作的项目；</w:t>
      </w:r>
    </w:p>
    <w:p w14:paraId="13AC87C3">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九</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拟承租方属优质企业，近5年来有获得市级或以上的资质认定或荣誉表彰；或投资规模超过1000万元的优质项目；</w:t>
      </w:r>
    </w:p>
    <w:p w14:paraId="57CA19F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b w:val="0"/>
          <w:bCs w:val="0"/>
          <w:color w:val="auto"/>
          <w:sz w:val="32"/>
          <w:szCs w:val="24"/>
          <w:highlight w:val="none"/>
          <w:lang w:val="en-US" w:eastAsia="zh-CN"/>
        </w:rPr>
      </w:pPr>
      <w:r>
        <w:rPr>
          <w:rFonts w:hint="eastAsia" w:ascii="仿宋_GB2312" w:hAnsi="仿宋_GB2312" w:eastAsia="仿宋_GB2312" w:cs="仿宋_GB2312"/>
          <w:color w:val="auto"/>
          <w:sz w:val="32"/>
          <w:szCs w:val="32"/>
          <w:highlight w:val="none"/>
          <w:lang w:val="en-US" w:eastAsia="zh-CN"/>
        </w:rPr>
        <w:t>（十）</w:t>
      </w:r>
      <w:r>
        <w:rPr>
          <w:rFonts w:hint="eastAsia" w:ascii="仿宋_GB2312" w:hAnsi="仿宋_GB2312" w:eastAsia="仿宋_GB2312" w:cs="仿宋_GB2312"/>
          <w:b w:val="0"/>
          <w:bCs w:val="0"/>
          <w:color w:val="auto"/>
          <w:sz w:val="32"/>
          <w:szCs w:val="24"/>
          <w:highlight w:val="none"/>
          <w:lang w:val="en-US" w:eastAsia="zh-CN"/>
        </w:rPr>
        <w:t>为化解历史遗留问题或因其他不可抗力因素开展的项目；</w:t>
      </w:r>
    </w:p>
    <w:p w14:paraId="00987FE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十一</w:t>
      </w:r>
      <w:r>
        <w:rPr>
          <w:rFonts w:hint="eastAsia" w:ascii="仿宋_GB2312" w:hAnsi="仿宋_GB2312" w:eastAsia="仿宋_GB2312" w:cs="仿宋_GB2312"/>
          <w:color w:val="auto"/>
          <w:sz w:val="32"/>
          <w:szCs w:val="32"/>
          <w:highlight w:val="none"/>
        </w:rPr>
        <w:t>）按法律、法规和政策规定不适用公开竞投方式交易的其他项目</w:t>
      </w:r>
      <w:r>
        <w:rPr>
          <w:rFonts w:hint="eastAsia" w:ascii="仿宋_GB2312" w:hAnsi="仿宋_GB2312" w:eastAsia="仿宋_GB2312" w:cs="仿宋_GB2312"/>
          <w:color w:val="auto"/>
          <w:sz w:val="32"/>
          <w:szCs w:val="32"/>
          <w:highlight w:val="none"/>
          <w:lang w:eastAsia="zh-CN"/>
        </w:rPr>
        <w:t>；</w:t>
      </w:r>
    </w:p>
    <w:p w14:paraId="272350D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）经各级人民政府研究同意的其他需采用公开协商方式的特殊项目</w:t>
      </w:r>
      <w:r>
        <w:rPr>
          <w:rFonts w:hint="eastAsia" w:ascii="仿宋_GB2312" w:hAnsi="仿宋_GB2312" w:eastAsia="仿宋_GB2312" w:cs="仿宋_GB2312"/>
          <w:color w:val="auto"/>
          <w:sz w:val="32"/>
          <w:szCs w:val="32"/>
          <w:highlight w:val="none"/>
          <w:lang w:eastAsia="zh-CN"/>
        </w:rPr>
        <w:t>。</w:t>
      </w:r>
    </w:p>
    <w:p w14:paraId="551CB59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eastAsia="zh-CN"/>
        </w:rPr>
        <w:t>二十四</w:t>
      </w:r>
      <w:r>
        <w:rPr>
          <w:rFonts w:hint="eastAsia" w:ascii="仿宋_GB2312" w:hAnsi="仿宋_GB2312" w:eastAsia="仿宋_GB2312" w:cs="仿宋_GB2312"/>
          <w:b/>
          <w:color w:val="auto"/>
          <w:sz w:val="32"/>
          <w:szCs w:val="32"/>
          <w:highlight w:val="none"/>
        </w:rPr>
        <w:t>条</w:t>
      </w:r>
      <w:r>
        <w:rPr>
          <w:rFonts w:hint="eastAsia" w:ascii="仿宋_GB2312" w:hAnsi="仿宋_GB2312" w:eastAsia="仿宋_GB2312" w:cs="仿宋_GB2312"/>
          <w:b/>
          <w:color w:val="auto"/>
          <w:sz w:val="32"/>
          <w:szCs w:val="32"/>
          <w:highlight w:val="none"/>
        </w:rPr>
        <w:tab/>
      </w:r>
      <w:r>
        <w:rPr>
          <w:rFonts w:hint="eastAsia" w:ascii="仿宋_GB2312" w:hAnsi="仿宋_GB2312" w:eastAsia="仿宋_GB2312" w:cs="仿宋_GB2312"/>
          <w:color w:val="auto"/>
          <w:sz w:val="32"/>
          <w:szCs w:val="32"/>
          <w:highlight w:val="none"/>
        </w:rPr>
        <w:t>公开</w:t>
      </w:r>
      <w:r>
        <w:rPr>
          <w:rFonts w:hint="eastAsia" w:ascii="仿宋_GB2312" w:hAnsi="仿宋_GB2312" w:eastAsia="仿宋_GB2312" w:cs="仿宋_GB2312"/>
          <w:color w:val="auto"/>
          <w:sz w:val="32"/>
          <w:szCs w:val="32"/>
          <w:highlight w:val="none"/>
          <w:lang w:val="en-US" w:eastAsia="zh-CN"/>
        </w:rPr>
        <w:t>遴选</w:t>
      </w:r>
      <w:r>
        <w:rPr>
          <w:rFonts w:hint="eastAsia" w:ascii="仿宋_GB2312" w:hAnsi="仿宋_GB2312" w:eastAsia="仿宋_GB2312" w:cs="仿宋_GB2312"/>
          <w:color w:val="auto"/>
          <w:sz w:val="32"/>
          <w:szCs w:val="32"/>
          <w:highlight w:val="none"/>
        </w:rPr>
        <w:t>交易程序应包括：民主决策、发布遴选公告、</w:t>
      </w:r>
      <w:r>
        <w:rPr>
          <w:rFonts w:hint="eastAsia" w:ascii="仿宋_GB2312" w:hAnsi="仿宋_GB2312" w:eastAsia="仿宋_GB2312" w:cs="仿宋_GB2312"/>
          <w:i w:val="0"/>
          <w:caps w:val="0"/>
          <w:color w:val="auto"/>
          <w:spacing w:val="0"/>
          <w:sz w:val="32"/>
          <w:szCs w:val="32"/>
          <w:highlight w:val="none"/>
          <w:shd w:val="clear" w:color="auto" w:fill="FFFFFF"/>
        </w:rPr>
        <w:t>报名并缴纳保证金</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开展</w:t>
      </w:r>
      <w:r>
        <w:rPr>
          <w:rFonts w:hint="eastAsia" w:ascii="仿宋_GB2312" w:hAnsi="仿宋_GB2312" w:eastAsia="仿宋_GB2312" w:cs="仿宋_GB2312"/>
          <w:color w:val="auto"/>
          <w:sz w:val="32"/>
          <w:szCs w:val="32"/>
          <w:highlight w:val="none"/>
        </w:rPr>
        <w:t>遴选、</w:t>
      </w:r>
      <w:r>
        <w:rPr>
          <w:rFonts w:hint="eastAsia" w:ascii="仿宋_GB2312" w:hAnsi="仿宋_GB2312" w:eastAsia="仿宋_GB2312" w:cs="仿宋_GB2312"/>
          <w:color w:val="auto"/>
          <w:sz w:val="32"/>
          <w:szCs w:val="32"/>
          <w:highlight w:val="none"/>
          <w:lang w:eastAsia="zh-CN"/>
        </w:rPr>
        <w:t>审核、</w:t>
      </w:r>
      <w:r>
        <w:rPr>
          <w:rFonts w:hint="eastAsia" w:ascii="仿宋_GB2312" w:hAnsi="仿宋_GB2312" w:eastAsia="仿宋_GB2312" w:cs="仿宋_GB2312"/>
          <w:color w:val="auto"/>
          <w:sz w:val="32"/>
          <w:szCs w:val="32"/>
          <w:highlight w:val="none"/>
        </w:rPr>
        <w:t>成交结果公示、签订合同、发布成交公告等流程。</w:t>
      </w:r>
    </w:p>
    <w:p w14:paraId="4F0DC8F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color w:val="auto"/>
          <w:sz w:val="32"/>
          <w:szCs w:val="32"/>
          <w:highlight w:val="none"/>
        </w:rPr>
        <w:t>（一）民主决策。农村集体经济组织按规定召集会议对农村产权流转交易</w:t>
      </w:r>
      <w:r>
        <w:rPr>
          <w:rFonts w:hint="eastAsia" w:ascii="仿宋_GB2312" w:hAnsi="仿宋_GB2312" w:eastAsia="仿宋_GB2312" w:cs="仿宋_GB2312"/>
          <w:color w:val="auto"/>
          <w:sz w:val="32"/>
          <w:szCs w:val="32"/>
          <w:highlight w:val="none"/>
          <w:lang w:eastAsia="zh-CN"/>
        </w:rPr>
        <w:t>方案</w:t>
      </w:r>
      <w:r>
        <w:rPr>
          <w:rFonts w:hint="eastAsia" w:ascii="仿宋_GB2312" w:hAnsi="仿宋_GB2312" w:eastAsia="仿宋_GB2312" w:cs="仿宋_GB2312"/>
          <w:color w:val="auto"/>
          <w:sz w:val="32"/>
          <w:szCs w:val="32"/>
          <w:highlight w:val="none"/>
        </w:rPr>
        <w:t>进行民主表决。</w:t>
      </w:r>
      <w:r>
        <w:rPr>
          <w:rFonts w:hint="eastAsia" w:ascii="仿宋_GB2312" w:hAnsi="仿宋_GB2312" w:eastAsia="仿宋_GB2312" w:cs="仿宋_GB2312"/>
          <w:i w:val="0"/>
          <w:caps w:val="0"/>
          <w:color w:val="auto"/>
          <w:spacing w:val="0"/>
          <w:sz w:val="32"/>
          <w:szCs w:val="32"/>
          <w:highlight w:val="none"/>
          <w:shd w:val="clear" w:color="auto" w:fill="FFFFFF"/>
        </w:rPr>
        <w:t>方案应包括交易项目情况、</w:t>
      </w:r>
      <w:r>
        <w:rPr>
          <w:rFonts w:hint="eastAsia" w:ascii="仿宋_GB2312" w:hAnsi="仿宋_GB2312" w:eastAsia="仿宋_GB2312" w:cs="仿宋_GB2312"/>
          <w:i w:val="0"/>
          <w:caps w:val="0"/>
          <w:color w:val="auto"/>
          <w:spacing w:val="0"/>
          <w:sz w:val="32"/>
          <w:szCs w:val="32"/>
          <w:highlight w:val="none"/>
          <w:shd w:val="clear" w:color="auto" w:fill="FFFFFF"/>
          <w:lang w:eastAsia="zh-CN"/>
        </w:rPr>
        <w:t>报名者</w:t>
      </w:r>
      <w:r>
        <w:rPr>
          <w:rFonts w:hint="eastAsia" w:ascii="仿宋_GB2312" w:hAnsi="仿宋_GB2312" w:eastAsia="仿宋_GB2312" w:cs="仿宋_GB2312"/>
          <w:i w:val="0"/>
          <w:caps w:val="0"/>
          <w:color w:val="auto"/>
          <w:spacing w:val="0"/>
          <w:sz w:val="32"/>
          <w:szCs w:val="32"/>
          <w:highlight w:val="none"/>
          <w:shd w:val="clear" w:color="auto" w:fill="FFFFFF"/>
        </w:rPr>
        <w:t>资格条件、</w:t>
      </w:r>
      <w:r>
        <w:rPr>
          <w:rFonts w:hint="eastAsia" w:ascii="仿宋_GB2312" w:hAnsi="仿宋_GB2312" w:eastAsia="仿宋_GB2312" w:cs="仿宋_GB2312"/>
          <w:i w:val="0"/>
          <w:caps w:val="0"/>
          <w:color w:val="auto"/>
          <w:spacing w:val="0"/>
          <w:sz w:val="32"/>
          <w:szCs w:val="32"/>
          <w:highlight w:val="none"/>
          <w:shd w:val="clear" w:color="auto" w:fill="FFFFFF"/>
          <w:lang w:eastAsia="zh-CN"/>
        </w:rPr>
        <w:t>遴选评审方式、</w:t>
      </w:r>
      <w:r>
        <w:rPr>
          <w:rFonts w:hint="eastAsia" w:ascii="仿宋_GB2312" w:hAnsi="仿宋_GB2312" w:eastAsia="仿宋_GB2312" w:cs="仿宋_GB2312"/>
          <w:i w:val="0"/>
          <w:caps w:val="0"/>
          <w:color w:val="auto"/>
          <w:spacing w:val="0"/>
          <w:sz w:val="32"/>
          <w:szCs w:val="32"/>
          <w:highlight w:val="none"/>
          <w:shd w:val="clear" w:color="auto" w:fill="FFFFFF"/>
        </w:rPr>
        <w:t>合同等内容。</w:t>
      </w:r>
    </w:p>
    <w:p w14:paraId="239A724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（二）发布遴选公告。</w:t>
      </w:r>
      <w:r>
        <w:rPr>
          <w:rFonts w:hint="eastAsia" w:ascii="仿宋_GB2312" w:hAnsi="仿宋_GB2312" w:eastAsia="仿宋_GB2312" w:cs="仿宋_GB2312"/>
          <w:i w:val="0"/>
          <w:caps w:val="0"/>
          <w:color w:val="auto"/>
          <w:spacing w:val="0"/>
          <w:sz w:val="32"/>
          <w:szCs w:val="32"/>
          <w:highlight w:val="none"/>
          <w:shd w:val="clear" w:color="auto" w:fill="FFFFFF"/>
        </w:rPr>
        <w:t>由</w:t>
      </w:r>
      <w:r>
        <w:rPr>
          <w:rFonts w:hint="eastAsia" w:ascii="仿宋_GB2312" w:hAnsi="仿宋_GB2312" w:eastAsia="仿宋_GB2312" w:cs="仿宋_GB2312"/>
          <w:i w:val="0"/>
          <w:caps w:val="0"/>
          <w:color w:val="auto"/>
          <w:spacing w:val="0"/>
          <w:sz w:val="32"/>
          <w:szCs w:val="32"/>
          <w:highlight w:val="none"/>
          <w:shd w:val="clear" w:color="auto" w:fill="FFFFFF"/>
          <w:lang w:eastAsia="zh-CN"/>
        </w:rPr>
        <w:t>镇</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农业农村</w:t>
      </w:r>
      <w:r>
        <w:rPr>
          <w:rFonts w:hint="eastAsia" w:ascii="仿宋_GB2312" w:hAnsi="仿宋_GB2312" w:eastAsia="仿宋_GB2312" w:cs="仿宋_GB2312"/>
          <w:i w:val="0"/>
          <w:caps w:val="0"/>
          <w:color w:val="auto"/>
          <w:spacing w:val="0"/>
          <w:sz w:val="32"/>
          <w:szCs w:val="32"/>
          <w:highlight w:val="none"/>
          <w:shd w:val="clear" w:color="auto" w:fill="FFFFFF"/>
          <w:lang w:eastAsia="zh-CN"/>
        </w:rPr>
        <w:t>部门</w:t>
      </w:r>
      <w:r>
        <w:rPr>
          <w:rFonts w:hint="eastAsia" w:ascii="仿宋_GB2312" w:hAnsi="仿宋_GB2312" w:eastAsia="仿宋_GB2312" w:cs="仿宋_GB2312"/>
          <w:i w:val="0"/>
          <w:caps w:val="0"/>
          <w:color w:val="auto"/>
          <w:spacing w:val="0"/>
          <w:sz w:val="32"/>
          <w:szCs w:val="32"/>
          <w:highlight w:val="none"/>
          <w:shd w:val="clear" w:color="auto" w:fill="FFFFFF"/>
        </w:rPr>
        <w:t>对</w:t>
      </w:r>
      <w:r>
        <w:rPr>
          <w:rFonts w:hint="eastAsia" w:ascii="仿宋_GB2312" w:hAnsi="仿宋_GB2312" w:eastAsia="仿宋_GB2312" w:cs="仿宋_GB2312"/>
          <w:i w:val="0"/>
          <w:caps w:val="0"/>
          <w:color w:val="auto"/>
          <w:spacing w:val="0"/>
          <w:sz w:val="32"/>
          <w:szCs w:val="32"/>
          <w:highlight w:val="none"/>
          <w:shd w:val="clear" w:color="auto" w:fill="FFFFFF"/>
          <w:lang w:eastAsia="zh-CN"/>
        </w:rPr>
        <w:t>公开遴选</w:t>
      </w:r>
      <w:r>
        <w:rPr>
          <w:rFonts w:hint="eastAsia" w:ascii="仿宋_GB2312" w:hAnsi="仿宋_GB2312" w:eastAsia="仿宋_GB2312" w:cs="仿宋_GB2312"/>
          <w:i w:val="0"/>
          <w:caps w:val="0"/>
          <w:color w:val="auto"/>
          <w:spacing w:val="0"/>
          <w:sz w:val="32"/>
          <w:szCs w:val="32"/>
          <w:highlight w:val="none"/>
          <w:shd w:val="clear" w:color="auto" w:fill="FFFFFF"/>
        </w:rPr>
        <w:t>交易申请进行审核</w:t>
      </w:r>
      <w:r>
        <w:rPr>
          <w:rFonts w:hint="default" w:ascii="仿宋_GB2312" w:hAnsi="仿宋_GB2312" w:eastAsia="仿宋_GB2312" w:cs="仿宋_GB2312"/>
          <w:i w:val="0"/>
          <w:caps w:val="0"/>
          <w:color w:val="auto"/>
          <w:spacing w:val="0"/>
          <w:sz w:val="32"/>
          <w:szCs w:val="32"/>
          <w:highlight w:val="none"/>
          <w:shd w:val="clear" w:color="auto" w:fill="FFFFFF"/>
          <w:lang w:val="en"/>
        </w:rPr>
        <w:t>，</w:t>
      </w:r>
      <w:r>
        <w:rPr>
          <w:rFonts w:hint="eastAsia" w:ascii="仿宋_GB2312" w:hAnsi="仿宋_GB2312" w:eastAsia="仿宋_GB2312" w:cs="仿宋_GB2312"/>
          <w:i w:val="0"/>
          <w:caps w:val="0"/>
          <w:color w:val="auto"/>
          <w:spacing w:val="0"/>
          <w:sz w:val="32"/>
          <w:szCs w:val="32"/>
          <w:highlight w:val="none"/>
          <w:shd w:val="clear" w:color="auto" w:fill="FFFFFF"/>
          <w:lang w:val="en" w:eastAsia="zh-CN"/>
        </w:rPr>
        <w:t>通过审核的交易项目</w:t>
      </w:r>
      <w:r>
        <w:rPr>
          <w:rFonts w:hint="eastAsia" w:ascii="仿宋_GB2312" w:hAnsi="仿宋_GB2312" w:eastAsia="仿宋_GB2312" w:cs="仿宋_GB2312"/>
          <w:color w:val="auto"/>
          <w:sz w:val="32"/>
          <w:szCs w:val="32"/>
          <w:highlight w:val="none"/>
        </w:rPr>
        <w:t>在一体化平台发布遴选公告，公告期限不少于5个工作日。遴选公告应当包括交易项目基本情况、资格条件、报名时间地点及方式、联系人及联系方式、其他需要公告的内容。</w:t>
      </w:r>
    </w:p>
    <w:p w14:paraId="4040882F">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before="0" w:beforeAutospacing="0" w:after="0" w:afterAutospacing="0" w:line="560" w:lineRule="exact"/>
        <w:ind w:right="0" w:firstLine="640"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（三）</w:t>
      </w:r>
      <w:r>
        <w:rPr>
          <w:rFonts w:hint="eastAsia" w:ascii="仿宋_GB2312" w:hAnsi="仿宋_GB2312" w:eastAsia="仿宋_GB2312" w:cs="仿宋_GB2312"/>
          <w:i w:val="0"/>
          <w:caps w:val="0"/>
          <w:color w:val="auto"/>
          <w:spacing w:val="0"/>
          <w:sz w:val="32"/>
          <w:szCs w:val="32"/>
          <w:highlight w:val="none"/>
          <w:shd w:val="clear" w:color="auto" w:fill="FFFFFF"/>
        </w:rPr>
        <w:t>报名并缴纳保证金。</w:t>
      </w:r>
      <w:r>
        <w:rPr>
          <w:rFonts w:hint="eastAsia" w:ascii="仿宋_GB2312" w:hAnsi="仿宋_GB2312" w:eastAsia="仿宋_GB2312" w:cs="仿宋_GB2312"/>
          <w:i w:val="0"/>
          <w:caps w:val="0"/>
          <w:color w:val="auto"/>
          <w:spacing w:val="0"/>
          <w:sz w:val="32"/>
          <w:szCs w:val="32"/>
          <w:highlight w:val="none"/>
          <w:shd w:val="clear" w:color="auto" w:fill="FFFFFF"/>
          <w:lang w:eastAsia="zh-CN"/>
        </w:rPr>
        <w:t>意向受让方</w:t>
      </w:r>
      <w:r>
        <w:rPr>
          <w:rFonts w:hint="eastAsia" w:ascii="仿宋_GB2312" w:hAnsi="仿宋_GB2312" w:eastAsia="仿宋_GB2312" w:cs="仿宋_GB2312"/>
          <w:i w:val="0"/>
          <w:caps w:val="0"/>
          <w:color w:val="auto"/>
          <w:spacing w:val="0"/>
          <w:sz w:val="32"/>
          <w:szCs w:val="32"/>
          <w:highlight w:val="none"/>
          <w:shd w:val="clear" w:color="auto" w:fill="FFFFFF"/>
        </w:rPr>
        <w:t>按照规定时间报名并缴纳保证金</w:t>
      </w:r>
      <w:r>
        <w:rPr>
          <w:rFonts w:hint="default" w:ascii="仿宋_GB2312" w:hAnsi="仿宋_GB2312" w:eastAsia="仿宋_GB2312" w:cs="仿宋_GB2312"/>
          <w:i w:val="0"/>
          <w:caps w:val="0"/>
          <w:color w:val="auto"/>
          <w:spacing w:val="0"/>
          <w:sz w:val="32"/>
          <w:szCs w:val="32"/>
          <w:highlight w:val="none"/>
          <w:shd w:val="clear" w:color="auto" w:fill="FFFFFF"/>
          <w:lang w:val="en"/>
        </w:rPr>
        <w:t>，</w:t>
      </w:r>
      <w:r>
        <w:rPr>
          <w:rFonts w:hint="eastAsia" w:ascii="仿宋_GB2312" w:hAnsi="仿宋_GB2312" w:eastAsia="仿宋_GB2312" w:cs="仿宋_GB2312"/>
          <w:i w:val="0"/>
          <w:caps w:val="0"/>
          <w:color w:val="auto"/>
          <w:spacing w:val="0"/>
          <w:sz w:val="32"/>
          <w:szCs w:val="32"/>
          <w:highlight w:val="none"/>
          <w:shd w:val="clear" w:color="auto" w:fill="FFFFFF"/>
        </w:rPr>
        <w:t>保证金缴纳账户名称必须与</w:t>
      </w:r>
      <w:r>
        <w:rPr>
          <w:rFonts w:hint="eastAsia" w:ascii="仿宋_GB2312" w:hAnsi="仿宋_GB2312" w:eastAsia="仿宋_GB2312" w:cs="仿宋_GB2312"/>
          <w:i w:val="0"/>
          <w:caps w:val="0"/>
          <w:color w:val="auto"/>
          <w:spacing w:val="0"/>
          <w:sz w:val="32"/>
          <w:szCs w:val="32"/>
          <w:highlight w:val="none"/>
          <w:shd w:val="clear" w:color="auto" w:fill="FFFFFF"/>
          <w:lang w:eastAsia="zh-CN"/>
        </w:rPr>
        <w:t>意向受让方</w:t>
      </w:r>
      <w:r>
        <w:rPr>
          <w:rFonts w:hint="eastAsia" w:ascii="仿宋_GB2312" w:hAnsi="仿宋_GB2312" w:eastAsia="仿宋_GB2312" w:cs="仿宋_GB2312"/>
          <w:i w:val="0"/>
          <w:caps w:val="0"/>
          <w:color w:val="auto"/>
          <w:spacing w:val="0"/>
          <w:sz w:val="32"/>
          <w:szCs w:val="32"/>
          <w:highlight w:val="none"/>
          <w:shd w:val="clear" w:color="auto" w:fill="FFFFFF"/>
        </w:rPr>
        <w:t>名称保持一致。</w:t>
      </w:r>
    </w:p>
    <w:p w14:paraId="5535947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资格审核。</w:t>
      </w:r>
      <w:r>
        <w:rPr>
          <w:rFonts w:hint="eastAsia" w:ascii="仿宋_GB2312" w:hAnsi="仿宋_GB2312" w:eastAsia="仿宋_GB2312" w:cs="仿宋_GB2312"/>
          <w:b w:val="0"/>
          <w:bCs w:val="0"/>
          <w:color w:val="auto"/>
          <w:sz w:val="32"/>
          <w:szCs w:val="32"/>
          <w:highlight w:val="none"/>
          <w:lang w:val="en-US" w:eastAsia="zh-CN"/>
        </w:rPr>
        <w:t>成立5人及以上（单数）的评审小组，成员由村“两委”干部、监委会成员代表、村（社区）纪委书记组成，并可按遴选评审条件需要，邀请镇相关职能部门参与。</w:t>
      </w:r>
    </w:p>
    <w:p w14:paraId="0A1D4B0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开展</w:t>
      </w:r>
      <w:r>
        <w:rPr>
          <w:rFonts w:hint="eastAsia" w:ascii="仿宋_GB2312" w:hAnsi="仿宋_GB2312" w:eastAsia="仿宋_GB2312" w:cs="仿宋_GB2312"/>
          <w:color w:val="auto"/>
          <w:sz w:val="32"/>
          <w:szCs w:val="32"/>
          <w:highlight w:val="none"/>
        </w:rPr>
        <w:t>遴选。由农村集体经济组织与</w:t>
      </w:r>
      <w:r>
        <w:rPr>
          <w:rFonts w:hint="eastAsia" w:ascii="仿宋_GB2312" w:hAnsi="仿宋_GB2312" w:eastAsia="仿宋_GB2312" w:cs="仿宋_GB2312"/>
          <w:color w:val="auto"/>
          <w:sz w:val="32"/>
          <w:szCs w:val="32"/>
          <w:highlight w:val="none"/>
          <w:lang w:eastAsia="zh-CN"/>
        </w:rPr>
        <w:t>已报名的</w:t>
      </w:r>
      <w:r>
        <w:rPr>
          <w:rFonts w:hint="eastAsia" w:ascii="仿宋_GB2312" w:hAnsi="仿宋_GB2312" w:eastAsia="仿宋_GB2312" w:cs="仿宋_GB2312"/>
          <w:color w:val="auto"/>
          <w:sz w:val="32"/>
          <w:szCs w:val="32"/>
          <w:highlight w:val="none"/>
        </w:rPr>
        <w:t>符合公开</w:t>
      </w:r>
      <w:r>
        <w:rPr>
          <w:rFonts w:hint="eastAsia" w:ascii="仿宋_GB2312" w:hAnsi="仿宋_GB2312" w:eastAsia="仿宋_GB2312" w:cs="仿宋_GB2312"/>
          <w:color w:val="auto"/>
          <w:sz w:val="32"/>
          <w:szCs w:val="32"/>
          <w:highlight w:val="none"/>
          <w:lang w:eastAsia="zh-CN"/>
        </w:rPr>
        <w:t>遴选</w:t>
      </w:r>
      <w:r>
        <w:rPr>
          <w:rFonts w:hint="eastAsia" w:ascii="仿宋_GB2312" w:hAnsi="仿宋_GB2312" w:eastAsia="仿宋_GB2312" w:cs="仿宋_GB2312"/>
          <w:color w:val="auto"/>
          <w:sz w:val="32"/>
          <w:szCs w:val="32"/>
          <w:highlight w:val="none"/>
        </w:rPr>
        <w:t>交易条件的</w:t>
      </w:r>
      <w:r>
        <w:rPr>
          <w:rFonts w:hint="eastAsia" w:ascii="仿宋_GB2312" w:hAnsi="仿宋_GB2312" w:eastAsia="仿宋_GB2312" w:cs="仿宋_GB2312"/>
          <w:color w:val="auto"/>
          <w:sz w:val="32"/>
          <w:szCs w:val="32"/>
          <w:highlight w:val="none"/>
          <w:lang w:eastAsia="zh-CN"/>
        </w:rPr>
        <w:t>意向受让方</w:t>
      </w:r>
      <w:r>
        <w:rPr>
          <w:rFonts w:hint="eastAsia" w:ascii="仿宋_GB2312" w:hAnsi="仿宋_GB2312" w:eastAsia="仿宋_GB2312" w:cs="仿宋_GB2312"/>
          <w:color w:val="auto"/>
          <w:sz w:val="32"/>
          <w:szCs w:val="32"/>
          <w:highlight w:val="none"/>
        </w:rPr>
        <w:t>开展公开协商，并</w:t>
      </w:r>
      <w:r>
        <w:rPr>
          <w:rFonts w:hint="eastAsia" w:ascii="仿宋_GB2312" w:hAnsi="仿宋_GB2312" w:eastAsia="仿宋_GB2312" w:cs="仿宋_GB2312"/>
          <w:color w:val="auto"/>
          <w:sz w:val="32"/>
          <w:szCs w:val="32"/>
          <w:highlight w:val="none"/>
          <w:lang w:val="en-US" w:eastAsia="zh-CN"/>
        </w:rPr>
        <w:t>按照民主决策确定的遴选评审方式确定受让方</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选择公开遴选的交易项目需由镇农业农村部门相关工作人员在场监督交易过程，交易结果需由交易双方及镇农业农村部门现场确认签字。</w:t>
      </w:r>
    </w:p>
    <w:p w14:paraId="4C1FF82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六</w:t>
      </w:r>
      <w:r>
        <w:rPr>
          <w:rFonts w:hint="eastAsia" w:ascii="仿宋_GB2312" w:hAnsi="仿宋_GB2312" w:eastAsia="仿宋_GB2312" w:cs="仿宋_GB2312"/>
          <w:color w:val="auto"/>
          <w:sz w:val="32"/>
          <w:szCs w:val="32"/>
          <w:highlight w:val="none"/>
        </w:rPr>
        <w:t>）成交结果公示。成交项目在一体化平台和农村集体经济组织公开栏进行公示，公示期限不少于</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个工作日。</w:t>
      </w:r>
    </w:p>
    <w:p w14:paraId="4AAEAB0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七</w:t>
      </w:r>
      <w:r>
        <w:rPr>
          <w:rFonts w:hint="eastAsia" w:ascii="仿宋_GB2312" w:hAnsi="仿宋_GB2312" w:eastAsia="仿宋_GB2312" w:cs="仿宋_GB2312"/>
          <w:color w:val="auto"/>
          <w:sz w:val="32"/>
          <w:szCs w:val="32"/>
          <w:highlight w:val="none"/>
        </w:rPr>
        <w:t>）签订合同。公示无异议或者异议不成立的，由农村集体经济组织与项目</w:t>
      </w:r>
      <w:r>
        <w:rPr>
          <w:rFonts w:hint="eastAsia" w:ascii="仿宋_GB2312" w:hAnsi="仿宋_GB2312" w:eastAsia="仿宋_GB2312" w:cs="仿宋_GB2312"/>
          <w:color w:val="auto"/>
          <w:sz w:val="32"/>
          <w:szCs w:val="32"/>
          <w:highlight w:val="none"/>
          <w:lang w:eastAsia="zh-CN"/>
        </w:rPr>
        <w:t>受让方</w:t>
      </w:r>
      <w:r>
        <w:rPr>
          <w:rFonts w:hint="eastAsia" w:ascii="仿宋_GB2312" w:hAnsi="仿宋_GB2312" w:eastAsia="仿宋_GB2312" w:cs="仿宋_GB2312"/>
          <w:color w:val="auto"/>
          <w:sz w:val="32"/>
          <w:szCs w:val="32"/>
          <w:highlight w:val="none"/>
        </w:rPr>
        <w:t>签订合同。</w:t>
      </w:r>
    </w:p>
    <w:p w14:paraId="0625C25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八</w:t>
      </w:r>
      <w:r>
        <w:rPr>
          <w:rFonts w:hint="eastAsia" w:ascii="仿宋_GB2312" w:hAnsi="仿宋_GB2312" w:eastAsia="仿宋_GB2312" w:cs="仿宋_GB2312"/>
          <w:color w:val="auto"/>
          <w:sz w:val="32"/>
          <w:szCs w:val="32"/>
          <w:highlight w:val="none"/>
        </w:rPr>
        <w:t>）发布成交公告。合同签订后，在一体化平台和农村集体经济组织公开栏发布交易结果公告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公示期限不少于5个工作日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i w:val="0"/>
          <w:caps w:val="0"/>
          <w:color w:val="auto"/>
          <w:spacing w:val="0"/>
          <w:sz w:val="32"/>
          <w:szCs w:val="32"/>
          <w:highlight w:val="none"/>
          <w:shd w:val="clear" w:color="auto" w:fill="FFFFFF"/>
        </w:rPr>
        <w:t>未签订合同的，在</w:t>
      </w:r>
      <w:r>
        <w:rPr>
          <w:rFonts w:hint="eastAsia" w:ascii="仿宋_GB2312" w:hAnsi="仿宋_GB2312" w:eastAsia="仿宋_GB2312" w:cs="仿宋_GB2312"/>
          <w:i w:val="0"/>
          <w:caps w:val="0"/>
          <w:color w:val="auto"/>
          <w:spacing w:val="0"/>
          <w:sz w:val="32"/>
          <w:szCs w:val="32"/>
          <w:highlight w:val="none"/>
          <w:shd w:val="clear" w:color="auto" w:fill="FFFFFF"/>
          <w:lang w:eastAsia="zh-CN"/>
        </w:rPr>
        <w:t>一体化</w:t>
      </w:r>
      <w:r>
        <w:rPr>
          <w:rFonts w:hint="eastAsia" w:ascii="仿宋_GB2312" w:hAnsi="仿宋_GB2312" w:eastAsia="仿宋_GB2312" w:cs="仿宋_GB2312"/>
          <w:i w:val="0"/>
          <w:caps w:val="0"/>
          <w:color w:val="auto"/>
          <w:spacing w:val="0"/>
          <w:sz w:val="32"/>
          <w:szCs w:val="32"/>
          <w:highlight w:val="none"/>
          <w:shd w:val="clear" w:color="auto" w:fill="FFFFFF"/>
        </w:rPr>
        <w:t>平台发布弃拍公告。</w:t>
      </w:r>
    </w:p>
    <w:p w14:paraId="30D3E61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eastAsia="zh-CN"/>
        </w:rPr>
        <w:t>二十五</w:t>
      </w:r>
      <w:r>
        <w:rPr>
          <w:rFonts w:hint="eastAsia" w:ascii="仿宋_GB2312" w:hAnsi="仿宋_GB2312" w:eastAsia="仿宋_GB2312" w:cs="仿宋_GB2312"/>
          <w:b/>
          <w:color w:val="auto"/>
          <w:sz w:val="32"/>
          <w:szCs w:val="32"/>
          <w:highlight w:val="none"/>
        </w:rPr>
        <w:t>条</w:t>
      </w:r>
      <w:r>
        <w:rPr>
          <w:rFonts w:hint="eastAsia" w:ascii="仿宋_GB2312" w:hAnsi="仿宋_GB2312" w:eastAsia="仿宋_GB2312" w:cs="仿宋_GB2312"/>
          <w:b/>
          <w:color w:val="auto"/>
          <w:sz w:val="32"/>
          <w:szCs w:val="32"/>
          <w:highlight w:val="none"/>
        </w:rPr>
        <w:tab/>
      </w:r>
      <w:r>
        <w:rPr>
          <w:rFonts w:hint="eastAsia" w:ascii="仿宋_GB2312" w:hAnsi="仿宋_GB2312" w:eastAsia="仿宋_GB2312" w:cs="仿宋_GB2312"/>
          <w:color w:val="auto"/>
          <w:sz w:val="32"/>
          <w:szCs w:val="32"/>
          <w:highlight w:val="none"/>
          <w:lang w:eastAsia="zh-CN"/>
        </w:rPr>
        <w:t>定向</w:t>
      </w:r>
      <w:r>
        <w:rPr>
          <w:rFonts w:hint="eastAsia" w:ascii="仿宋_GB2312" w:hAnsi="仿宋_GB2312" w:eastAsia="仿宋_GB2312" w:cs="仿宋_GB2312"/>
          <w:color w:val="auto"/>
          <w:sz w:val="32"/>
          <w:szCs w:val="32"/>
          <w:highlight w:val="none"/>
        </w:rPr>
        <w:t>协商交易程序应包括：民主决策、</w:t>
      </w:r>
      <w:r>
        <w:rPr>
          <w:rFonts w:hint="eastAsia" w:ascii="仿宋_GB2312" w:hAnsi="仿宋_GB2312" w:eastAsia="仿宋_GB2312" w:cs="仿宋_GB2312"/>
          <w:color w:val="auto"/>
          <w:sz w:val="32"/>
          <w:szCs w:val="32"/>
          <w:highlight w:val="none"/>
          <w:lang w:eastAsia="zh-CN"/>
        </w:rPr>
        <w:t>审核、</w:t>
      </w:r>
      <w:r>
        <w:rPr>
          <w:rFonts w:hint="eastAsia" w:ascii="仿宋_GB2312" w:hAnsi="仿宋_GB2312" w:eastAsia="仿宋_GB2312" w:cs="仿宋_GB2312"/>
          <w:color w:val="auto"/>
          <w:sz w:val="32"/>
          <w:szCs w:val="32"/>
          <w:highlight w:val="none"/>
        </w:rPr>
        <w:t>成交结果公示、签订合同、发布成交公告等流程。</w:t>
      </w:r>
    </w:p>
    <w:p w14:paraId="75A0CD7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（一）民主决策。农村集体经济组织按规定召集会议对农村产权流转交易</w:t>
      </w:r>
      <w:r>
        <w:rPr>
          <w:rFonts w:hint="eastAsia" w:ascii="仿宋_GB2312" w:hAnsi="仿宋_GB2312" w:eastAsia="仿宋_GB2312" w:cs="仿宋_GB2312"/>
          <w:color w:val="auto"/>
          <w:sz w:val="32"/>
          <w:szCs w:val="32"/>
          <w:highlight w:val="none"/>
          <w:lang w:eastAsia="zh-CN"/>
        </w:rPr>
        <w:t>方案</w:t>
      </w:r>
      <w:r>
        <w:rPr>
          <w:rFonts w:hint="eastAsia" w:ascii="仿宋_GB2312" w:hAnsi="仿宋_GB2312" w:eastAsia="仿宋_GB2312" w:cs="仿宋_GB2312"/>
          <w:color w:val="auto"/>
          <w:sz w:val="32"/>
          <w:szCs w:val="32"/>
          <w:highlight w:val="none"/>
        </w:rPr>
        <w:t>进行民主表决。</w:t>
      </w:r>
      <w:r>
        <w:rPr>
          <w:rFonts w:hint="eastAsia" w:ascii="仿宋_GB2312" w:hAnsi="仿宋_GB2312" w:eastAsia="仿宋_GB2312" w:cs="仿宋_GB2312"/>
          <w:i w:val="0"/>
          <w:caps w:val="0"/>
          <w:color w:val="auto"/>
          <w:spacing w:val="0"/>
          <w:sz w:val="32"/>
          <w:szCs w:val="32"/>
          <w:highlight w:val="none"/>
          <w:shd w:val="clear" w:color="auto" w:fill="FFFFFF"/>
        </w:rPr>
        <w:t>方案应包括交易项目情况、</w:t>
      </w:r>
      <w:r>
        <w:rPr>
          <w:rFonts w:hint="eastAsia" w:ascii="仿宋_GB2312" w:hAnsi="仿宋_GB2312" w:eastAsia="仿宋_GB2312" w:cs="仿宋_GB2312"/>
          <w:i w:val="0"/>
          <w:caps w:val="0"/>
          <w:color w:val="auto"/>
          <w:spacing w:val="0"/>
          <w:sz w:val="32"/>
          <w:szCs w:val="32"/>
          <w:highlight w:val="none"/>
          <w:shd w:val="clear" w:color="auto" w:fill="FFFFFF"/>
          <w:lang w:eastAsia="zh-CN"/>
        </w:rPr>
        <w:t>定向协商受让方的基本情况</w:t>
      </w:r>
      <w:r>
        <w:rPr>
          <w:rFonts w:hint="eastAsia" w:ascii="仿宋_GB2312" w:hAnsi="仿宋_GB2312" w:eastAsia="仿宋_GB2312" w:cs="仿宋_GB2312"/>
          <w:i w:val="0"/>
          <w:caps w:val="0"/>
          <w:color w:val="auto"/>
          <w:spacing w:val="0"/>
          <w:sz w:val="32"/>
          <w:szCs w:val="32"/>
          <w:highlight w:val="none"/>
          <w:shd w:val="clear" w:color="auto" w:fill="FFFFFF"/>
        </w:rPr>
        <w:t>、</w:t>
      </w:r>
      <w:r>
        <w:rPr>
          <w:rFonts w:hint="eastAsia" w:ascii="仿宋_GB2312" w:hAnsi="仿宋_GB2312" w:eastAsia="仿宋_GB2312" w:cs="仿宋_GB2312"/>
          <w:i w:val="0"/>
          <w:caps w:val="0"/>
          <w:color w:val="auto"/>
          <w:spacing w:val="0"/>
          <w:sz w:val="32"/>
          <w:szCs w:val="32"/>
          <w:highlight w:val="none"/>
          <w:shd w:val="clear" w:color="auto" w:fill="FFFFFF"/>
          <w:lang w:eastAsia="zh-CN"/>
        </w:rPr>
        <w:t>采用定向协商方式的原因、</w:t>
      </w:r>
      <w:r>
        <w:rPr>
          <w:rFonts w:hint="eastAsia" w:ascii="仿宋_GB2312" w:hAnsi="仿宋_GB2312" w:eastAsia="仿宋_GB2312" w:cs="仿宋_GB2312"/>
          <w:i w:val="0"/>
          <w:caps w:val="0"/>
          <w:color w:val="auto"/>
          <w:spacing w:val="0"/>
          <w:sz w:val="32"/>
          <w:szCs w:val="32"/>
          <w:highlight w:val="none"/>
          <w:shd w:val="clear" w:color="auto" w:fill="FFFFFF"/>
        </w:rPr>
        <w:t>合同等内容。</w:t>
      </w:r>
    </w:p>
    <w:p w14:paraId="744DA7F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审核</w:t>
      </w:r>
      <w:r>
        <w:rPr>
          <w:rFonts w:hint="eastAsia" w:ascii="仿宋_GB2312" w:hAnsi="仿宋_GB2312" w:eastAsia="仿宋_GB2312" w:cs="仿宋_GB2312"/>
          <w:color w:val="auto"/>
          <w:sz w:val="32"/>
          <w:szCs w:val="32"/>
          <w:highlight w:val="none"/>
        </w:rPr>
        <w:t>。由农村集体经济组织向</w:t>
      </w:r>
      <w:r>
        <w:rPr>
          <w:rFonts w:hint="eastAsia" w:ascii="仿宋_GB2312" w:hAnsi="仿宋_GB2312" w:eastAsia="仿宋_GB2312" w:cs="仿宋_GB2312"/>
          <w:color w:val="auto"/>
          <w:sz w:val="32"/>
          <w:szCs w:val="32"/>
          <w:highlight w:val="none"/>
          <w:lang w:val="en-US" w:eastAsia="zh-CN"/>
        </w:rPr>
        <w:t>所属</w:t>
      </w:r>
      <w:r>
        <w:rPr>
          <w:rFonts w:hint="eastAsia" w:ascii="仿宋_GB2312" w:hAnsi="仿宋_GB2312" w:eastAsia="仿宋_GB2312" w:cs="仿宋_GB2312"/>
          <w:color w:val="auto"/>
          <w:spacing w:val="0"/>
          <w:sz w:val="32"/>
          <w:szCs w:val="32"/>
          <w:highlight w:val="none"/>
        </w:rPr>
        <w:t>村（社区居）委</w:t>
      </w:r>
      <w:r>
        <w:rPr>
          <w:rFonts w:hint="eastAsia" w:ascii="仿宋_GB2312" w:hAnsi="仿宋_GB2312" w:eastAsia="仿宋_GB2312" w:cs="仿宋_GB2312"/>
          <w:color w:val="auto"/>
          <w:sz w:val="32"/>
          <w:szCs w:val="32"/>
          <w:highlight w:val="none"/>
          <w:lang w:val="en-US" w:eastAsia="zh-CN"/>
        </w:rPr>
        <w:t>会提交书面申请，</w:t>
      </w:r>
      <w:r>
        <w:rPr>
          <w:rFonts w:hint="eastAsia" w:ascii="仿宋_GB2312" w:hAnsi="仿宋_GB2312" w:eastAsia="仿宋_GB2312" w:cs="仿宋_GB2312"/>
          <w:color w:val="auto"/>
          <w:spacing w:val="0"/>
          <w:sz w:val="32"/>
          <w:szCs w:val="32"/>
          <w:highlight w:val="none"/>
        </w:rPr>
        <w:t>村（社区居）委</w:t>
      </w:r>
      <w:r>
        <w:rPr>
          <w:rFonts w:hint="eastAsia" w:ascii="仿宋_GB2312" w:hAnsi="仿宋_GB2312" w:eastAsia="仿宋_GB2312" w:cs="仿宋_GB2312"/>
          <w:color w:val="auto"/>
          <w:sz w:val="32"/>
          <w:szCs w:val="32"/>
          <w:highlight w:val="none"/>
          <w:lang w:val="en-US" w:eastAsia="zh-CN"/>
        </w:rPr>
        <w:t>会初审后提交到</w:t>
      </w:r>
      <w:r>
        <w:rPr>
          <w:rFonts w:hint="eastAsia" w:ascii="仿宋_GB2312" w:hAnsi="仿宋_GB2312" w:eastAsia="仿宋_GB2312" w:cs="仿宋_GB2312"/>
          <w:color w:val="auto"/>
          <w:sz w:val="32"/>
          <w:szCs w:val="32"/>
          <w:highlight w:val="none"/>
          <w:lang w:eastAsia="zh-CN"/>
        </w:rPr>
        <w:t>镇农业农村部门对定向协商交易</w:t>
      </w:r>
      <w:r>
        <w:rPr>
          <w:rFonts w:hint="eastAsia" w:ascii="仿宋_GB2312" w:hAnsi="仿宋_GB2312" w:eastAsia="仿宋_GB2312" w:cs="仿宋_GB2312"/>
          <w:color w:val="auto"/>
          <w:sz w:val="32"/>
          <w:szCs w:val="32"/>
          <w:highlight w:val="none"/>
          <w:lang w:val="en-US" w:eastAsia="zh-CN"/>
        </w:rPr>
        <w:t>申请书和</w:t>
      </w:r>
      <w:r>
        <w:rPr>
          <w:rFonts w:hint="eastAsia" w:ascii="仿宋_GB2312" w:hAnsi="仿宋_GB2312" w:eastAsia="仿宋_GB2312" w:cs="仿宋_GB2312"/>
          <w:color w:val="auto"/>
          <w:sz w:val="32"/>
          <w:szCs w:val="32"/>
          <w:highlight w:val="none"/>
          <w:lang w:eastAsia="zh-CN"/>
        </w:rPr>
        <w:t>方案进行</w:t>
      </w:r>
      <w:r>
        <w:rPr>
          <w:rFonts w:hint="eastAsia" w:ascii="仿宋_GB2312" w:hAnsi="仿宋_GB2312" w:eastAsia="仿宋_GB2312" w:cs="仿宋_GB2312"/>
          <w:color w:val="auto"/>
          <w:sz w:val="32"/>
          <w:szCs w:val="32"/>
          <w:highlight w:val="none"/>
          <w:lang w:val="en-US" w:eastAsia="zh-CN"/>
        </w:rPr>
        <w:t>复审</w:t>
      </w:r>
      <w:r>
        <w:rPr>
          <w:rFonts w:hint="eastAsia" w:ascii="仿宋_GB2312" w:hAnsi="仿宋_GB2312" w:eastAsia="仿宋_GB2312" w:cs="仿宋_GB2312"/>
          <w:color w:val="auto"/>
          <w:sz w:val="32"/>
          <w:szCs w:val="32"/>
          <w:highlight w:val="none"/>
          <w:lang w:eastAsia="zh-CN"/>
        </w:rPr>
        <w:t>。采取定向协商方式进行交易的由镇农业农村部门从严把握范围。</w:t>
      </w:r>
    </w:p>
    <w:p w14:paraId="6BD32BE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）成交结果公示。成交项目在一体化平台和农村集体经济组织公开栏进行公示，公示期限不少于</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个工作日。</w:t>
      </w:r>
    </w:p>
    <w:p w14:paraId="68FC309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）签订合同。公示无异议或者异议不成立的，由农村集体经济组织与项目</w:t>
      </w:r>
      <w:r>
        <w:rPr>
          <w:rFonts w:hint="eastAsia" w:ascii="仿宋_GB2312" w:hAnsi="仿宋_GB2312" w:eastAsia="仿宋_GB2312" w:cs="仿宋_GB2312"/>
          <w:color w:val="auto"/>
          <w:sz w:val="32"/>
          <w:szCs w:val="32"/>
          <w:highlight w:val="none"/>
          <w:lang w:eastAsia="zh-CN"/>
        </w:rPr>
        <w:t>受让方</w:t>
      </w:r>
      <w:r>
        <w:rPr>
          <w:rFonts w:hint="eastAsia" w:ascii="仿宋_GB2312" w:hAnsi="仿宋_GB2312" w:eastAsia="仿宋_GB2312" w:cs="仿宋_GB2312"/>
          <w:color w:val="auto"/>
          <w:sz w:val="32"/>
          <w:szCs w:val="32"/>
          <w:highlight w:val="none"/>
        </w:rPr>
        <w:t>签订合同。</w:t>
      </w:r>
    </w:p>
    <w:p w14:paraId="145506C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lang w:val="en-US" w:eastAsia="zh-CN" w:bidi="ar"/>
        </w:rPr>
        <w:t>（五）发布成交公告。合同签订后，在一体化平台和农村集体经济组织公开栏发布交易结果公告，</w:t>
      </w:r>
      <w:r>
        <w:rPr>
          <w:rFonts w:hint="eastAsia" w:ascii="仿宋_GB2312" w:hAnsi="仿宋_GB2312" w:eastAsia="仿宋_GB2312" w:cs="仿宋_GB2312"/>
          <w:b w:val="0"/>
          <w:bCs w:val="0"/>
          <w:color w:val="auto"/>
          <w:sz w:val="32"/>
          <w:szCs w:val="32"/>
          <w:highlight w:val="none"/>
          <w:lang w:val="en-US" w:eastAsia="zh-CN"/>
        </w:rPr>
        <w:t>公示期限不少于5个工作日</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未签订合同的，在一体化平台发布弃拍公告。</w:t>
      </w:r>
    </w:p>
    <w:p w14:paraId="22E693A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p>
    <w:p w14:paraId="2104B4C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ascii="仿宋_GB2312" w:hAnsi="Times New Roman" w:eastAsia="仿宋_GB2312"/>
          <w:b/>
          <w:color w:val="auto"/>
          <w:sz w:val="32"/>
          <w:szCs w:val="32"/>
          <w:highlight w:val="none"/>
        </w:rPr>
      </w:pPr>
      <w:r>
        <w:rPr>
          <w:rFonts w:hint="eastAsia" w:ascii="仿宋_GB2312" w:hAnsi="Times New Roman" w:eastAsia="仿宋_GB2312"/>
          <w:color w:val="auto"/>
          <w:sz w:val="32"/>
          <w:szCs w:val="32"/>
          <w:highlight w:val="none"/>
        </w:rPr>
        <w:t xml:space="preserve">            </w:t>
      </w:r>
      <w:r>
        <w:rPr>
          <w:rFonts w:hint="eastAsia" w:ascii="仿宋_GB2312" w:hAnsi="Times New Roman" w:eastAsia="仿宋_GB2312"/>
          <w:b/>
          <w:color w:val="auto"/>
          <w:sz w:val="32"/>
          <w:szCs w:val="32"/>
          <w:highlight w:val="none"/>
        </w:rPr>
        <w:t xml:space="preserve">    第三节  续约交易</w:t>
      </w:r>
    </w:p>
    <w:p w14:paraId="33BCB96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eastAsia="zh-CN"/>
        </w:rPr>
        <w:t>二十六</w:t>
      </w:r>
      <w:r>
        <w:rPr>
          <w:rFonts w:hint="eastAsia" w:ascii="仿宋_GB2312" w:hAnsi="仿宋_GB2312" w:eastAsia="仿宋_GB2312" w:cs="仿宋_GB2312"/>
          <w:b/>
          <w:color w:val="auto"/>
          <w:sz w:val="32"/>
          <w:szCs w:val="32"/>
          <w:highlight w:val="none"/>
        </w:rPr>
        <w:t>条</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t>续约交易。对于合同约定或符合续约交易条件的农村产权项目，原受让人与农村集体经济组织</w:t>
      </w:r>
      <w:r>
        <w:rPr>
          <w:rFonts w:hint="eastAsia" w:ascii="仿宋_GB2312" w:hAnsi="仿宋_GB2312" w:eastAsia="仿宋_GB2312" w:cs="仿宋_GB2312"/>
          <w:color w:val="auto"/>
          <w:sz w:val="32"/>
          <w:szCs w:val="32"/>
          <w:highlight w:val="none"/>
          <w:lang w:eastAsia="zh-CN"/>
        </w:rPr>
        <w:t>依程序</w:t>
      </w:r>
      <w:r>
        <w:rPr>
          <w:rFonts w:hint="eastAsia" w:ascii="仿宋_GB2312" w:hAnsi="仿宋_GB2312" w:eastAsia="仿宋_GB2312" w:cs="仿宋_GB2312"/>
          <w:color w:val="auto"/>
          <w:sz w:val="32"/>
          <w:szCs w:val="32"/>
          <w:highlight w:val="none"/>
        </w:rPr>
        <w:t>达成续约的交易。续约交易需符合以下条件：</w:t>
      </w:r>
    </w:p>
    <w:p w14:paraId="4B991A2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原承租或承包租金符合市场价格水平；</w:t>
      </w:r>
    </w:p>
    <w:p w14:paraId="4505522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原承租厂房、市场、商铺等物业资产的经营者信誉良好</w:t>
      </w:r>
      <w:r>
        <w:rPr>
          <w:rFonts w:hint="eastAsia" w:ascii="仿宋_GB2312" w:hAnsi="仿宋_GB2312" w:eastAsia="仿宋_GB2312" w:cs="仿宋_GB2312"/>
          <w:color w:val="auto"/>
          <w:sz w:val="32"/>
          <w:szCs w:val="32"/>
          <w:highlight w:val="none"/>
          <w:lang w:val="en"/>
        </w:rPr>
        <w:t>，</w:t>
      </w:r>
      <w:r>
        <w:rPr>
          <w:rFonts w:hint="eastAsia" w:ascii="仿宋_GB2312" w:hAnsi="仿宋_GB2312" w:eastAsia="仿宋_GB2312" w:cs="仿宋_GB2312"/>
          <w:color w:val="auto"/>
          <w:sz w:val="32"/>
          <w:szCs w:val="32"/>
          <w:highlight w:val="none"/>
        </w:rPr>
        <w:t>承包经营期间准时缴纳承包租金，无偷税漏税、拖欠员工工资、拖欠租金记录</w:t>
      </w:r>
      <w:r>
        <w:rPr>
          <w:rFonts w:hint="eastAsia" w:ascii="仿宋_GB2312" w:hAnsi="仿宋_GB2312" w:eastAsia="仿宋_GB2312" w:cs="仿宋_GB2312"/>
          <w:color w:val="auto"/>
          <w:sz w:val="32"/>
          <w:szCs w:val="32"/>
          <w:highlight w:val="none"/>
          <w:lang w:eastAsia="zh-CN"/>
        </w:rPr>
        <w:t>，不涉及违规经营，未被列入失信被执行人名单</w:t>
      </w:r>
      <w:r>
        <w:rPr>
          <w:rFonts w:hint="eastAsia" w:ascii="仿宋_GB2312" w:hAnsi="仿宋_GB2312" w:eastAsia="仿宋_GB2312" w:cs="仿宋_GB2312"/>
          <w:color w:val="auto"/>
          <w:sz w:val="32"/>
          <w:szCs w:val="32"/>
          <w:highlight w:val="none"/>
        </w:rPr>
        <w:t>；</w:t>
      </w:r>
    </w:p>
    <w:p w14:paraId="3B5B6C0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原承租物业资产的经营者，在经营期间投入巨资修缮场所采购设备，通过改善生产、生活环境实施长期经营运作</w:t>
      </w:r>
      <w:r>
        <w:rPr>
          <w:rFonts w:hint="eastAsia" w:ascii="仿宋_GB2312" w:hAnsi="仿宋_GB2312" w:eastAsia="仿宋_GB2312" w:cs="仿宋_GB2312"/>
          <w:color w:val="auto"/>
          <w:sz w:val="32"/>
          <w:szCs w:val="32"/>
          <w:highlight w:val="none"/>
          <w:lang w:eastAsia="zh-CN"/>
        </w:rPr>
        <w:t>；</w:t>
      </w:r>
    </w:p>
    <w:p w14:paraId="61F72E3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续约年限不得超过</w:t>
      </w:r>
      <w:r>
        <w:rPr>
          <w:rFonts w:hint="eastAsia" w:ascii="仿宋_GB2312" w:hAnsi="仿宋_GB2312" w:eastAsia="仿宋_GB2312" w:cs="仿宋_GB2312"/>
          <w:color w:val="auto"/>
          <w:sz w:val="32"/>
          <w:szCs w:val="32"/>
          <w:highlight w:val="none"/>
          <w:lang w:eastAsia="zh-CN"/>
        </w:rPr>
        <w:t>2</w:t>
      </w:r>
      <w:r>
        <w:rPr>
          <w:rFonts w:hint="eastAsia" w:ascii="仿宋_GB2312" w:hAnsi="仿宋_GB2312" w:eastAsia="仿宋_GB2312" w:cs="仿宋_GB2312"/>
          <w:color w:val="auto"/>
          <w:sz w:val="32"/>
          <w:szCs w:val="32"/>
          <w:highlight w:val="none"/>
          <w:lang w:val="en-US" w:eastAsia="zh-CN"/>
        </w:rPr>
        <w:t>0年</w:t>
      </w:r>
      <w:r>
        <w:rPr>
          <w:rFonts w:hint="eastAsia" w:ascii="仿宋_GB2312" w:hAnsi="仿宋_GB2312" w:eastAsia="仿宋_GB2312" w:cs="仿宋_GB2312"/>
          <w:color w:val="auto"/>
          <w:sz w:val="32"/>
          <w:szCs w:val="32"/>
          <w:highlight w:val="none"/>
          <w:lang w:eastAsia="zh-CN"/>
        </w:rPr>
        <w:t>。</w:t>
      </w:r>
    </w:p>
    <w:p w14:paraId="7D9DD77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val="en" w:eastAsia="zh-CN"/>
        </w:rPr>
        <w:t>二十七</w:t>
      </w:r>
      <w:r>
        <w:rPr>
          <w:rFonts w:hint="eastAsia" w:ascii="仿宋_GB2312" w:hAnsi="仿宋_GB2312" w:eastAsia="仿宋_GB2312" w:cs="仿宋_GB2312"/>
          <w:b/>
          <w:color w:val="auto"/>
          <w:sz w:val="32"/>
          <w:szCs w:val="32"/>
          <w:highlight w:val="none"/>
        </w:rPr>
        <w:t>条</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t>续约交易程序应包括：提出续约申请、民主</w:t>
      </w:r>
      <w:r>
        <w:rPr>
          <w:rFonts w:hint="eastAsia" w:ascii="仿宋_GB2312" w:hAnsi="仿宋_GB2312" w:eastAsia="仿宋_GB2312" w:cs="仿宋_GB2312"/>
          <w:color w:val="auto"/>
          <w:sz w:val="32"/>
          <w:szCs w:val="32"/>
          <w:highlight w:val="none"/>
          <w:lang w:eastAsia="zh-CN"/>
        </w:rPr>
        <w:t>决策</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审核、</w:t>
      </w:r>
      <w:r>
        <w:rPr>
          <w:rFonts w:hint="eastAsia" w:ascii="仿宋_GB2312" w:hAnsi="仿宋_GB2312" w:eastAsia="仿宋_GB2312" w:cs="仿宋_GB2312"/>
          <w:color w:val="auto"/>
          <w:sz w:val="32"/>
          <w:szCs w:val="32"/>
          <w:highlight w:val="none"/>
        </w:rPr>
        <w:t>签订合同、发布成交公告等流程。</w:t>
      </w:r>
    </w:p>
    <w:p w14:paraId="7DB2A1CD">
      <w:pPr>
        <w:keepNext w:val="0"/>
        <w:keepLines w:val="0"/>
        <w:pageBreakBefore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highlight w:val="none"/>
          <w:lang w:val="en-US" w:eastAsia="zh-CN"/>
        </w:rPr>
      </w:pPr>
      <w:r>
        <w:rPr>
          <w:rFonts w:hint="eastAsia" w:ascii="仿宋_GB2312" w:hAnsi="仿宋_GB2312" w:eastAsia="仿宋_GB2312" w:cs="仿宋_GB2312"/>
          <w:color w:val="auto"/>
          <w:sz w:val="32"/>
          <w:szCs w:val="32"/>
          <w:highlight w:val="none"/>
        </w:rPr>
        <w:t>（一）提出续约申请。由符合续约交易条件的原受让方在原合同</w:t>
      </w:r>
      <w:r>
        <w:rPr>
          <w:rFonts w:hint="eastAsia" w:ascii="仿宋_GB2312" w:hAnsi="仿宋_GB2312" w:eastAsia="仿宋_GB2312" w:cs="仿宋_GB2312"/>
          <w:color w:val="auto"/>
          <w:sz w:val="32"/>
          <w:szCs w:val="32"/>
          <w:highlight w:val="none"/>
          <w:lang w:eastAsia="zh-CN"/>
        </w:rPr>
        <w:t>期限届满</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个月前向农村集体经济组织提出续约申请</w:t>
      </w:r>
      <w:r>
        <w:rPr>
          <w:rFonts w:hint="eastAsia" w:ascii="仿宋_GB2312" w:hAnsi="仿宋_GB2312" w:eastAsia="仿宋_GB2312" w:cs="仿宋_GB2312"/>
          <w:color w:val="auto"/>
          <w:sz w:val="32"/>
          <w:szCs w:val="32"/>
          <w:highlight w:val="none"/>
          <w:lang w:val="en-US" w:eastAsia="zh-CN"/>
        </w:rPr>
        <w:t>,一般</w:t>
      </w:r>
      <w:r>
        <w:rPr>
          <w:rFonts w:hint="eastAsia" w:ascii="仿宋_GB2312" w:hAnsi="仿宋_GB2312" w:eastAsia="仿宋_GB2312" w:cs="仿宋_GB2312"/>
          <w:b w:val="0"/>
          <w:bCs w:val="0"/>
          <w:color w:val="auto"/>
          <w:sz w:val="32"/>
          <w:highlight w:val="none"/>
          <w:lang w:val="en-US" w:eastAsia="zh-CN"/>
        </w:rPr>
        <w:t>不可提前超过1年办理续租审批。续租物业参照周边同类资产的市场价格制定交易底价、制定资产交易方案。</w:t>
      </w:r>
    </w:p>
    <w:p w14:paraId="4985A77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（二）民主</w:t>
      </w:r>
      <w:r>
        <w:rPr>
          <w:rFonts w:hint="eastAsia" w:ascii="仿宋_GB2312" w:hAnsi="仿宋_GB2312" w:eastAsia="仿宋_GB2312" w:cs="仿宋_GB2312"/>
          <w:color w:val="auto"/>
          <w:sz w:val="32"/>
          <w:szCs w:val="32"/>
          <w:highlight w:val="none"/>
          <w:lang w:eastAsia="zh-CN"/>
        </w:rPr>
        <w:t>决策</w:t>
      </w:r>
      <w:r>
        <w:rPr>
          <w:rFonts w:hint="eastAsia" w:ascii="仿宋_GB2312" w:hAnsi="仿宋_GB2312" w:eastAsia="仿宋_GB2312" w:cs="仿宋_GB2312"/>
          <w:color w:val="auto"/>
          <w:sz w:val="32"/>
          <w:szCs w:val="32"/>
          <w:highlight w:val="none"/>
        </w:rPr>
        <w:t>。农村集体经济组织对申请材料进行审查后，按规定召集会议对续约交易</w:t>
      </w:r>
      <w:r>
        <w:rPr>
          <w:rFonts w:hint="eastAsia" w:ascii="仿宋_GB2312" w:hAnsi="仿宋_GB2312" w:eastAsia="仿宋_GB2312" w:cs="仿宋_GB2312"/>
          <w:color w:val="auto"/>
          <w:sz w:val="32"/>
          <w:szCs w:val="32"/>
          <w:highlight w:val="none"/>
          <w:lang w:eastAsia="zh-CN"/>
        </w:rPr>
        <w:t>方案</w:t>
      </w:r>
      <w:r>
        <w:rPr>
          <w:rFonts w:hint="eastAsia" w:ascii="仿宋_GB2312" w:hAnsi="仿宋_GB2312" w:eastAsia="仿宋_GB2312" w:cs="仿宋_GB2312"/>
          <w:color w:val="auto"/>
          <w:sz w:val="32"/>
          <w:szCs w:val="32"/>
          <w:highlight w:val="none"/>
        </w:rPr>
        <w:t>进行民主表决。如有1/10以上有选举权股东联名提出异议，集体</w:t>
      </w:r>
      <w:r>
        <w:rPr>
          <w:rFonts w:hint="eastAsia" w:ascii="仿宋_GB2312" w:hAnsi="仿宋_GB2312" w:eastAsia="仿宋_GB2312" w:cs="仿宋_GB2312"/>
          <w:color w:val="auto"/>
          <w:sz w:val="32"/>
          <w:szCs w:val="32"/>
          <w:highlight w:val="none"/>
          <w:lang w:eastAsia="zh-CN"/>
        </w:rPr>
        <w:t>经济组织</w:t>
      </w:r>
      <w:r>
        <w:rPr>
          <w:rFonts w:hint="eastAsia" w:ascii="仿宋_GB2312" w:hAnsi="仿宋_GB2312" w:eastAsia="仿宋_GB2312" w:cs="仿宋_GB2312"/>
          <w:color w:val="auto"/>
          <w:sz w:val="32"/>
          <w:szCs w:val="32"/>
          <w:highlight w:val="none"/>
        </w:rPr>
        <w:t>应收回有争议的续租交易方案，重新制定方案。</w:t>
      </w:r>
    </w:p>
    <w:p w14:paraId="370DD965">
      <w:pPr>
        <w:keepNext w:val="0"/>
        <w:keepLines w:val="0"/>
        <w:pageBreakBefore w:val="0"/>
        <w:widowControl w:val="0"/>
        <w:kinsoku/>
        <w:wordWrap/>
        <w:overflowPunct/>
        <w:topLinePunct w:val="0"/>
        <w:autoSpaceDE/>
        <w:autoSpaceDN/>
        <w:bidi w:val="0"/>
        <w:adjustRightInd/>
        <w:snapToGrid/>
        <w:spacing w:beforeAutospacing="0" w:afterAutospacing="0" w:line="348" w:lineRule="auto"/>
        <w:ind w:left="0" w:firstLine="640" w:firstLineChars="200"/>
        <w:jc w:val="left"/>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eastAsia="zh-CN"/>
        </w:rPr>
        <w:t>审核</w:t>
      </w:r>
      <w:r>
        <w:rPr>
          <w:rFonts w:hint="eastAsia" w:ascii="仿宋_GB2312" w:hAnsi="仿宋_GB2312" w:eastAsia="仿宋_GB2312" w:cs="仿宋_GB2312"/>
          <w:color w:val="auto"/>
          <w:sz w:val="32"/>
          <w:szCs w:val="32"/>
          <w:highlight w:val="none"/>
        </w:rPr>
        <w:t>。由农村集体经济组织向</w:t>
      </w:r>
      <w:r>
        <w:rPr>
          <w:rFonts w:hint="eastAsia" w:ascii="仿宋_GB2312" w:hAnsi="仿宋_GB2312" w:eastAsia="仿宋_GB2312" w:cs="仿宋_GB2312"/>
          <w:color w:val="auto"/>
          <w:sz w:val="32"/>
          <w:szCs w:val="32"/>
          <w:highlight w:val="none"/>
          <w:lang w:eastAsia="zh-CN"/>
        </w:rPr>
        <w:t>镇农业农村部门</w:t>
      </w:r>
      <w:r>
        <w:rPr>
          <w:rFonts w:hint="eastAsia" w:ascii="仿宋_GB2312" w:hAnsi="仿宋_GB2312" w:eastAsia="仿宋_GB2312" w:cs="仿宋_GB2312"/>
          <w:color w:val="auto"/>
          <w:sz w:val="32"/>
          <w:szCs w:val="32"/>
          <w:highlight w:val="none"/>
        </w:rPr>
        <w:t>提交申请，</w:t>
      </w:r>
      <w:r>
        <w:rPr>
          <w:rFonts w:hint="eastAsia" w:ascii="仿宋_GB2312" w:hAnsi="仿宋_GB2312" w:eastAsia="仿宋_GB2312" w:cs="仿宋_GB2312"/>
          <w:color w:val="auto"/>
          <w:sz w:val="32"/>
          <w:szCs w:val="32"/>
          <w:highlight w:val="none"/>
          <w:lang w:eastAsia="zh-CN"/>
        </w:rPr>
        <w:t>镇农业农村部门</w:t>
      </w:r>
      <w:r>
        <w:rPr>
          <w:rFonts w:hint="eastAsia" w:ascii="仿宋_GB2312" w:hAnsi="仿宋_GB2312" w:eastAsia="仿宋_GB2312" w:cs="仿宋_GB2312"/>
          <w:color w:val="auto"/>
          <w:sz w:val="32"/>
          <w:szCs w:val="32"/>
          <w:highlight w:val="none"/>
        </w:rPr>
        <w:t>对续约申请进行审核。</w:t>
      </w:r>
      <w:r>
        <w:rPr>
          <w:rFonts w:hint="eastAsia" w:ascii="仿宋_GB2312" w:hAnsi="仿宋_GB2312" w:eastAsia="仿宋_GB2312" w:cs="仿宋_GB2312"/>
          <w:b w:val="0"/>
          <w:bCs w:val="0"/>
          <w:color w:val="auto"/>
          <w:sz w:val="32"/>
          <w:szCs w:val="32"/>
          <w:highlight w:val="none"/>
          <w:lang w:eastAsia="zh-CN"/>
        </w:rPr>
        <w:t>申请续约所需提交的资料：</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eastAsia="zh-CN"/>
        </w:rPr>
        <w:t>村（社区）、组提交续租申请，说明符合续约交易的相关情况。</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eastAsia="zh-CN"/>
        </w:rPr>
        <w:t>村（社区）、组同意续租的签名表决表。</w:t>
      </w:r>
      <w:r>
        <w:rPr>
          <w:rFonts w:hint="eastAsia" w:ascii="仿宋_GB2312" w:hAnsi="仿宋_GB2312" w:eastAsia="仿宋_GB2312" w:cs="仿宋_GB2312"/>
          <w:b w:val="0"/>
          <w:bCs w:val="0"/>
          <w:color w:val="auto"/>
          <w:sz w:val="32"/>
          <w:szCs w:val="32"/>
          <w:highlight w:val="none"/>
          <w:lang w:val="en-US" w:eastAsia="zh-CN"/>
        </w:rPr>
        <w:t>3、符合</w:t>
      </w:r>
      <w:r>
        <w:rPr>
          <w:rFonts w:hint="eastAsia" w:ascii="仿宋_GB2312" w:hAnsi="仿宋_GB2312" w:eastAsia="仿宋_GB2312" w:cs="仿宋_GB2312"/>
          <w:b w:val="0"/>
          <w:bCs w:val="0"/>
          <w:color w:val="auto"/>
          <w:sz w:val="32"/>
          <w:szCs w:val="32"/>
          <w:highlight w:val="none"/>
          <w:lang w:eastAsia="zh-CN"/>
        </w:rPr>
        <w:t>续约交易条件的原受让方的</w:t>
      </w:r>
      <w:r>
        <w:rPr>
          <w:rFonts w:hint="eastAsia" w:ascii="仿宋_GB2312" w:hAnsi="仿宋_GB2312" w:eastAsia="仿宋_GB2312" w:cs="仿宋_GB2312"/>
          <w:b w:val="0"/>
          <w:bCs w:val="0"/>
          <w:color w:val="auto"/>
          <w:sz w:val="32"/>
          <w:szCs w:val="32"/>
          <w:highlight w:val="none"/>
          <w:lang w:val="en-US" w:eastAsia="zh-CN"/>
        </w:rPr>
        <w:t>相关</w:t>
      </w:r>
      <w:r>
        <w:rPr>
          <w:rFonts w:hint="eastAsia" w:ascii="仿宋_GB2312" w:hAnsi="仿宋_GB2312" w:eastAsia="仿宋_GB2312" w:cs="仿宋_GB2312"/>
          <w:b w:val="0"/>
          <w:bCs w:val="0"/>
          <w:color w:val="auto"/>
          <w:sz w:val="32"/>
          <w:szCs w:val="32"/>
          <w:highlight w:val="none"/>
          <w:lang w:eastAsia="zh-CN"/>
        </w:rPr>
        <w:t>证明</w:t>
      </w:r>
      <w:r>
        <w:rPr>
          <w:rFonts w:hint="eastAsia" w:ascii="仿宋_GB2312" w:hAnsi="仿宋_GB2312" w:eastAsia="仿宋_GB2312" w:cs="仿宋_GB2312"/>
          <w:b w:val="0"/>
          <w:bCs w:val="0"/>
          <w:color w:val="auto"/>
          <w:sz w:val="32"/>
          <w:szCs w:val="32"/>
          <w:highlight w:val="none"/>
          <w:lang w:val="en-US" w:eastAsia="zh-CN"/>
        </w:rPr>
        <w:t>材料</w:t>
      </w:r>
      <w:r>
        <w:rPr>
          <w:rFonts w:hint="eastAsia" w:ascii="仿宋_GB2312" w:hAnsi="仿宋_GB2312" w:eastAsia="仿宋_GB2312" w:cs="仿宋_GB2312"/>
          <w:b w:val="0"/>
          <w:bCs w:val="0"/>
          <w:color w:val="auto"/>
          <w:sz w:val="32"/>
          <w:szCs w:val="32"/>
          <w:highlight w:val="none"/>
          <w:lang w:eastAsia="zh-CN"/>
        </w:rPr>
        <w:t>，包括：①</w:t>
      </w:r>
      <w:r>
        <w:rPr>
          <w:rFonts w:hint="eastAsia" w:ascii="仿宋_GB2312" w:hAnsi="仿宋_GB2312" w:eastAsia="仿宋_GB2312" w:cs="仿宋_GB2312"/>
          <w:b w:val="0"/>
          <w:bCs w:val="0"/>
          <w:color w:val="auto"/>
          <w:sz w:val="32"/>
          <w:highlight w:val="none"/>
          <w:lang w:val="en-US" w:eastAsia="zh-CN"/>
        </w:rPr>
        <w:t>承租方续租申请;</w:t>
      </w:r>
      <w:r>
        <w:rPr>
          <w:rFonts w:hint="eastAsia" w:ascii="仿宋_GB2312" w:hAnsi="仿宋_GB2312" w:eastAsia="仿宋_GB2312" w:cs="仿宋_GB2312"/>
          <w:b w:val="0"/>
          <w:bCs w:val="0"/>
          <w:color w:val="auto"/>
          <w:sz w:val="32"/>
          <w:szCs w:val="32"/>
          <w:highlight w:val="none"/>
          <w:lang w:eastAsia="zh-CN"/>
        </w:rPr>
        <w:t>①村（社区）、组出具不欠缴租金的证明；</w:t>
      </w:r>
      <w:r>
        <w:rPr>
          <w:rFonts w:hint="eastAsia" w:ascii="仿宋_GB2312" w:hAnsi="仿宋_GB2312" w:eastAsia="仿宋_GB2312" w:cs="仿宋_GB2312"/>
          <w:b w:val="0"/>
          <w:bCs w:val="0"/>
          <w:color w:val="auto"/>
          <w:sz w:val="32"/>
          <w:szCs w:val="32"/>
          <w:highlight w:val="none"/>
          <w:lang w:val="en-US" w:eastAsia="zh-CN"/>
        </w:rPr>
        <w:t>②</w:t>
      </w:r>
      <w:r>
        <w:rPr>
          <w:rFonts w:hint="eastAsia" w:ascii="仿宋_GB2312" w:hAnsi="仿宋_GB2312" w:eastAsia="仿宋_GB2312" w:cs="仿宋_GB2312"/>
          <w:b w:val="0"/>
          <w:bCs w:val="0"/>
          <w:color w:val="auto"/>
          <w:sz w:val="32"/>
          <w:szCs w:val="32"/>
          <w:highlight w:val="none"/>
          <w:lang w:eastAsia="zh-CN"/>
        </w:rPr>
        <w:t>承租方出具不欠工人工资的证明；</w:t>
      </w:r>
      <w:r>
        <w:rPr>
          <w:rFonts w:hint="eastAsia" w:ascii="仿宋_GB2312" w:hAnsi="仿宋_GB2312" w:eastAsia="仿宋_GB2312" w:cs="仿宋_GB2312"/>
          <w:b w:val="0"/>
          <w:bCs w:val="0"/>
          <w:color w:val="auto"/>
          <w:sz w:val="32"/>
          <w:szCs w:val="32"/>
          <w:highlight w:val="none"/>
          <w:lang w:val="en-US" w:eastAsia="zh-CN"/>
        </w:rPr>
        <w:t>③</w:t>
      </w:r>
      <w:r>
        <w:rPr>
          <w:rFonts w:hint="eastAsia" w:ascii="仿宋_GB2312" w:hAnsi="仿宋_GB2312" w:eastAsia="仿宋_GB2312" w:cs="仿宋_GB2312"/>
          <w:b w:val="0"/>
          <w:bCs w:val="0"/>
          <w:color w:val="auto"/>
          <w:sz w:val="32"/>
          <w:szCs w:val="32"/>
          <w:highlight w:val="none"/>
          <w:lang w:eastAsia="zh-CN"/>
        </w:rPr>
        <w:t>税务部门的完税证明；④</w:t>
      </w:r>
      <w:r>
        <w:rPr>
          <w:rFonts w:hint="eastAsia" w:ascii="仿宋_GB2312" w:hAnsi="仿宋_GB2312" w:eastAsia="仿宋_GB2312" w:cs="仿宋_GB2312"/>
          <w:b w:val="0"/>
          <w:bCs w:val="0"/>
          <w:color w:val="auto"/>
          <w:sz w:val="32"/>
          <w:szCs w:val="32"/>
          <w:highlight w:val="none"/>
          <w:lang w:val="en-US" w:eastAsia="zh-CN"/>
        </w:rPr>
        <w:t>其他可证明符合续租条件的材料。</w:t>
      </w:r>
    </w:p>
    <w:p w14:paraId="5AB9D5A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）签订合同。</w:t>
      </w:r>
      <w:r>
        <w:rPr>
          <w:rFonts w:hint="eastAsia" w:ascii="仿宋_GB2312" w:hAnsi="仿宋_GB2312" w:eastAsia="仿宋_GB2312" w:cs="仿宋_GB2312"/>
          <w:color w:val="auto"/>
          <w:sz w:val="32"/>
          <w:szCs w:val="32"/>
          <w:highlight w:val="none"/>
          <w:lang w:eastAsia="zh-CN"/>
        </w:rPr>
        <w:t>审核</w:t>
      </w:r>
      <w:r>
        <w:rPr>
          <w:rFonts w:hint="eastAsia" w:ascii="仿宋_GB2312" w:hAnsi="仿宋_GB2312" w:eastAsia="仿宋_GB2312" w:cs="仿宋_GB2312"/>
          <w:color w:val="auto"/>
          <w:sz w:val="32"/>
          <w:szCs w:val="32"/>
          <w:highlight w:val="none"/>
        </w:rPr>
        <w:t>通过后，由农村集体经济组织与原受让方签订合同。</w:t>
      </w:r>
    </w:p>
    <w:p w14:paraId="6944B5F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lang w:val="en-US" w:eastAsia="zh-CN" w:bidi="ar"/>
        </w:rPr>
        <w:t>（五）发布成交公告。合同签订后，在一体化平台和农村集体经济组织公开栏发布成交公告，</w:t>
      </w:r>
      <w:r>
        <w:rPr>
          <w:rFonts w:hint="eastAsia" w:ascii="仿宋_GB2312" w:hAnsi="仿宋_GB2312" w:eastAsia="仿宋_GB2312" w:cs="仿宋_GB2312"/>
          <w:b w:val="0"/>
          <w:bCs w:val="0"/>
          <w:color w:val="auto"/>
          <w:sz w:val="32"/>
          <w:szCs w:val="32"/>
          <w:highlight w:val="none"/>
          <w:lang w:val="en-US" w:eastAsia="zh-CN"/>
        </w:rPr>
        <w:t>公示期限不少于5个工作日</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未签订合同的，在一体化平台发布弃拍公告。</w:t>
      </w:r>
    </w:p>
    <w:p w14:paraId="7D7FAF4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jc w:val="center"/>
        <w:textAlignment w:val="auto"/>
        <w:rPr>
          <w:rFonts w:hint="eastAsia" w:ascii="仿宋_GB2312" w:hAnsi="Times New Roman" w:eastAsia="仿宋_GB2312"/>
          <w:b/>
          <w:color w:val="auto"/>
          <w:sz w:val="32"/>
          <w:szCs w:val="32"/>
          <w:highlight w:val="none"/>
        </w:rPr>
      </w:pPr>
    </w:p>
    <w:p w14:paraId="5DD2A5F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jc w:val="center"/>
        <w:textAlignment w:val="auto"/>
        <w:rPr>
          <w:rFonts w:ascii="仿宋_GB2312" w:hAnsi="Times New Roman" w:eastAsia="仿宋_GB2312"/>
          <w:b/>
          <w:color w:val="auto"/>
          <w:sz w:val="32"/>
          <w:szCs w:val="32"/>
          <w:highlight w:val="none"/>
        </w:rPr>
      </w:pPr>
      <w:r>
        <w:rPr>
          <w:rFonts w:hint="eastAsia" w:ascii="仿宋_GB2312" w:hAnsi="Times New Roman" w:eastAsia="仿宋_GB2312"/>
          <w:b/>
          <w:color w:val="auto"/>
          <w:sz w:val="32"/>
          <w:szCs w:val="32"/>
          <w:highlight w:val="none"/>
        </w:rPr>
        <w:t>第四节 小额简易交易</w:t>
      </w:r>
    </w:p>
    <w:p w14:paraId="70EC431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val="en" w:eastAsia="zh-CN"/>
        </w:rPr>
        <w:t>二十八</w:t>
      </w:r>
      <w:r>
        <w:rPr>
          <w:rFonts w:hint="eastAsia" w:ascii="仿宋_GB2312" w:hAnsi="仿宋_GB2312" w:eastAsia="仿宋_GB2312" w:cs="仿宋_GB2312"/>
          <w:b/>
          <w:color w:val="auto"/>
          <w:sz w:val="32"/>
          <w:szCs w:val="32"/>
          <w:highlight w:val="none"/>
        </w:rPr>
        <w:t>条</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t>单宗交易（权益）</w:t>
      </w:r>
      <w:r>
        <w:rPr>
          <w:rFonts w:hint="eastAsia" w:ascii="仿宋_GB2312" w:hAnsi="仿宋_GB2312" w:eastAsia="仿宋_GB2312" w:cs="仿宋_GB2312"/>
          <w:b w:val="0"/>
          <w:bCs w:val="0"/>
          <w:color w:val="auto"/>
          <w:sz w:val="32"/>
          <w:highlight w:val="none"/>
          <w:lang w:val="en-US" w:eastAsia="zh-CN"/>
        </w:rPr>
        <w:t>总标的额在5000元（含）以下且交易年限在3年（含）以下的组级资产交易项目，可启用农村集体小额资产交易流程，由农村集体经济组织建立内控制度，</w:t>
      </w:r>
      <w:r>
        <w:rPr>
          <w:rFonts w:hint="eastAsia" w:ascii="仿宋_GB2312" w:hAnsi="仿宋_GB2312" w:eastAsia="仿宋_GB2312" w:cs="仿宋_GB2312"/>
          <w:color w:val="auto"/>
          <w:sz w:val="32"/>
          <w:szCs w:val="32"/>
          <w:highlight w:val="none"/>
          <w:lang w:val="en-US" w:eastAsia="zh-CN"/>
        </w:rPr>
        <w:t>在村（社区）农村集体资产交易工作站（以下简称交易站）</w:t>
      </w:r>
      <w:r>
        <w:rPr>
          <w:rFonts w:hint="eastAsia" w:ascii="仿宋_GB2312" w:hAnsi="仿宋_GB2312" w:eastAsia="仿宋_GB2312" w:cs="仿宋_GB2312"/>
          <w:color w:val="auto"/>
          <w:sz w:val="32"/>
          <w:szCs w:val="32"/>
          <w:highlight w:val="none"/>
        </w:rPr>
        <w:t>进行交易，并按交易程序要求录入一体化平台系统。严禁将超出</w:t>
      </w:r>
      <w:r>
        <w:rPr>
          <w:rFonts w:hint="eastAsia" w:ascii="仿宋_GB2312" w:hAnsi="仿宋_GB2312" w:eastAsia="仿宋_GB2312" w:cs="仿宋_GB2312"/>
          <w:color w:val="auto"/>
          <w:sz w:val="32"/>
          <w:szCs w:val="32"/>
          <w:highlight w:val="none"/>
          <w:lang w:eastAsia="zh-CN"/>
        </w:rPr>
        <w:t>小额简易交易</w:t>
      </w:r>
      <w:r>
        <w:rPr>
          <w:rFonts w:hint="eastAsia" w:ascii="仿宋_GB2312" w:hAnsi="仿宋_GB2312" w:eastAsia="仿宋_GB2312" w:cs="仿宋_GB2312"/>
          <w:color w:val="auto"/>
          <w:sz w:val="32"/>
          <w:szCs w:val="32"/>
          <w:highlight w:val="none"/>
        </w:rPr>
        <w:t>标准的集体资产化整为零、分拆交易。</w:t>
      </w:r>
    </w:p>
    <w:p w14:paraId="665E0F0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eastAsia="zh-CN"/>
        </w:rPr>
        <w:t>二十九</w:t>
      </w:r>
      <w:r>
        <w:rPr>
          <w:rFonts w:hint="eastAsia" w:ascii="仿宋_GB2312" w:hAnsi="仿宋_GB2312" w:eastAsia="仿宋_GB2312" w:cs="仿宋_GB2312"/>
          <w:b/>
          <w:color w:val="auto"/>
          <w:sz w:val="32"/>
          <w:szCs w:val="32"/>
          <w:highlight w:val="none"/>
        </w:rPr>
        <w:t>条</w:t>
      </w:r>
      <w:r>
        <w:rPr>
          <w:rFonts w:hint="eastAsia" w:ascii="仿宋_GB2312" w:hAnsi="仿宋_GB2312" w:eastAsia="仿宋_GB2312" w:cs="仿宋_GB2312"/>
          <w:b/>
          <w:color w:val="auto"/>
          <w:sz w:val="32"/>
          <w:szCs w:val="32"/>
          <w:highlight w:val="none"/>
        </w:rPr>
        <w:tab/>
      </w:r>
      <w:r>
        <w:rPr>
          <w:rFonts w:hint="eastAsia" w:ascii="仿宋_GB2312" w:hAnsi="仿宋_GB2312" w:eastAsia="仿宋_GB2312" w:cs="仿宋_GB2312"/>
          <w:color w:val="auto"/>
          <w:sz w:val="32"/>
          <w:szCs w:val="32"/>
          <w:highlight w:val="none"/>
        </w:rPr>
        <w:t>小额简易交易程序应包括：</w:t>
      </w:r>
      <w:r>
        <w:rPr>
          <w:rFonts w:hint="eastAsia" w:ascii="仿宋_GB2312" w:hAnsi="仿宋_GB2312" w:eastAsia="仿宋_GB2312" w:cs="仿宋_GB2312"/>
          <w:color w:val="auto"/>
          <w:sz w:val="32"/>
          <w:szCs w:val="32"/>
          <w:highlight w:val="none"/>
          <w:lang w:eastAsia="zh-CN"/>
        </w:rPr>
        <w:t>民主决策、</w:t>
      </w:r>
      <w:r>
        <w:rPr>
          <w:rFonts w:hint="eastAsia" w:ascii="仿宋_GB2312" w:hAnsi="仿宋_GB2312" w:eastAsia="仿宋_GB2312" w:cs="仿宋_GB2312"/>
          <w:color w:val="auto"/>
          <w:sz w:val="32"/>
          <w:szCs w:val="32"/>
          <w:highlight w:val="none"/>
        </w:rPr>
        <w:t>交易申请、</w:t>
      </w:r>
      <w:r>
        <w:rPr>
          <w:rFonts w:hint="eastAsia" w:ascii="仿宋_GB2312" w:hAnsi="仿宋_GB2312" w:eastAsia="仿宋_GB2312" w:cs="仿宋_GB2312"/>
          <w:color w:val="auto"/>
          <w:sz w:val="32"/>
          <w:szCs w:val="32"/>
          <w:highlight w:val="none"/>
          <w:lang w:eastAsia="zh-CN"/>
        </w:rPr>
        <w:t>审核发布成交结果</w:t>
      </w:r>
      <w:r>
        <w:rPr>
          <w:rFonts w:hint="eastAsia" w:ascii="仿宋_GB2312" w:hAnsi="仿宋_GB2312" w:eastAsia="仿宋_GB2312" w:cs="仿宋_GB2312"/>
          <w:color w:val="auto"/>
          <w:sz w:val="32"/>
          <w:szCs w:val="32"/>
          <w:highlight w:val="none"/>
        </w:rPr>
        <w:t>、签订合同</w:t>
      </w:r>
      <w:r>
        <w:rPr>
          <w:rFonts w:hint="eastAsia" w:ascii="仿宋_GB2312" w:hAnsi="仿宋_GB2312" w:eastAsia="仿宋_GB2312" w:cs="仿宋_GB2312"/>
          <w:color w:val="auto"/>
          <w:sz w:val="32"/>
          <w:szCs w:val="32"/>
          <w:highlight w:val="none"/>
          <w:lang w:eastAsia="zh-CN"/>
        </w:rPr>
        <w:t>、发布成交公告</w:t>
      </w:r>
      <w:r>
        <w:rPr>
          <w:rFonts w:hint="eastAsia" w:ascii="仿宋_GB2312" w:hAnsi="仿宋_GB2312" w:eastAsia="仿宋_GB2312" w:cs="仿宋_GB2312"/>
          <w:color w:val="auto"/>
          <w:sz w:val="32"/>
          <w:szCs w:val="32"/>
          <w:highlight w:val="none"/>
        </w:rPr>
        <w:t>等流程。</w:t>
      </w:r>
    </w:p>
    <w:p w14:paraId="78B54D09">
      <w:pPr>
        <w:keepNext w:val="0"/>
        <w:keepLines w:val="0"/>
        <w:pageBreakBefore w:val="0"/>
        <w:kinsoku/>
        <w:overflowPunct/>
        <w:topLinePunct w:val="0"/>
        <w:autoSpaceDE/>
        <w:autoSpaceDN/>
        <w:bidi w:val="0"/>
        <w:adjustRightInd w:val="0"/>
        <w:snapToGrid w:val="0"/>
        <w:spacing w:line="620" w:lineRule="exact"/>
        <w:ind w:firstLine="640" w:firstLineChars="200"/>
        <w:jc w:val="both"/>
        <w:textAlignment w:val="auto"/>
        <w:outlineLvl w:val="2"/>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民主决策</w:t>
      </w:r>
      <w:r>
        <w:rPr>
          <w:rFonts w:hint="eastAsia" w:ascii="仿宋_GB2312" w:hAnsi="仿宋_GB2312" w:eastAsia="仿宋_GB2312" w:cs="仿宋_GB2312"/>
          <w:color w:val="auto"/>
          <w:sz w:val="32"/>
          <w:szCs w:val="32"/>
          <w:highlight w:val="none"/>
        </w:rPr>
        <w:t>。农村集体经济组织按</w:t>
      </w:r>
      <w:r>
        <w:rPr>
          <w:rFonts w:hint="eastAsia" w:ascii="仿宋_GB2312" w:hAnsi="仿宋_GB2312" w:eastAsia="仿宋_GB2312" w:cs="仿宋_GB2312"/>
          <w:color w:val="auto"/>
          <w:sz w:val="32"/>
          <w:szCs w:val="32"/>
          <w:highlight w:val="none"/>
          <w:lang w:eastAsia="zh-CN"/>
        </w:rPr>
        <w:t>规定对农村产权流转交易事项进行民主</w:t>
      </w:r>
      <w:r>
        <w:rPr>
          <w:rFonts w:hint="eastAsia" w:ascii="仿宋_GB2312" w:hAnsi="仿宋_GB2312" w:eastAsia="仿宋_GB2312" w:cs="仿宋_GB2312"/>
          <w:color w:val="auto"/>
          <w:sz w:val="32"/>
          <w:szCs w:val="32"/>
          <w:highlight w:val="none"/>
        </w:rPr>
        <w:t>表决。</w:t>
      </w:r>
    </w:p>
    <w:p w14:paraId="4D4B3A0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（二）交易申请。</w:t>
      </w:r>
      <w:r>
        <w:rPr>
          <w:rFonts w:hint="eastAsia" w:ascii="仿宋_GB2312" w:hAnsi="仿宋_GB2312" w:eastAsia="仿宋_GB2312" w:cs="仿宋_GB2312"/>
          <w:i w:val="0"/>
          <w:caps w:val="0"/>
          <w:color w:val="auto"/>
          <w:spacing w:val="0"/>
          <w:sz w:val="32"/>
          <w:szCs w:val="32"/>
          <w:highlight w:val="none"/>
          <w:shd w:val="clear" w:color="auto" w:fill="FFFFFF"/>
        </w:rPr>
        <w:t>交易方案经民主表决通过后</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农村集体经济组织按规定在</w:t>
      </w:r>
      <w:r>
        <w:rPr>
          <w:rFonts w:hint="eastAsia" w:ascii="仿宋_GB2312" w:hAnsi="仿宋_GB2312" w:eastAsia="仿宋_GB2312" w:cs="仿宋_GB2312"/>
          <w:i w:val="0"/>
          <w:caps w:val="0"/>
          <w:color w:val="auto"/>
          <w:spacing w:val="0"/>
          <w:sz w:val="32"/>
          <w:szCs w:val="32"/>
          <w:highlight w:val="none"/>
          <w:shd w:val="clear" w:color="auto" w:fill="FFFFFF"/>
          <w:lang w:eastAsia="zh-CN"/>
        </w:rPr>
        <w:t>一体化</w:t>
      </w:r>
      <w:r>
        <w:rPr>
          <w:rFonts w:hint="eastAsia" w:ascii="仿宋_GB2312" w:hAnsi="仿宋_GB2312" w:eastAsia="仿宋_GB2312" w:cs="仿宋_GB2312"/>
          <w:i w:val="0"/>
          <w:caps w:val="0"/>
          <w:color w:val="auto"/>
          <w:spacing w:val="0"/>
          <w:sz w:val="32"/>
          <w:szCs w:val="32"/>
          <w:highlight w:val="none"/>
          <w:shd w:val="clear" w:color="auto" w:fill="FFFFFF"/>
        </w:rPr>
        <w:t>平台提</w:t>
      </w:r>
      <w:r>
        <w:rPr>
          <w:rFonts w:hint="eastAsia" w:ascii="仿宋_GB2312" w:hAnsi="仿宋_GB2312" w:eastAsia="仿宋_GB2312" w:cs="仿宋_GB2312"/>
          <w:i w:val="0"/>
          <w:caps w:val="0"/>
          <w:color w:val="auto"/>
          <w:spacing w:val="0"/>
          <w:sz w:val="32"/>
          <w:szCs w:val="32"/>
          <w:highlight w:val="none"/>
          <w:shd w:val="clear" w:color="auto" w:fill="FFFFFF"/>
          <w:lang w:eastAsia="zh-CN"/>
        </w:rPr>
        <w:t>交交易结果</w:t>
      </w:r>
      <w:r>
        <w:rPr>
          <w:rFonts w:hint="eastAsia" w:ascii="仿宋_GB2312" w:hAnsi="仿宋_GB2312" w:eastAsia="仿宋_GB2312" w:cs="仿宋_GB2312"/>
          <w:i w:val="0"/>
          <w:caps w:val="0"/>
          <w:color w:val="auto"/>
          <w:spacing w:val="0"/>
          <w:sz w:val="32"/>
          <w:szCs w:val="32"/>
          <w:highlight w:val="none"/>
          <w:shd w:val="clear" w:color="auto" w:fill="FFFFFF"/>
        </w:rPr>
        <w:t>。</w:t>
      </w:r>
    </w:p>
    <w:p w14:paraId="15595C5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（三）审核</w:t>
      </w:r>
      <w:r>
        <w:rPr>
          <w:rFonts w:hint="eastAsia" w:ascii="仿宋_GB2312" w:hAnsi="仿宋_GB2312" w:eastAsia="仿宋_GB2312" w:cs="仿宋_GB2312"/>
          <w:color w:val="auto"/>
          <w:sz w:val="32"/>
          <w:szCs w:val="32"/>
          <w:highlight w:val="none"/>
          <w:lang w:eastAsia="zh-CN"/>
        </w:rPr>
        <w:t>发布成交结果</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镇农业农村部门</w:t>
      </w:r>
      <w:r>
        <w:rPr>
          <w:rFonts w:hint="eastAsia" w:ascii="仿宋_GB2312" w:hAnsi="仿宋_GB2312" w:eastAsia="仿宋_GB2312" w:cs="仿宋_GB2312"/>
          <w:color w:val="auto"/>
          <w:sz w:val="32"/>
          <w:szCs w:val="32"/>
          <w:highlight w:val="none"/>
        </w:rPr>
        <w:t>对小额简易交易</w:t>
      </w:r>
      <w:r>
        <w:rPr>
          <w:rFonts w:hint="eastAsia" w:ascii="仿宋_GB2312" w:hAnsi="仿宋_GB2312" w:eastAsia="仿宋_GB2312" w:cs="仿宋_GB2312"/>
          <w:color w:val="auto"/>
          <w:sz w:val="32"/>
          <w:szCs w:val="32"/>
          <w:highlight w:val="none"/>
          <w:lang w:eastAsia="zh-CN"/>
        </w:rPr>
        <w:t>结果进行</w:t>
      </w:r>
      <w:r>
        <w:rPr>
          <w:rFonts w:hint="eastAsia" w:ascii="仿宋_GB2312" w:hAnsi="仿宋_GB2312" w:eastAsia="仿宋_GB2312" w:cs="仿宋_GB2312"/>
          <w:color w:val="auto"/>
          <w:sz w:val="32"/>
          <w:szCs w:val="32"/>
          <w:highlight w:val="none"/>
        </w:rPr>
        <w:t>审核</w:t>
      </w:r>
      <w:r>
        <w:rPr>
          <w:rFonts w:hint="eastAsia" w:ascii="仿宋_GB2312" w:hAnsi="仿宋_GB2312" w:eastAsia="仿宋_GB2312" w:cs="仿宋_GB2312"/>
          <w:color w:val="auto"/>
          <w:sz w:val="32"/>
          <w:szCs w:val="32"/>
          <w:highlight w:val="none"/>
          <w:lang w:eastAsia="zh-CN"/>
        </w:rPr>
        <w:t>，通过审核后</w:t>
      </w:r>
      <w:r>
        <w:rPr>
          <w:rFonts w:hint="eastAsia" w:ascii="仿宋_GB2312" w:hAnsi="仿宋_GB2312" w:eastAsia="仿宋_GB2312" w:cs="仿宋_GB2312"/>
          <w:color w:val="auto"/>
          <w:sz w:val="32"/>
          <w:szCs w:val="32"/>
          <w:highlight w:val="none"/>
        </w:rPr>
        <w:t>成交项目在一体化平台和农村集体经济组织公开栏进行公示，公示期限不少于</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个工作日。</w:t>
      </w:r>
    </w:p>
    <w:p w14:paraId="108FA4F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）签订合同。公示无异议或者异议不成立的，由农村集体经济组织与项目</w:t>
      </w:r>
      <w:r>
        <w:rPr>
          <w:rFonts w:hint="eastAsia" w:ascii="仿宋_GB2312" w:hAnsi="仿宋_GB2312" w:eastAsia="仿宋_GB2312" w:cs="仿宋_GB2312"/>
          <w:color w:val="auto"/>
          <w:sz w:val="32"/>
          <w:szCs w:val="32"/>
          <w:highlight w:val="none"/>
          <w:lang w:eastAsia="zh-CN"/>
        </w:rPr>
        <w:t>受让方</w:t>
      </w:r>
      <w:r>
        <w:rPr>
          <w:rFonts w:hint="eastAsia" w:ascii="仿宋_GB2312" w:hAnsi="仿宋_GB2312" w:eastAsia="仿宋_GB2312" w:cs="仿宋_GB2312"/>
          <w:color w:val="auto"/>
          <w:sz w:val="32"/>
          <w:szCs w:val="32"/>
          <w:highlight w:val="none"/>
        </w:rPr>
        <w:t>签订合同。</w:t>
      </w:r>
    </w:p>
    <w:p w14:paraId="481B85E8">
      <w:pPr>
        <w:widowControl w:val="0"/>
        <w:pBdr>
          <w:top w:val="none" w:color="auto" w:sz="0" w:space="0"/>
          <w:left w:val="none" w:color="auto" w:sz="0" w:space="0"/>
          <w:bottom w:val="none" w:color="auto" w:sz="0" w:space="0"/>
          <w:right w:val="none" w:color="auto" w:sz="0" w:space="0"/>
        </w:pBdr>
        <w:shd w:val="clear" w:color="auto" w:fill="FFFFFF"/>
        <w:wordWrap w:val="0"/>
        <w:adjustRightInd/>
        <w:snapToGrid/>
        <w:spacing w:before="0" w:after="0" w:line="560" w:lineRule="exact"/>
        <w:ind w:left="0" w:leftChars="0" w:right="0" w:firstLine="640" w:firstLineChars="200"/>
        <w:jc w:val="both"/>
        <w:textAlignment w:val="auto"/>
        <w:outlineLvl w:val="9"/>
        <w:rPr>
          <w:rFonts w:hint="eastAsia" w:ascii="黑体" w:hAnsi="黑体" w:eastAsia="黑体"/>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（五）发布成交公告。合同签订后，在一体化平台和农村集体经济组织公开栏发布成交公告，</w:t>
      </w:r>
      <w:r>
        <w:rPr>
          <w:rFonts w:hint="eastAsia" w:ascii="仿宋_GB2312" w:hAnsi="仿宋_GB2312" w:eastAsia="仿宋_GB2312" w:cs="仿宋_GB2312"/>
          <w:b w:val="0"/>
          <w:bCs w:val="0"/>
          <w:color w:val="auto"/>
          <w:sz w:val="32"/>
          <w:szCs w:val="32"/>
          <w:highlight w:val="none"/>
          <w:lang w:val="en-US" w:eastAsia="zh-CN"/>
        </w:rPr>
        <w:t>公示期限不少于5个工作日</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未签订合同的，在一体化平台发布弃标公告。</w:t>
      </w:r>
    </w:p>
    <w:p w14:paraId="7E97C2D1">
      <w:pPr>
        <w:widowControl w:val="0"/>
        <w:wordWrap/>
        <w:adjustRightInd/>
        <w:snapToGrid/>
        <w:spacing w:before="0" w:after="0" w:line="348" w:lineRule="auto"/>
        <w:ind w:left="0" w:leftChars="0" w:right="0" w:firstLine="0" w:firstLineChars="0"/>
        <w:jc w:val="center"/>
        <w:textAlignment w:val="auto"/>
        <w:outlineLvl w:val="9"/>
        <w:rPr>
          <w:rFonts w:hint="eastAsia" w:ascii="黑体" w:hAnsi="黑体" w:eastAsia="黑体"/>
          <w:color w:val="auto"/>
          <w:sz w:val="32"/>
          <w:szCs w:val="32"/>
          <w:highlight w:val="none"/>
        </w:rPr>
      </w:pPr>
    </w:p>
    <w:p w14:paraId="4718AB78">
      <w:pPr>
        <w:widowControl w:val="0"/>
        <w:wordWrap/>
        <w:adjustRightInd/>
        <w:snapToGrid/>
        <w:spacing w:before="0" w:after="0" w:line="348" w:lineRule="auto"/>
        <w:ind w:left="0" w:leftChars="0" w:right="0" w:firstLine="0" w:firstLineChars="0"/>
        <w:jc w:val="center"/>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黑体" w:hAnsi="黑体" w:eastAsia="黑体"/>
          <w:color w:val="auto"/>
          <w:sz w:val="32"/>
          <w:szCs w:val="32"/>
          <w:highlight w:val="none"/>
        </w:rPr>
        <w:t>第</w:t>
      </w:r>
      <w:r>
        <w:rPr>
          <w:rFonts w:hint="eastAsia" w:ascii="黑体" w:hAnsi="黑体" w:eastAsia="黑体"/>
          <w:color w:val="auto"/>
          <w:sz w:val="32"/>
          <w:szCs w:val="32"/>
          <w:highlight w:val="none"/>
          <w:lang w:val="en-US" w:eastAsia="zh-CN"/>
        </w:rPr>
        <w:t>六</w:t>
      </w:r>
      <w:r>
        <w:rPr>
          <w:rFonts w:hint="eastAsia" w:ascii="黑体" w:hAnsi="黑体" w:eastAsia="黑体"/>
          <w:color w:val="auto"/>
          <w:sz w:val="32"/>
          <w:szCs w:val="32"/>
          <w:highlight w:val="none"/>
        </w:rPr>
        <w:t xml:space="preserve">章  </w:t>
      </w:r>
      <w:r>
        <w:rPr>
          <w:rFonts w:hint="eastAsia" w:ascii="黑体" w:hAnsi="黑体" w:eastAsia="黑体"/>
          <w:color w:val="auto"/>
          <w:sz w:val="32"/>
          <w:szCs w:val="32"/>
          <w:highlight w:val="none"/>
          <w:lang w:eastAsia="zh-CN"/>
        </w:rPr>
        <w:t>交易及合同</w:t>
      </w:r>
      <w:r>
        <w:rPr>
          <w:rFonts w:hint="eastAsia" w:ascii="黑体" w:hAnsi="黑体" w:eastAsia="黑体"/>
          <w:color w:val="auto"/>
          <w:sz w:val="32"/>
          <w:szCs w:val="32"/>
          <w:highlight w:val="none"/>
        </w:rPr>
        <w:t>管理</w:t>
      </w:r>
    </w:p>
    <w:p w14:paraId="2801B158">
      <w:pPr>
        <w:widowControl w:val="0"/>
        <w:wordWrap/>
        <w:adjustRightInd/>
        <w:snapToGrid/>
        <w:spacing w:before="0" w:after="0" w:line="348" w:lineRule="auto"/>
        <w:ind w:left="0" w:leftChars="0" w:right="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w:t>
      </w:r>
      <w:r>
        <w:rPr>
          <w:rFonts w:hint="eastAsia" w:ascii="仿宋_GB2312" w:hAnsi="仿宋_GB2312" w:eastAsia="仿宋_GB2312" w:cs="仿宋_GB2312"/>
          <w:color w:val="auto"/>
          <w:sz w:val="32"/>
          <w:szCs w:val="32"/>
          <w:highlight w:val="none"/>
          <w:lang w:eastAsia="zh-CN"/>
        </w:rPr>
        <w:t>三十一</w:t>
      </w:r>
      <w:r>
        <w:rPr>
          <w:rFonts w:hint="eastAsia" w:ascii="仿宋_GB2312" w:hAnsi="仿宋_GB2312" w:eastAsia="仿宋_GB2312" w:cs="仿宋_GB2312"/>
          <w:color w:val="auto"/>
          <w:sz w:val="32"/>
          <w:szCs w:val="32"/>
          <w:highlight w:val="none"/>
        </w:rPr>
        <w:t>条  拟总标的额在</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万元以上或发包年限在3年以上的经营项目的合同必须经</w:t>
      </w:r>
      <w:r>
        <w:rPr>
          <w:rFonts w:hint="eastAsia" w:ascii="仿宋_GB2312" w:hAnsi="仿宋_GB2312" w:eastAsia="仿宋_GB2312" w:cs="仿宋_GB2312"/>
          <w:color w:val="auto"/>
          <w:sz w:val="32"/>
          <w:szCs w:val="32"/>
          <w:highlight w:val="none"/>
          <w:lang w:eastAsia="zh-CN"/>
        </w:rPr>
        <w:t>驻村律师</w:t>
      </w:r>
      <w:r>
        <w:rPr>
          <w:rFonts w:hint="eastAsia" w:ascii="仿宋_GB2312" w:hAnsi="仿宋_GB2312" w:eastAsia="仿宋_GB2312" w:cs="仿宋_GB2312"/>
          <w:color w:val="auto"/>
          <w:sz w:val="32"/>
          <w:szCs w:val="32"/>
          <w:highlight w:val="none"/>
        </w:rPr>
        <w:t>审核</w:t>
      </w:r>
      <w:r>
        <w:rPr>
          <w:rFonts w:hint="eastAsia" w:ascii="仿宋_GB2312" w:hAnsi="仿宋_GB2312" w:eastAsia="仿宋_GB2312" w:cs="仿宋_GB2312"/>
          <w:color w:val="auto"/>
          <w:sz w:val="32"/>
          <w:szCs w:val="32"/>
          <w:highlight w:val="none"/>
          <w:lang w:eastAsia="zh-CN"/>
        </w:rPr>
        <w:t>，使用经镇司法部门审核通过的制式合同除外</w:t>
      </w:r>
      <w:r>
        <w:rPr>
          <w:rFonts w:hint="eastAsia" w:ascii="仿宋_GB2312" w:hAnsi="仿宋_GB2312" w:eastAsia="仿宋_GB2312" w:cs="仿宋_GB2312"/>
          <w:color w:val="auto"/>
          <w:sz w:val="32"/>
          <w:szCs w:val="32"/>
          <w:highlight w:val="none"/>
        </w:rPr>
        <w:t>。另外需要见证和公证的，按有关法律法规办理，见证或公证的费用，按照“谁受益，谁承担”原则处理。</w:t>
      </w:r>
    </w:p>
    <w:p w14:paraId="1A79CA65">
      <w:pPr>
        <w:widowControl w:val="0"/>
        <w:wordWrap/>
        <w:adjustRightInd/>
        <w:snapToGrid/>
        <w:spacing w:before="0" w:after="0" w:line="348" w:lineRule="auto"/>
        <w:ind w:left="0" w:leftChars="0" w:right="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第三十二条</w:t>
      </w:r>
      <w:r>
        <w:rPr>
          <w:rFonts w:hint="eastAsia" w:ascii="仿宋_GB2312" w:hAnsi="仿宋_GB2312" w:eastAsia="仿宋_GB2312" w:cs="仿宋_GB2312"/>
          <w:color w:val="auto"/>
          <w:sz w:val="32"/>
          <w:szCs w:val="32"/>
          <w:highlight w:val="none"/>
          <w:lang w:val="en-US" w:eastAsia="zh-CN"/>
        </w:rPr>
        <w:t xml:space="preserve">  合同签订后，若出现承租方不按合同规定的用途使用土地或未经集体经济组织书面同意私下转租、分租等违反合同条款行为，村（社区）集体有义务制止纠正，若制止无效，应及时向</w:t>
      </w:r>
      <w:r>
        <w:rPr>
          <w:rFonts w:hint="eastAsia" w:ascii="仿宋_GB2312" w:hAnsi="仿宋_GB2312" w:eastAsia="仿宋_GB2312" w:cs="仿宋_GB2312"/>
          <w:b w:val="0"/>
          <w:bCs w:val="0"/>
          <w:color w:val="auto"/>
          <w:sz w:val="32"/>
          <w:szCs w:val="32"/>
          <w:highlight w:val="none"/>
          <w:lang w:val="en-US" w:eastAsia="zh-CN"/>
        </w:rPr>
        <w:t>镇农业农村部门</w:t>
      </w:r>
      <w:r>
        <w:rPr>
          <w:rFonts w:hint="eastAsia" w:ascii="仿宋_GB2312" w:hAnsi="仿宋_GB2312" w:eastAsia="仿宋_GB2312" w:cs="仿宋_GB2312"/>
          <w:color w:val="auto"/>
          <w:sz w:val="32"/>
          <w:szCs w:val="32"/>
          <w:highlight w:val="none"/>
          <w:lang w:val="en-US" w:eastAsia="zh-CN"/>
        </w:rPr>
        <w:t>书面报告相关情况，并按合同相关条款追究承租方责任。</w:t>
      </w:r>
    </w:p>
    <w:p w14:paraId="71FDB671">
      <w:pPr>
        <w:widowControl w:val="0"/>
        <w:wordWrap/>
        <w:adjustRightInd/>
        <w:snapToGrid/>
        <w:spacing w:before="0" w:after="0" w:line="348" w:lineRule="auto"/>
        <w:ind w:left="0" w:leftChars="0" w:right="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第三十三条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集体经济组织的资产交易项目有特殊要求，需要在我市其他合法交易机构进行交易的，其资产交易方案经民主议决程序通过，并经</w:t>
      </w:r>
      <w:r>
        <w:rPr>
          <w:rFonts w:hint="eastAsia" w:ascii="仿宋_GB2312" w:hAnsi="仿宋_GB2312" w:eastAsia="仿宋_GB2312" w:cs="仿宋_GB2312"/>
          <w:b w:val="0"/>
          <w:bCs w:val="0"/>
          <w:color w:val="auto"/>
          <w:sz w:val="32"/>
          <w:szCs w:val="32"/>
          <w:highlight w:val="none"/>
          <w:lang w:val="en-US" w:eastAsia="zh-CN"/>
        </w:rPr>
        <w:t>镇农业农村部门</w:t>
      </w:r>
      <w:r>
        <w:rPr>
          <w:rFonts w:hint="eastAsia" w:ascii="仿宋_GB2312" w:hAnsi="仿宋_GB2312" w:eastAsia="仿宋_GB2312" w:cs="仿宋_GB2312"/>
          <w:color w:val="auto"/>
          <w:sz w:val="32"/>
          <w:szCs w:val="32"/>
          <w:highlight w:val="none"/>
          <w:lang w:eastAsia="zh-CN"/>
        </w:rPr>
        <w:t>备案后，可以通过一体化平台同步发布公告并通过我市其他合法交易机构进行公开交易。</w:t>
      </w:r>
    </w:p>
    <w:p w14:paraId="75DD56FD">
      <w:pPr>
        <w:widowControl w:val="0"/>
        <w:wordWrap/>
        <w:adjustRightInd/>
        <w:snapToGrid/>
        <w:spacing w:before="0" w:after="0" w:line="348" w:lineRule="auto"/>
        <w:ind w:left="0" w:leftChars="0" w:right="0" w:firstLine="640" w:firstLineChars="200"/>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第三十四条</w:t>
      </w:r>
      <w:r>
        <w:rPr>
          <w:rFonts w:hint="eastAsia" w:ascii="仿宋_GB2312" w:hAnsi="仿宋_GB2312" w:eastAsia="仿宋_GB2312" w:cs="仿宋_GB2312"/>
          <w:color w:val="auto"/>
          <w:sz w:val="32"/>
          <w:szCs w:val="32"/>
          <w:highlight w:val="none"/>
          <w:lang w:val="en-US" w:eastAsia="zh-CN"/>
        </w:rPr>
        <w:t xml:space="preserve">  在发布交易公告期间，因不可抗力原因或突发事件导致无法正常交易的，村（社区）、组集体有权作出延期交易或中止交易的决定，在交易正式开始前至少12小时前向</w:t>
      </w:r>
      <w:r>
        <w:rPr>
          <w:rFonts w:hint="eastAsia" w:ascii="仿宋_GB2312" w:hAnsi="仿宋_GB2312" w:eastAsia="仿宋_GB2312" w:cs="仿宋_GB2312"/>
          <w:b w:val="0"/>
          <w:bCs w:val="0"/>
          <w:color w:val="auto"/>
          <w:sz w:val="32"/>
          <w:szCs w:val="32"/>
          <w:highlight w:val="none"/>
          <w:lang w:val="en-US" w:eastAsia="zh-CN"/>
        </w:rPr>
        <w:t>镇农业农村部门</w:t>
      </w:r>
      <w:r>
        <w:rPr>
          <w:rFonts w:hint="eastAsia" w:ascii="仿宋_GB2312" w:hAnsi="仿宋_GB2312" w:eastAsia="仿宋_GB2312" w:cs="仿宋_GB2312"/>
          <w:color w:val="auto"/>
          <w:sz w:val="32"/>
          <w:szCs w:val="32"/>
          <w:highlight w:val="none"/>
          <w:lang w:val="en-US" w:eastAsia="zh-CN"/>
        </w:rPr>
        <w:t>反映情况，经</w:t>
      </w:r>
      <w:r>
        <w:rPr>
          <w:rFonts w:hint="eastAsia" w:ascii="仿宋_GB2312" w:hAnsi="仿宋_GB2312" w:eastAsia="仿宋_GB2312" w:cs="仿宋_GB2312"/>
          <w:b w:val="0"/>
          <w:bCs w:val="0"/>
          <w:color w:val="auto"/>
          <w:sz w:val="32"/>
          <w:szCs w:val="32"/>
          <w:highlight w:val="none"/>
          <w:lang w:val="en-US" w:eastAsia="zh-CN"/>
        </w:rPr>
        <w:t>镇农业农村部门</w:t>
      </w:r>
      <w:r>
        <w:rPr>
          <w:rFonts w:hint="eastAsia" w:ascii="仿宋_GB2312" w:hAnsi="仿宋_GB2312" w:eastAsia="仿宋_GB2312" w:cs="仿宋_GB2312"/>
          <w:color w:val="auto"/>
          <w:sz w:val="32"/>
          <w:szCs w:val="32"/>
          <w:highlight w:val="none"/>
          <w:lang w:val="en-US" w:eastAsia="zh-CN"/>
        </w:rPr>
        <w:t>对相关情况调查核实并将决定信息进行公告后，由村（社区）、组集体择日重新交易。若公告期间发现交易公告有误，应经集体经济组织确认和镇农业农村部门审核后，在一体化平台发布更正公告。</w:t>
      </w:r>
    </w:p>
    <w:p w14:paraId="25ACCFAA">
      <w:pPr>
        <w:keepNext w:val="0"/>
        <w:keepLines w:val="0"/>
        <w:pageBreakBefore w:val="0"/>
        <w:kinsoku/>
        <w:overflowPunct/>
        <w:topLinePunct w:val="0"/>
        <w:autoSpaceDE/>
        <w:autoSpaceDN/>
        <w:bidi w:val="0"/>
        <w:adjustRightInd/>
        <w:snapToGrid/>
        <w:spacing w:line="348" w:lineRule="auto"/>
        <w:ind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第</w:t>
      </w:r>
      <w:r>
        <w:rPr>
          <w:rFonts w:hint="eastAsia" w:ascii="仿宋_GB2312" w:hAnsi="仿宋_GB2312" w:eastAsia="仿宋_GB2312" w:cs="仿宋_GB2312"/>
          <w:b w:val="0"/>
          <w:bCs w:val="0"/>
          <w:color w:val="auto"/>
          <w:sz w:val="32"/>
          <w:szCs w:val="32"/>
          <w:highlight w:val="none"/>
          <w:lang w:eastAsia="zh-CN"/>
        </w:rPr>
        <w:t>三十五</w:t>
      </w:r>
      <w:r>
        <w:rPr>
          <w:rFonts w:hint="eastAsia" w:ascii="仿宋_GB2312" w:hAnsi="仿宋_GB2312" w:eastAsia="仿宋_GB2312" w:cs="仿宋_GB2312"/>
          <w:b w:val="0"/>
          <w:bCs w:val="0"/>
          <w:color w:val="auto"/>
          <w:sz w:val="32"/>
          <w:szCs w:val="32"/>
          <w:highlight w:val="none"/>
        </w:rPr>
        <w:t xml:space="preserve">条  </w:t>
      </w:r>
      <w:r>
        <w:rPr>
          <w:rStyle w:val="16"/>
          <w:rFonts w:hint="eastAsia" w:ascii="仿宋_GB2312" w:hAnsi="仿宋_GB2312" w:eastAsia="仿宋_GB2312" w:cs="仿宋_GB2312"/>
          <w:b w:val="0"/>
          <w:bCs w:val="0"/>
          <w:color w:val="auto"/>
          <w:sz w:val="32"/>
          <w:szCs w:val="32"/>
          <w:highlight w:val="none"/>
          <w:lang w:eastAsia="zh-CN"/>
        </w:rPr>
        <w:t>各</w:t>
      </w:r>
      <w:r>
        <w:rPr>
          <w:rFonts w:hint="eastAsia" w:ascii="仿宋_GB2312" w:hAnsi="仿宋_GB2312" w:eastAsia="仿宋_GB2312" w:cs="仿宋_GB2312"/>
          <w:b w:val="0"/>
          <w:bCs w:val="0"/>
          <w:color w:val="auto"/>
          <w:sz w:val="32"/>
          <w:szCs w:val="32"/>
          <w:highlight w:val="none"/>
          <w:lang w:val="en-US" w:eastAsia="zh-CN"/>
        </w:rPr>
        <w:t>村（社区）要加强对收费工作的日常管理，严格执行有关规定，</w:t>
      </w:r>
      <w:r>
        <w:rPr>
          <w:rFonts w:hint="eastAsia" w:ascii="仿宋_GB2312" w:hAnsi="仿宋_GB2312" w:eastAsia="仿宋_GB2312" w:cs="仿宋_GB2312"/>
          <w:color w:val="auto"/>
          <w:sz w:val="32"/>
          <w:szCs w:val="32"/>
          <w:highlight w:val="none"/>
          <w:lang w:eastAsia="zh-CN"/>
        </w:rPr>
        <w:t>签订的资产项目一般不得附带未经审核的收费项目</w:t>
      </w:r>
      <w:r>
        <w:rPr>
          <w:rFonts w:hint="eastAsia" w:ascii="仿宋_GB2312" w:hAnsi="仿宋_GB2312" w:eastAsia="仿宋_GB2312" w:cs="仿宋_GB2312"/>
          <w:b w:val="0"/>
          <w:bCs w:val="0"/>
          <w:color w:val="auto"/>
          <w:sz w:val="32"/>
          <w:szCs w:val="32"/>
          <w:highlight w:val="none"/>
          <w:lang w:val="en-US" w:eastAsia="zh-CN"/>
        </w:rPr>
        <w:t>。</w:t>
      </w:r>
    </w:p>
    <w:p w14:paraId="3876979D">
      <w:pPr>
        <w:keepNext w:val="0"/>
        <w:keepLines w:val="0"/>
        <w:pageBreakBefore w:val="0"/>
        <w:kinsoku/>
        <w:overflowPunct/>
        <w:topLinePunct w:val="0"/>
        <w:autoSpaceDE/>
        <w:autoSpaceDN/>
        <w:bidi w:val="0"/>
        <w:adjustRightInd/>
        <w:snapToGrid/>
        <w:spacing w:line="348" w:lineRule="auto"/>
        <w:ind w:firstLine="640" w:firstLineChars="200"/>
        <w:jc w:val="left"/>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第三十六条  各村（社区）应加强合同管理，交易完成后3个工作日内在一体化平台录入新签订的合同，做好合同归档和及时入账，并进一步做好应收款登记、催收和核销相关工作，建立健全债权管理机制，防范集体资金流失。</w:t>
      </w:r>
    </w:p>
    <w:p w14:paraId="47F5B126">
      <w:pPr>
        <w:keepNext w:val="0"/>
        <w:keepLines w:val="0"/>
        <w:pageBreakBefore w:val="0"/>
        <w:kinsoku/>
        <w:overflowPunct/>
        <w:topLinePunct w:val="0"/>
        <w:autoSpaceDE/>
        <w:autoSpaceDN/>
        <w:bidi w:val="0"/>
        <w:adjustRightInd w:val="0"/>
        <w:snapToGrid w:val="0"/>
        <w:spacing w:line="620" w:lineRule="exact"/>
        <w:ind w:firstLine="640" w:firstLineChars="200"/>
        <w:jc w:val="left"/>
        <w:textAlignment w:val="auto"/>
        <w:outlineLvl w:val="2"/>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第</w:t>
      </w:r>
      <w:r>
        <w:rPr>
          <w:rFonts w:hint="eastAsia" w:ascii="仿宋_GB2312" w:hAnsi="仿宋_GB2312" w:eastAsia="仿宋_GB2312" w:cs="仿宋_GB2312"/>
          <w:b w:val="0"/>
          <w:bCs w:val="0"/>
          <w:color w:val="auto"/>
          <w:sz w:val="32"/>
          <w:szCs w:val="32"/>
          <w:highlight w:val="none"/>
          <w:lang w:val="en-US" w:eastAsia="zh-CN"/>
        </w:rPr>
        <w:t>三十七</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pacing w:val="-6"/>
          <w:sz w:val="32"/>
          <w:szCs w:val="32"/>
          <w:highlight w:val="none"/>
        </w:rPr>
        <w:t xml:space="preserve">  </w:t>
      </w:r>
      <w:r>
        <w:rPr>
          <w:rFonts w:hint="eastAsia" w:ascii="仿宋_GB2312" w:hAnsi="仿宋_GB2312" w:eastAsia="仿宋_GB2312" w:cs="仿宋_GB2312"/>
          <w:b w:val="0"/>
          <w:bCs w:val="0"/>
          <w:color w:val="auto"/>
          <w:spacing w:val="-6"/>
          <w:sz w:val="32"/>
          <w:szCs w:val="32"/>
          <w:highlight w:val="none"/>
          <w:lang w:eastAsia="zh-CN"/>
        </w:rPr>
        <w:t>已签订的</w:t>
      </w:r>
      <w:r>
        <w:rPr>
          <w:rFonts w:hint="eastAsia" w:ascii="仿宋_GB2312" w:hAnsi="仿宋_GB2312" w:eastAsia="仿宋_GB2312" w:cs="仿宋_GB2312"/>
          <w:b w:val="0"/>
          <w:bCs w:val="0"/>
          <w:color w:val="auto"/>
          <w:sz w:val="32"/>
          <w:szCs w:val="32"/>
          <w:highlight w:val="none"/>
          <w:lang w:val="en-US" w:eastAsia="zh-CN"/>
        </w:rPr>
        <w:t>合同确需变更合同条款的，须按支出审批权限经民主决策后报镇农业农村部门备案。合同按法律法规规定和合同违约条款约定应终止的，村级经“两委”会议、组级经小组长和村民代表会议表决后，提交镇农业农村部门备案。</w:t>
      </w:r>
    </w:p>
    <w:p w14:paraId="5E8113F5">
      <w:pPr>
        <w:keepNext w:val="0"/>
        <w:keepLines w:val="0"/>
        <w:pageBreakBefore w:val="0"/>
        <w:kinsoku/>
        <w:overflowPunct/>
        <w:topLinePunct w:val="0"/>
        <w:autoSpaceDE/>
        <w:autoSpaceDN/>
        <w:bidi w:val="0"/>
        <w:adjustRightInd w:val="0"/>
        <w:snapToGrid w:val="0"/>
        <w:spacing w:line="620" w:lineRule="exact"/>
        <w:ind w:firstLine="640" w:firstLineChars="200"/>
        <w:jc w:val="left"/>
        <w:textAlignment w:val="auto"/>
        <w:outlineLvl w:val="2"/>
        <w:rPr>
          <w:rFonts w:hint="eastAsia" w:ascii="仿宋_GB2312" w:hAnsi="仿宋_GB2312" w:eastAsia="仿宋_GB2312" w:cs="仿宋_GB2312"/>
          <w:b w:val="0"/>
          <w:bCs w:val="0"/>
          <w:color w:val="auto"/>
          <w:sz w:val="32"/>
          <w:highlight w:val="none"/>
          <w:lang w:val="en-US" w:eastAsia="zh-CN"/>
        </w:rPr>
      </w:pPr>
      <w:r>
        <w:rPr>
          <w:rFonts w:hint="eastAsia" w:ascii="仿宋_GB2312" w:hAnsi="仿宋_GB2312" w:eastAsia="仿宋_GB2312" w:cs="仿宋_GB2312"/>
          <w:b w:val="0"/>
          <w:bCs w:val="0"/>
          <w:color w:val="auto"/>
          <w:sz w:val="32"/>
          <w:highlight w:val="none"/>
          <w:lang w:val="en-US" w:eastAsia="zh-CN"/>
        </w:rPr>
        <w:t>备案后各村（社区）须在公开栏公示合同变更或终止情况，公示时间不少于5个工作日，并及时签订补充协议或终止协议，签订后的合同需公示不少于5个工作日并在一体化平台进行合同变更操作。</w:t>
      </w:r>
    </w:p>
    <w:p w14:paraId="02BA6964">
      <w:pPr>
        <w:keepNext w:val="0"/>
        <w:keepLines w:val="0"/>
        <w:pageBreakBefore w:val="0"/>
        <w:kinsoku/>
        <w:overflowPunct/>
        <w:topLinePunct w:val="0"/>
        <w:autoSpaceDE/>
        <w:autoSpaceDN/>
        <w:bidi w:val="0"/>
        <w:adjustRightInd w:val="0"/>
        <w:snapToGrid w:val="0"/>
        <w:spacing w:line="620" w:lineRule="exact"/>
        <w:ind w:firstLine="640" w:firstLineChars="200"/>
        <w:jc w:val="left"/>
        <w:textAlignment w:val="auto"/>
        <w:outlineLvl w:val="2"/>
        <w:rPr>
          <w:rFonts w:hint="eastAsia" w:ascii="Times New Roman" w:hAnsi="Times New Roman" w:eastAsia="仿宋_GB2312" w:cs="Times New Roman"/>
          <w:b w:val="0"/>
          <w:bCs w:val="0"/>
          <w:color w:val="auto"/>
          <w:sz w:val="32"/>
          <w:highlight w:val="none"/>
          <w:lang w:val="en-US" w:eastAsia="zh-CN"/>
        </w:rPr>
      </w:pPr>
      <w:r>
        <w:rPr>
          <w:rFonts w:hint="eastAsia" w:ascii="仿宋_GB2312" w:hAnsi="仿宋_GB2312" w:eastAsia="仿宋_GB2312" w:cs="仿宋_GB2312"/>
          <w:b w:val="0"/>
          <w:bCs w:val="0"/>
          <w:color w:val="auto"/>
          <w:sz w:val="32"/>
          <w:highlight w:val="none"/>
          <w:lang w:val="en-US" w:eastAsia="zh-CN"/>
        </w:rPr>
        <w:t>第三十八条  合同生效后，租金如需减免的，按市相关文件要求执行。</w:t>
      </w:r>
    </w:p>
    <w:p w14:paraId="2ACD2681">
      <w:pPr>
        <w:keepNext w:val="0"/>
        <w:keepLines w:val="0"/>
        <w:pageBreakBefore w:val="0"/>
        <w:widowControl w:val="0"/>
        <w:kinsoku/>
        <w:wordWrap/>
        <w:overflowPunct/>
        <w:topLinePunct w:val="0"/>
        <w:autoSpaceDE/>
        <w:autoSpaceDN/>
        <w:bidi w:val="0"/>
        <w:adjustRightInd/>
        <w:snapToGrid w:val="0"/>
        <w:spacing w:before="200" w:after="200" w:line="620" w:lineRule="exact"/>
        <w:jc w:val="center"/>
        <w:textAlignment w:val="auto"/>
        <w:outlineLvl w:val="1"/>
        <w:rPr>
          <w:rFonts w:hint="eastAsia" w:ascii="黑体" w:hAnsi="黑体" w:eastAsia="黑体" w:cs="黑体"/>
          <w:b w:val="0"/>
          <w:bCs w:val="0"/>
          <w:color w:val="auto"/>
          <w:kern w:val="0"/>
          <w:sz w:val="32"/>
          <w:szCs w:val="32"/>
          <w:highlight w:val="none"/>
          <w:lang w:val="en-US" w:eastAsia="zh-CN"/>
        </w:rPr>
      </w:pPr>
    </w:p>
    <w:p w14:paraId="50F6C603">
      <w:pPr>
        <w:keepNext w:val="0"/>
        <w:keepLines w:val="0"/>
        <w:pageBreakBefore w:val="0"/>
        <w:widowControl w:val="0"/>
        <w:kinsoku/>
        <w:wordWrap/>
        <w:overflowPunct/>
        <w:topLinePunct w:val="0"/>
        <w:autoSpaceDE/>
        <w:autoSpaceDN/>
        <w:bidi w:val="0"/>
        <w:adjustRightInd/>
        <w:snapToGrid w:val="0"/>
        <w:spacing w:before="200" w:after="200" w:line="620" w:lineRule="exact"/>
        <w:jc w:val="center"/>
        <w:textAlignment w:val="auto"/>
        <w:outlineLvl w:val="1"/>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第七章  监督管理</w:t>
      </w:r>
    </w:p>
    <w:p w14:paraId="6A3DED97">
      <w:pPr>
        <w:keepNext w:val="0"/>
        <w:keepLines w:val="0"/>
        <w:pageBreakBefore w:val="0"/>
        <w:kinsoku/>
        <w:overflowPunct/>
        <w:topLinePunct w:val="0"/>
        <w:autoSpaceDE/>
        <w:autoSpaceDN/>
        <w:bidi w:val="0"/>
        <w:adjustRightInd w:val="0"/>
        <w:snapToGrid w:val="0"/>
        <w:spacing w:line="620" w:lineRule="exact"/>
        <w:ind w:firstLine="640" w:firstLineChars="200"/>
        <w:jc w:val="both"/>
        <w:textAlignment w:val="auto"/>
        <w:outlineLvl w:val="2"/>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第</w:t>
      </w:r>
      <w:r>
        <w:rPr>
          <w:rFonts w:hint="eastAsia" w:ascii="仿宋_GB2312" w:hAnsi="仿宋_GB2312" w:eastAsia="仿宋_GB2312" w:cs="仿宋_GB2312"/>
          <w:b w:val="0"/>
          <w:bCs w:val="0"/>
          <w:color w:val="auto"/>
          <w:sz w:val="32"/>
          <w:szCs w:val="32"/>
          <w:highlight w:val="none"/>
          <w:lang w:eastAsia="zh-CN"/>
        </w:rPr>
        <w:t>三十九</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镇农业农村部门负责接受农村集体资产项目管理过程中的纠纷、投诉和举报，应及时调查，向当事人做好解释工作，必要时可暂停资产项目并公示。</w:t>
      </w:r>
    </w:p>
    <w:p w14:paraId="3CDAF5A4">
      <w:pPr>
        <w:keepNext w:val="0"/>
        <w:keepLines w:val="0"/>
        <w:pageBreakBefore w:val="0"/>
        <w:kinsoku/>
        <w:overflowPunct/>
        <w:topLinePunct w:val="0"/>
        <w:autoSpaceDE/>
        <w:autoSpaceDN/>
        <w:bidi w:val="0"/>
        <w:adjustRightInd w:val="0"/>
        <w:snapToGrid w:val="0"/>
        <w:spacing w:line="620" w:lineRule="exact"/>
        <w:ind w:firstLine="640" w:firstLineChars="200"/>
        <w:jc w:val="both"/>
        <w:textAlignment w:val="auto"/>
        <w:outlineLvl w:val="2"/>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第</w:t>
      </w:r>
      <w:r>
        <w:rPr>
          <w:rFonts w:hint="eastAsia" w:ascii="仿宋_GB2312" w:hAnsi="仿宋_GB2312" w:eastAsia="仿宋_GB2312" w:cs="仿宋_GB2312"/>
          <w:b w:val="0"/>
          <w:bCs w:val="0"/>
          <w:color w:val="auto"/>
          <w:sz w:val="32"/>
          <w:szCs w:val="32"/>
          <w:highlight w:val="none"/>
          <w:lang w:eastAsia="zh-CN"/>
        </w:rPr>
        <w:t>四十</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lang w:eastAsia="zh-CN"/>
        </w:rPr>
        <w:t>农</w:t>
      </w:r>
      <w:r>
        <w:rPr>
          <w:rFonts w:hint="eastAsia" w:ascii="仿宋_GB2312" w:hAnsi="仿宋_GB2312" w:eastAsia="仿宋_GB2312" w:cs="仿宋_GB2312"/>
          <w:b w:val="0"/>
          <w:bCs w:val="0"/>
          <w:color w:val="auto"/>
          <w:sz w:val="32"/>
          <w:szCs w:val="32"/>
          <w:highlight w:val="none"/>
          <w:lang w:val="en-US" w:eastAsia="zh-CN"/>
        </w:rPr>
        <w:t>村集体资产项目需及时将每个环节的资料上传一体化平台，在平台如实登记反映，纳入平台日常监管。镇农业农村部门需对平台操作加强指导和监管。</w:t>
      </w:r>
    </w:p>
    <w:p w14:paraId="67934064">
      <w:pPr>
        <w:keepNext w:val="0"/>
        <w:keepLines w:val="0"/>
        <w:pageBreakBefore w:val="0"/>
        <w:kinsoku/>
        <w:overflowPunct/>
        <w:topLinePunct w:val="0"/>
        <w:autoSpaceDE/>
        <w:autoSpaceDN/>
        <w:bidi w:val="0"/>
        <w:adjustRightInd w:val="0"/>
        <w:snapToGrid w:val="0"/>
        <w:spacing w:line="620" w:lineRule="exact"/>
        <w:ind w:firstLine="640" w:firstLineChars="200"/>
        <w:jc w:val="both"/>
        <w:textAlignment w:val="auto"/>
        <w:outlineLvl w:val="2"/>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第</w:t>
      </w:r>
      <w:r>
        <w:rPr>
          <w:rFonts w:hint="eastAsia" w:ascii="仿宋_GB2312" w:hAnsi="仿宋_GB2312" w:eastAsia="仿宋_GB2312" w:cs="仿宋_GB2312"/>
          <w:b w:val="0"/>
          <w:bCs w:val="0"/>
          <w:color w:val="auto"/>
          <w:sz w:val="32"/>
          <w:szCs w:val="32"/>
          <w:highlight w:val="none"/>
          <w:lang w:eastAsia="zh-CN"/>
        </w:rPr>
        <w:t>四十一</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在项目公示过程中或完成后，凡发现不按本办法规定实施农村集体资产管理的、擅自改变交易方案和交易合同、将公开交易资产项目分拆或以其他方式规避公开交易的、不按合同条款规定执行等损害集体利益行为的，未造成经济损失的，由镇农业农村部门责令5个工作日内整改，并根据工作需要进行通报；造成集体利益损失的，交由镇纪检、监察部门追究有关当事人的责任；后果严重、涉嫌犯罪的，移交司法机关依法追究当事人的法律责任。</w:t>
      </w:r>
    </w:p>
    <w:p w14:paraId="2EC4FA58">
      <w:pPr>
        <w:adjustRightInd w:val="0"/>
        <w:snapToGrid w:val="0"/>
        <w:spacing w:line="620" w:lineRule="exact"/>
        <w:ind w:firstLine="640" w:firstLineChars="200"/>
        <w:outlineLvl w:val="2"/>
        <w:rPr>
          <w:rFonts w:hint="default"/>
          <w:color w:val="auto"/>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第四十二条 建立农村集体资产交易黑名单制度。对于恶意扰乱农村集体资产交易、在交易过程中弄</w:t>
      </w:r>
      <w:r>
        <w:rPr>
          <w:rFonts w:hint="eastAsia" w:ascii="仿宋_GB2312" w:hAnsi="仿宋_GB2312" w:eastAsia="仿宋_GB2312" w:cs="仿宋_GB2312"/>
          <w:b w:val="0"/>
          <w:bCs w:val="0"/>
          <w:color w:val="auto"/>
          <w:kern w:val="2"/>
          <w:sz w:val="32"/>
          <w:szCs w:val="32"/>
          <w:highlight w:val="none"/>
          <w:lang w:val="en-US" w:eastAsia="zh-CN" w:bidi="ar-SA"/>
        </w:rPr>
        <w:t>虚作假等的投标或承包人，由村“两委”研究决定，视情况严重性列入本村（社区）农村资产交易黑名单，5年内禁止其报名参与本村（社区）的农村集体资产交易；涉及违纪违法的投标或承包人，由</w:t>
      </w:r>
      <w:r>
        <w:rPr>
          <w:rFonts w:hint="eastAsia" w:ascii="仿宋_GB2312" w:hAnsi="仿宋_GB2312" w:eastAsia="仿宋_GB2312" w:cs="仿宋_GB2312"/>
          <w:b w:val="0"/>
          <w:bCs w:val="0"/>
          <w:color w:val="auto"/>
          <w:sz w:val="32"/>
          <w:szCs w:val="32"/>
          <w:highlight w:val="none"/>
          <w:lang w:val="en-US" w:eastAsia="zh-CN"/>
        </w:rPr>
        <w:t>镇农业农村部门</w:t>
      </w:r>
      <w:r>
        <w:rPr>
          <w:rFonts w:hint="eastAsia" w:ascii="仿宋_GB2312" w:hAnsi="仿宋_GB2312" w:eastAsia="仿宋_GB2312" w:cs="仿宋_GB2312"/>
          <w:b w:val="0"/>
          <w:bCs w:val="0"/>
          <w:color w:val="auto"/>
          <w:kern w:val="2"/>
          <w:sz w:val="32"/>
          <w:szCs w:val="32"/>
          <w:highlight w:val="none"/>
          <w:lang w:val="en-US" w:eastAsia="zh-CN" w:bidi="ar-SA"/>
        </w:rPr>
        <w:t>决定列入黄圃镇农村资产交易黑名单，5年内禁止其报名参与全镇农村集体资产交易。</w:t>
      </w:r>
    </w:p>
    <w:p w14:paraId="10F6139A">
      <w:pPr>
        <w:keepNext w:val="0"/>
        <w:keepLines w:val="0"/>
        <w:pageBreakBefore w:val="0"/>
        <w:widowControl w:val="0"/>
        <w:kinsoku/>
        <w:wordWrap/>
        <w:overflowPunct/>
        <w:topLinePunct w:val="0"/>
        <w:autoSpaceDE/>
        <w:autoSpaceDN/>
        <w:bidi w:val="0"/>
        <w:adjustRightInd/>
        <w:snapToGrid w:val="0"/>
        <w:spacing w:beforeLines="50" w:line="620" w:lineRule="exact"/>
        <w:jc w:val="center"/>
        <w:textAlignment w:val="auto"/>
        <w:outlineLvl w:val="1"/>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kern w:val="0"/>
          <w:sz w:val="32"/>
          <w:szCs w:val="32"/>
          <w:highlight w:val="none"/>
          <w:lang w:eastAsia="zh-CN"/>
        </w:rPr>
        <w:t>第</w:t>
      </w:r>
      <w:r>
        <w:rPr>
          <w:rFonts w:hint="eastAsia" w:ascii="Times New Roman" w:hAnsi="Times New Roman" w:eastAsia="黑体" w:cs="Times New Roman"/>
          <w:b w:val="0"/>
          <w:bCs w:val="0"/>
          <w:color w:val="auto"/>
          <w:kern w:val="0"/>
          <w:sz w:val="32"/>
          <w:szCs w:val="32"/>
          <w:highlight w:val="none"/>
          <w:lang w:eastAsia="zh-CN"/>
        </w:rPr>
        <w:t>八</w:t>
      </w:r>
      <w:r>
        <w:rPr>
          <w:rFonts w:hint="default" w:ascii="Times New Roman" w:hAnsi="Times New Roman" w:eastAsia="黑体" w:cs="Times New Roman"/>
          <w:b w:val="0"/>
          <w:bCs w:val="0"/>
          <w:color w:val="auto"/>
          <w:kern w:val="0"/>
          <w:sz w:val="32"/>
          <w:szCs w:val="32"/>
          <w:highlight w:val="none"/>
          <w:lang w:eastAsia="zh-CN"/>
        </w:rPr>
        <w:t>章   附则</w:t>
      </w:r>
    </w:p>
    <w:p w14:paraId="69FF9151">
      <w:pPr>
        <w:keepNext w:val="0"/>
        <w:keepLines w:val="0"/>
        <w:pageBreakBefore w:val="0"/>
        <w:kinsoku/>
        <w:overflowPunct/>
        <w:topLinePunct w:val="0"/>
        <w:autoSpaceDE/>
        <w:autoSpaceDN/>
        <w:bidi w:val="0"/>
        <w:adjustRightInd w:val="0"/>
        <w:snapToGrid w:val="0"/>
        <w:spacing w:line="620" w:lineRule="exact"/>
        <w:ind w:firstLine="640" w:firstLineChars="200"/>
        <w:jc w:val="left"/>
        <w:textAlignment w:val="auto"/>
        <w:outlineLvl w:val="2"/>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第</w:t>
      </w:r>
      <w:r>
        <w:rPr>
          <w:rFonts w:hint="eastAsia" w:ascii="仿宋_GB2312" w:hAnsi="仿宋_GB2312" w:eastAsia="仿宋_GB2312" w:cs="仿宋_GB2312"/>
          <w:b w:val="0"/>
          <w:bCs w:val="0"/>
          <w:color w:val="auto"/>
          <w:sz w:val="32"/>
          <w:szCs w:val="32"/>
          <w:highlight w:val="none"/>
          <w:lang w:val="en-US" w:eastAsia="zh-CN"/>
        </w:rPr>
        <w:t>四十三</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本办法自发布之日起执行，有效期为5年。</w:t>
      </w:r>
      <w:bookmarkStart w:id="0" w:name="_GoBack"/>
      <w:bookmarkEnd w:id="0"/>
      <w:r>
        <w:rPr>
          <w:rFonts w:hint="eastAsia" w:ascii="仿宋_GB2312" w:hAnsi="仿宋_GB2312" w:eastAsia="仿宋_GB2312" w:cs="仿宋_GB2312"/>
          <w:b w:val="0"/>
          <w:bCs w:val="0"/>
          <w:color w:val="auto"/>
          <w:sz w:val="32"/>
          <w:szCs w:val="32"/>
          <w:highlight w:val="none"/>
          <w:lang w:val="en-US" w:eastAsia="zh-CN"/>
        </w:rPr>
        <w:t>我镇此前制定的农村集体资产交易管理办法，同时废止。</w:t>
      </w:r>
    </w:p>
    <w:p w14:paraId="16BF0279">
      <w:pPr>
        <w:keepNext w:val="0"/>
        <w:keepLines w:val="0"/>
        <w:pageBreakBefore w:val="0"/>
        <w:kinsoku/>
        <w:overflowPunct/>
        <w:topLinePunct w:val="0"/>
        <w:autoSpaceDE/>
        <w:autoSpaceDN/>
        <w:bidi w:val="0"/>
        <w:adjustRightInd w:val="0"/>
        <w:snapToGrid w:val="0"/>
        <w:spacing w:line="620" w:lineRule="exact"/>
        <w:ind w:firstLine="640" w:firstLineChars="200"/>
        <w:jc w:val="left"/>
        <w:textAlignment w:val="auto"/>
        <w:outlineLvl w:val="2"/>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w:t>
      </w:r>
      <w:r>
        <w:rPr>
          <w:rFonts w:hint="eastAsia" w:ascii="仿宋_GB2312" w:hAnsi="仿宋_GB2312" w:eastAsia="仿宋_GB2312" w:cs="仿宋_GB2312"/>
          <w:b w:val="0"/>
          <w:bCs w:val="0"/>
          <w:color w:val="auto"/>
          <w:sz w:val="32"/>
          <w:szCs w:val="32"/>
          <w:highlight w:val="none"/>
          <w:lang w:eastAsia="zh-CN"/>
        </w:rPr>
        <w:t>四十四</w:t>
      </w:r>
      <w:r>
        <w:rPr>
          <w:rFonts w:hint="eastAsia" w:ascii="仿宋_GB2312" w:hAnsi="仿宋_GB2312" w:eastAsia="仿宋_GB2312" w:cs="仿宋_GB2312"/>
          <w:b w:val="0"/>
          <w:bCs w:val="0"/>
          <w:color w:val="auto"/>
          <w:sz w:val="32"/>
          <w:szCs w:val="32"/>
          <w:highlight w:val="none"/>
        </w:rPr>
        <w:t>条  本办法由镇</w:t>
      </w:r>
      <w:r>
        <w:rPr>
          <w:rFonts w:hint="eastAsia" w:ascii="仿宋_GB2312" w:hAnsi="仿宋_GB2312" w:eastAsia="仿宋_GB2312" w:cs="仿宋_GB2312"/>
          <w:b w:val="0"/>
          <w:bCs w:val="0"/>
          <w:color w:val="auto"/>
          <w:sz w:val="32"/>
          <w:szCs w:val="32"/>
          <w:highlight w:val="none"/>
          <w:lang w:eastAsia="zh-CN"/>
        </w:rPr>
        <w:t>农业农村部门</w:t>
      </w:r>
      <w:r>
        <w:rPr>
          <w:rFonts w:hint="eastAsia" w:ascii="仿宋_GB2312" w:hAnsi="仿宋_GB2312" w:eastAsia="仿宋_GB2312" w:cs="仿宋_GB2312"/>
          <w:b w:val="0"/>
          <w:bCs w:val="0"/>
          <w:color w:val="auto"/>
          <w:sz w:val="32"/>
          <w:szCs w:val="32"/>
          <w:highlight w:val="none"/>
        </w:rPr>
        <w:t>负责解释。</w:t>
      </w:r>
    </w:p>
    <w:p w14:paraId="543EA6D3">
      <w:pPr>
        <w:keepNext w:val="0"/>
        <w:keepLines w:val="0"/>
        <w:pageBreakBefore w:val="0"/>
        <w:kinsoku/>
        <w:overflowPunct/>
        <w:topLinePunct w:val="0"/>
        <w:autoSpaceDE/>
        <w:autoSpaceDN/>
        <w:bidi w:val="0"/>
        <w:adjustRightInd w:val="0"/>
        <w:snapToGrid w:val="0"/>
        <w:spacing w:line="620" w:lineRule="exact"/>
        <w:ind w:firstLine="640" w:firstLineChars="200"/>
        <w:jc w:val="left"/>
        <w:textAlignment w:val="auto"/>
        <w:outlineLvl w:val="2"/>
        <w:rPr>
          <w:rFonts w:hint="default" w:ascii="Times New Roman" w:hAnsi="Times New Roman" w:eastAsia="仿宋_GB2312" w:cs="Times New Roman"/>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第</w:t>
      </w:r>
      <w:r>
        <w:rPr>
          <w:rFonts w:hint="eastAsia" w:ascii="仿宋_GB2312" w:hAnsi="仿宋_GB2312" w:eastAsia="仿宋_GB2312" w:cs="仿宋_GB2312"/>
          <w:b w:val="0"/>
          <w:bCs w:val="0"/>
          <w:color w:val="auto"/>
          <w:sz w:val="32"/>
          <w:szCs w:val="32"/>
          <w:highlight w:val="none"/>
          <w:lang w:val="en-US" w:eastAsia="zh-CN"/>
        </w:rPr>
        <w:t>四十五条  本办法执行过程中如遇上级法规政策调整的，按上级法规政策执行。</w:t>
      </w:r>
    </w:p>
    <w:p w14:paraId="33E52F38">
      <w:pPr>
        <w:pStyle w:val="6"/>
        <w:rPr>
          <w:rFonts w:hint="eastAsia" w:ascii="Times New Roman" w:hAnsi="Times New Roman" w:eastAsia="仿宋_GB2312" w:cs="Times New Roman"/>
          <w:b w:val="0"/>
          <w:bCs w:val="0"/>
          <w:color w:val="auto"/>
          <w:sz w:val="32"/>
          <w:szCs w:val="32"/>
          <w:highlight w:val="none"/>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00000000000000000"/>
    <w:charset w:val="86"/>
    <w:family w:val="auto"/>
    <w:pitch w:val="default"/>
    <w:sig w:usb0="A00002BF" w:usb1="184F6CFA" w:usb2="00000012" w:usb3="00000000" w:csb0="00040001" w:csb1="00000000"/>
  </w:font>
  <w:font w:name="MingLiU">
    <w:altName w:val="Microsoft JhengHei"/>
    <w:panose1 w:val="02020509000000000000"/>
    <w:charset w:val="88"/>
    <w:family w:val="auto"/>
    <w:pitch w:val="default"/>
    <w:sig w:usb0="00000000" w:usb1="00000000" w:usb2="00000016" w:usb3="00000000" w:csb0="00100001" w:csb1="00000000"/>
  </w:font>
  <w:font w:name="仿宋_GB2312">
    <w:panose1 w:val="02010609030101010101"/>
    <w:charset w:val="86"/>
    <w:family w:val="auto"/>
    <w:pitch w:val="default"/>
    <w:sig w:usb0="00000001" w:usb1="080E0000" w:usb2="00000000" w:usb3="00000000" w:csb0="00040000" w:csb1="0000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6AF03">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91235" cy="157480"/>
              <wp:effectExtent l="0" t="0" r="0" b="0"/>
              <wp:wrapNone/>
              <wp:docPr id="1" name="矩形 1"/>
              <wp:cNvGraphicFramePr/>
              <a:graphic xmlns:a="http://schemas.openxmlformats.org/drawingml/2006/main">
                <a:graphicData uri="http://schemas.microsoft.com/office/word/2010/wordprocessingShape">
                  <wps:wsp>
                    <wps:cNvSpPr/>
                    <wps:spPr>
                      <a:xfrm>
                        <a:off x="0" y="0"/>
                        <a:ext cx="991235" cy="157480"/>
                      </a:xfrm>
                      <a:prstGeom prst="rect">
                        <a:avLst/>
                      </a:prstGeom>
                      <a:noFill/>
                      <a:ln>
                        <a:noFill/>
                      </a:ln>
                    </wps:spPr>
                    <wps:txbx>
                      <w:txbxContent>
                        <w:p w14:paraId="103AA9E0">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2.4pt;width:78.05pt;mso-position-horizontal:center;mso-position-horizontal-relative:margin;mso-wrap-style:none;z-index:251659264;mso-width-relative:page;mso-height-relative:page;" filled="f" stroked="f" coordsize="21600,21600" o:gfxdata="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n4Z9S0gAAAAQBAAAPAAAAAAAAAAEAIAAAACIAAABkcnMvZG93bnJldi54bWxQ&#10;SwECFAAUAAAACACHTuJAb3mW38QBAACKAwAADgAAAAAAAAABACAAAAAhAQAAZHJzL2Uyb0RvYy54&#10;bWxQSwUGAAAAAAYABgBZAQAAVwUAAAAA&#10;">
              <v:fill on="f" focussize="0,0"/>
              <v:stroke on="f"/>
              <v:imagedata o:title=""/>
              <o:lock v:ext="edit" aspectratio="f"/>
              <v:textbox inset="0mm,0mm,0mm,0mm" style="mso-fit-shape-to-text:t;">
                <w:txbxContent>
                  <w:p w14:paraId="103AA9E0">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2796D">
    <w:pPr>
      <w:pStyle w:val="9"/>
      <w:pBdr>
        <w:bottom w:val="none" w:color="auto" w:sz="0" w:space="0"/>
      </w:pBd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94A58E"/>
    <w:multiLevelType w:val="singleLevel"/>
    <w:tmpl w:val="7194A58E"/>
    <w:lvl w:ilvl="0" w:tentative="0">
      <w:start w:val="1"/>
      <w:numFmt w:val="chineseCounting"/>
      <w:suff w:val="nothing"/>
      <w:lvlText w:val="（%1）"/>
      <w:lvlJc w:val="left"/>
      <w:pPr>
        <w:ind w:left="-10"/>
      </w:pPr>
      <w:rPr>
        <w:rFonts w:hint="eastAsia" w:ascii="仿宋_GB2312" w:hAnsi="仿宋_GB2312" w:eastAsia="仿宋_GB2312" w:cs="仿宋_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420D56"/>
    <w:rsid w:val="00983E09"/>
    <w:rsid w:val="018A4045"/>
    <w:rsid w:val="01922706"/>
    <w:rsid w:val="026E523D"/>
    <w:rsid w:val="027D67A5"/>
    <w:rsid w:val="02916AEC"/>
    <w:rsid w:val="035A45AA"/>
    <w:rsid w:val="03F50305"/>
    <w:rsid w:val="052E6005"/>
    <w:rsid w:val="05F72808"/>
    <w:rsid w:val="060E4F02"/>
    <w:rsid w:val="06182459"/>
    <w:rsid w:val="06F255F0"/>
    <w:rsid w:val="07023910"/>
    <w:rsid w:val="071E1739"/>
    <w:rsid w:val="08701D5E"/>
    <w:rsid w:val="088F16FD"/>
    <w:rsid w:val="0CBE7559"/>
    <w:rsid w:val="0CE54009"/>
    <w:rsid w:val="0D3D0BAC"/>
    <w:rsid w:val="0DDC62CA"/>
    <w:rsid w:val="0F49071A"/>
    <w:rsid w:val="0F5C30B2"/>
    <w:rsid w:val="0F8D3A92"/>
    <w:rsid w:val="0FA20A60"/>
    <w:rsid w:val="0FDE23D0"/>
    <w:rsid w:val="108F48F9"/>
    <w:rsid w:val="10DE3B20"/>
    <w:rsid w:val="10DF003F"/>
    <w:rsid w:val="117D411C"/>
    <w:rsid w:val="11A22494"/>
    <w:rsid w:val="12371C59"/>
    <w:rsid w:val="126E3AC9"/>
    <w:rsid w:val="127F187A"/>
    <w:rsid w:val="129156C3"/>
    <w:rsid w:val="12B35276"/>
    <w:rsid w:val="12D22C1A"/>
    <w:rsid w:val="130E0EAD"/>
    <w:rsid w:val="13523158"/>
    <w:rsid w:val="135907BE"/>
    <w:rsid w:val="135F0966"/>
    <w:rsid w:val="136C01EA"/>
    <w:rsid w:val="13BB5CEC"/>
    <w:rsid w:val="144023E0"/>
    <w:rsid w:val="1560191E"/>
    <w:rsid w:val="15643C9F"/>
    <w:rsid w:val="156719F7"/>
    <w:rsid w:val="16262886"/>
    <w:rsid w:val="16DF0947"/>
    <w:rsid w:val="176F621E"/>
    <w:rsid w:val="17A74F57"/>
    <w:rsid w:val="184064DC"/>
    <w:rsid w:val="189703B7"/>
    <w:rsid w:val="18BE2BCB"/>
    <w:rsid w:val="1906049B"/>
    <w:rsid w:val="19392213"/>
    <w:rsid w:val="19662A17"/>
    <w:rsid w:val="19A753EF"/>
    <w:rsid w:val="1A293AEE"/>
    <w:rsid w:val="1A524453"/>
    <w:rsid w:val="1AB52C99"/>
    <w:rsid w:val="1B2341A3"/>
    <w:rsid w:val="1C5E75FF"/>
    <w:rsid w:val="1CCA7FF5"/>
    <w:rsid w:val="1F3B7AAD"/>
    <w:rsid w:val="1F67347F"/>
    <w:rsid w:val="20951EE0"/>
    <w:rsid w:val="20C813D6"/>
    <w:rsid w:val="20E01E2D"/>
    <w:rsid w:val="20F076DD"/>
    <w:rsid w:val="22FA5DC7"/>
    <w:rsid w:val="23896B4D"/>
    <w:rsid w:val="23951FEA"/>
    <w:rsid w:val="24303D8C"/>
    <w:rsid w:val="246A34BE"/>
    <w:rsid w:val="24710ED7"/>
    <w:rsid w:val="24B73310"/>
    <w:rsid w:val="24E60E96"/>
    <w:rsid w:val="25761144"/>
    <w:rsid w:val="258A1146"/>
    <w:rsid w:val="25F13195"/>
    <w:rsid w:val="26BA56F7"/>
    <w:rsid w:val="26E72BE8"/>
    <w:rsid w:val="279A7D67"/>
    <w:rsid w:val="285E19AC"/>
    <w:rsid w:val="28A44A91"/>
    <w:rsid w:val="29670E04"/>
    <w:rsid w:val="29D81B5C"/>
    <w:rsid w:val="2A7457AC"/>
    <w:rsid w:val="2AA009F3"/>
    <w:rsid w:val="2AA26A2B"/>
    <w:rsid w:val="2AF3222D"/>
    <w:rsid w:val="2AFA4DEE"/>
    <w:rsid w:val="2C651222"/>
    <w:rsid w:val="2C773801"/>
    <w:rsid w:val="2C8970BA"/>
    <w:rsid w:val="2C8C5D24"/>
    <w:rsid w:val="2C9E7CD4"/>
    <w:rsid w:val="2CE1542E"/>
    <w:rsid w:val="2D912472"/>
    <w:rsid w:val="2DB8188A"/>
    <w:rsid w:val="2E0D0F34"/>
    <w:rsid w:val="2E222D50"/>
    <w:rsid w:val="2E364657"/>
    <w:rsid w:val="2EBC37B7"/>
    <w:rsid w:val="2F267C0F"/>
    <w:rsid w:val="2F616747"/>
    <w:rsid w:val="302C5C1C"/>
    <w:rsid w:val="31796F1C"/>
    <w:rsid w:val="31946A67"/>
    <w:rsid w:val="31B930AC"/>
    <w:rsid w:val="31BA0017"/>
    <w:rsid w:val="3243161E"/>
    <w:rsid w:val="32C55D04"/>
    <w:rsid w:val="33142C52"/>
    <w:rsid w:val="33637BDB"/>
    <w:rsid w:val="33DD6C35"/>
    <w:rsid w:val="33F31A49"/>
    <w:rsid w:val="34884D9B"/>
    <w:rsid w:val="349D62BB"/>
    <w:rsid w:val="354205F4"/>
    <w:rsid w:val="35DB70A1"/>
    <w:rsid w:val="362503D4"/>
    <w:rsid w:val="366372FB"/>
    <w:rsid w:val="372C75AF"/>
    <w:rsid w:val="372C7F91"/>
    <w:rsid w:val="375429FC"/>
    <w:rsid w:val="37712166"/>
    <w:rsid w:val="384B6901"/>
    <w:rsid w:val="386A541B"/>
    <w:rsid w:val="386B59DF"/>
    <w:rsid w:val="38FF40E1"/>
    <w:rsid w:val="395764F3"/>
    <w:rsid w:val="3A8B08C9"/>
    <w:rsid w:val="3ADC7A8D"/>
    <w:rsid w:val="3BD55437"/>
    <w:rsid w:val="3DA8033F"/>
    <w:rsid w:val="3E6671CB"/>
    <w:rsid w:val="3E82340C"/>
    <w:rsid w:val="3E857D03"/>
    <w:rsid w:val="3F744A28"/>
    <w:rsid w:val="3FC01EDD"/>
    <w:rsid w:val="3FD25053"/>
    <w:rsid w:val="3FD76CD2"/>
    <w:rsid w:val="40551718"/>
    <w:rsid w:val="4107607D"/>
    <w:rsid w:val="412A16F4"/>
    <w:rsid w:val="42201C89"/>
    <w:rsid w:val="426D7A8B"/>
    <w:rsid w:val="431F542F"/>
    <w:rsid w:val="432D39CC"/>
    <w:rsid w:val="434D25A7"/>
    <w:rsid w:val="436A6E1F"/>
    <w:rsid w:val="43AB66FD"/>
    <w:rsid w:val="44243658"/>
    <w:rsid w:val="44C935DF"/>
    <w:rsid w:val="452C3B74"/>
    <w:rsid w:val="453708BD"/>
    <w:rsid w:val="460202AF"/>
    <w:rsid w:val="46031658"/>
    <w:rsid w:val="467A68AD"/>
    <w:rsid w:val="468D564B"/>
    <w:rsid w:val="469D4FB1"/>
    <w:rsid w:val="47E92DFA"/>
    <w:rsid w:val="482F7202"/>
    <w:rsid w:val="49854300"/>
    <w:rsid w:val="49AB7605"/>
    <w:rsid w:val="49B2260A"/>
    <w:rsid w:val="49D203AB"/>
    <w:rsid w:val="4A981A8C"/>
    <w:rsid w:val="4AAC4850"/>
    <w:rsid w:val="4B3D53FF"/>
    <w:rsid w:val="4B4B7B71"/>
    <w:rsid w:val="4B8E6E57"/>
    <w:rsid w:val="4BA15123"/>
    <w:rsid w:val="4CBD45F6"/>
    <w:rsid w:val="4CE40C32"/>
    <w:rsid w:val="4CEA18F0"/>
    <w:rsid w:val="4DA8088B"/>
    <w:rsid w:val="4DFD11BD"/>
    <w:rsid w:val="4E5F291C"/>
    <w:rsid w:val="4EA6121C"/>
    <w:rsid w:val="505B24E3"/>
    <w:rsid w:val="50731BE9"/>
    <w:rsid w:val="50DE790F"/>
    <w:rsid w:val="50FB67C4"/>
    <w:rsid w:val="50FC03EC"/>
    <w:rsid w:val="51160A18"/>
    <w:rsid w:val="513F54EC"/>
    <w:rsid w:val="521E49D2"/>
    <w:rsid w:val="525839A8"/>
    <w:rsid w:val="52620465"/>
    <w:rsid w:val="53282728"/>
    <w:rsid w:val="53420D56"/>
    <w:rsid w:val="53A15B43"/>
    <w:rsid w:val="53A33E24"/>
    <w:rsid w:val="54417736"/>
    <w:rsid w:val="545D331A"/>
    <w:rsid w:val="548E42C3"/>
    <w:rsid w:val="54D56135"/>
    <w:rsid w:val="5507194A"/>
    <w:rsid w:val="55BF0815"/>
    <w:rsid w:val="562E755B"/>
    <w:rsid w:val="57064287"/>
    <w:rsid w:val="571A2668"/>
    <w:rsid w:val="57E91B79"/>
    <w:rsid w:val="58487AE6"/>
    <w:rsid w:val="58606957"/>
    <w:rsid w:val="589F1910"/>
    <w:rsid w:val="58A83812"/>
    <w:rsid w:val="59262582"/>
    <w:rsid w:val="59804025"/>
    <w:rsid w:val="5B0116A3"/>
    <w:rsid w:val="5B975D90"/>
    <w:rsid w:val="5C8E00BC"/>
    <w:rsid w:val="5CD63900"/>
    <w:rsid w:val="5D146326"/>
    <w:rsid w:val="5DA80EB7"/>
    <w:rsid w:val="5DE41479"/>
    <w:rsid w:val="5DFE0BF7"/>
    <w:rsid w:val="5E2C6EFE"/>
    <w:rsid w:val="5E556F61"/>
    <w:rsid w:val="5EE874A2"/>
    <w:rsid w:val="5F872A58"/>
    <w:rsid w:val="5FC810BA"/>
    <w:rsid w:val="5FDF2217"/>
    <w:rsid w:val="60606E03"/>
    <w:rsid w:val="60FF11DB"/>
    <w:rsid w:val="643D0502"/>
    <w:rsid w:val="644E68CC"/>
    <w:rsid w:val="64612135"/>
    <w:rsid w:val="64D57A08"/>
    <w:rsid w:val="65297916"/>
    <w:rsid w:val="65312DE0"/>
    <w:rsid w:val="65FD2E83"/>
    <w:rsid w:val="67180834"/>
    <w:rsid w:val="67F4478C"/>
    <w:rsid w:val="683D7311"/>
    <w:rsid w:val="6B7F289D"/>
    <w:rsid w:val="6C142A9F"/>
    <w:rsid w:val="6C4F6842"/>
    <w:rsid w:val="6CD01947"/>
    <w:rsid w:val="6D4F60A6"/>
    <w:rsid w:val="6EA047B7"/>
    <w:rsid w:val="6FFA5FC3"/>
    <w:rsid w:val="70100CF4"/>
    <w:rsid w:val="70592EF1"/>
    <w:rsid w:val="705C574C"/>
    <w:rsid w:val="708C33FB"/>
    <w:rsid w:val="70AB6673"/>
    <w:rsid w:val="71F76AFD"/>
    <w:rsid w:val="72B21822"/>
    <w:rsid w:val="7381698C"/>
    <w:rsid w:val="73DC3BA4"/>
    <w:rsid w:val="74A7099A"/>
    <w:rsid w:val="75173427"/>
    <w:rsid w:val="7536480C"/>
    <w:rsid w:val="75A91E7D"/>
    <w:rsid w:val="76A43C1D"/>
    <w:rsid w:val="77CE5F1F"/>
    <w:rsid w:val="7807775C"/>
    <w:rsid w:val="78AB24B5"/>
    <w:rsid w:val="795B7FA5"/>
    <w:rsid w:val="79C008CD"/>
    <w:rsid w:val="7A505FD6"/>
    <w:rsid w:val="7A5468EA"/>
    <w:rsid w:val="7CD05C51"/>
    <w:rsid w:val="7D6B6AB5"/>
    <w:rsid w:val="7E0C7AC0"/>
    <w:rsid w:val="7FB25F7D"/>
    <w:rsid w:val="7FB52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1624"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1"/>
    <w:next w:val="1"/>
    <w:qFormat/>
    <w:uiPriority w:val="0"/>
    <w:pPr>
      <w:widowControl/>
      <w:spacing w:before="100" w:beforeLines="0" w:beforeAutospacing="1" w:after="100" w:afterLines="0" w:afterAutospacing="1"/>
      <w:jc w:val="left"/>
      <w:outlineLvl w:val="2"/>
    </w:pPr>
    <w:rPr>
      <w:rFonts w:ascii="宋体" w:hAnsi="宋体" w:eastAsia="宋体" w:cs="Times New Roman"/>
      <w:b/>
      <w:bCs/>
      <w:color w:val="000000"/>
      <w:kern w:val="0"/>
      <w:sz w:val="27"/>
      <w:szCs w:val="27"/>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spacing w:after="120" w:afterLines="0"/>
    </w:pPr>
  </w:style>
  <w:style w:type="paragraph" w:styleId="6">
    <w:name w:val="Plain Text"/>
    <w:basedOn w:val="1"/>
    <w:qFormat/>
    <w:uiPriority w:val="0"/>
    <w:rPr>
      <w:rFonts w:ascii="宋体" w:hAnsi="Courier New"/>
      <w:szCs w:val="21"/>
    </w:rPr>
  </w:style>
  <w:style w:type="paragraph" w:styleId="7">
    <w:name w:val="Body Text Indent 2"/>
    <w:basedOn w:val="1"/>
    <w:qFormat/>
    <w:uiPriority w:val="1624"/>
    <w:pPr>
      <w:ind w:firstLine="608" w:firstLineChars="225"/>
    </w:pPr>
    <w:rPr>
      <w:rFonts w:ascii="宋体" w:hAnsi="宋体"/>
      <w:sz w:val="24"/>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widowControl w:val="0"/>
      <w:autoSpaceDE w:val="0"/>
      <w:autoSpaceDN w:val="0"/>
      <w:adjustRightInd w:val="0"/>
      <w:snapToGrid w:val="0"/>
      <w:jc w:val="both"/>
    </w:pPr>
    <w:rPr>
      <w:snapToGrid w:val="0"/>
      <w:sz w:val="18"/>
      <w:szCs w:val="18"/>
      <w:lang w:val="en-US" w:eastAsia="zh-CN" w:bidi="ar-SA"/>
    </w:rPr>
  </w:style>
  <w:style w:type="paragraph" w:styleId="10">
    <w:name w:val="toc 1"/>
    <w:basedOn w:val="1"/>
    <w:next w:val="1"/>
    <w:unhideWhenUsed/>
    <w:qFormat/>
    <w:uiPriority w:val="39"/>
    <w:pPr>
      <w:widowControl/>
      <w:tabs>
        <w:tab w:val="right" w:leader="dot" w:pos="9344"/>
      </w:tabs>
      <w:spacing w:line="360" w:lineRule="auto"/>
      <w:jc w:val="center"/>
    </w:pPr>
    <w:rPr>
      <w:rFonts w:ascii="宋体" w:hAnsi="宋体" w:eastAsia="宋体" w:cs="Times New Roman"/>
      <w:b/>
      <w:kern w:val="0"/>
      <w:sz w:val="44"/>
      <w:szCs w:val="44"/>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4">
    <w:name w:val="page number"/>
    <w:basedOn w:val="13"/>
    <w:qFormat/>
    <w:uiPriority w:val="0"/>
    <w:rPr>
      <w:rFonts w:ascii="Times New Roman" w:hAnsi="Times New Roman" w:eastAsia="方正仿宋简体"/>
      <w:color w:val="auto"/>
      <w:spacing w:val="0"/>
      <w:w w:val="100"/>
      <w:kern w:val="28"/>
      <w:position w:val="0"/>
      <w:sz w:val="28"/>
      <w:u w:val="none"/>
      <w:vertAlign w:val="baseline"/>
    </w:rPr>
  </w:style>
  <w:style w:type="character" w:styleId="15">
    <w:name w:val="Emphasis"/>
    <w:basedOn w:val="13"/>
    <w:qFormat/>
    <w:uiPriority w:val="0"/>
    <w:rPr>
      <w:i/>
    </w:rPr>
  </w:style>
  <w:style w:type="character" w:customStyle="1" w:styleId="16">
    <w:name w:val="15"/>
    <w:basedOn w:val="13"/>
    <w:qFormat/>
    <w:uiPriority w:val="0"/>
    <w:rPr>
      <w:rFonts w:hint="eastAsia" w:ascii="MingLiU" w:hAnsi="MingLiU" w:eastAsia="MingLiU" w:cs="Times New Roman"/>
      <w:color w:val="000000"/>
      <w:spacing w:val="0"/>
      <w:kern w:val="0"/>
      <w:sz w:val="31"/>
      <w:szCs w:val="31"/>
      <w:lang w:eastAsia="en-US"/>
    </w:rPr>
  </w:style>
  <w:style w:type="paragraph" w:customStyle="1" w:styleId="17">
    <w:name w:val="Char Char Char Char Char Char Char"/>
    <w:basedOn w:val="1"/>
    <w:qFormat/>
    <w:uiPriority w:val="0"/>
    <w:pPr>
      <w:widowControl/>
      <w:adjustRightInd w:val="0"/>
      <w:spacing w:after="160" w:afterLines="0" w:line="240" w:lineRule="exact"/>
      <w:jc w:val="left"/>
    </w:pPr>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中山市黄圃镇人民政府</Company>
  <Pages>21</Pages>
  <Words>2002</Words>
  <Characters>2019</Characters>
  <Lines>0</Lines>
  <Paragraphs>0</Paragraphs>
  <TotalTime>1</TotalTime>
  <ScaleCrop>false</ScaleCrop>
  <LinksUpToDate>false</LinksUpToDate>
  <CharactersWithSpaces>2039</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2023-02-07T07:26:00Z</dcterms:created>
  <dc:creator>杨晗</dc:creator>
  <cp:lastModifiedBy>蔡金琼</cp:lastModifiedBy>
  <cp:lastPrinted>2023-04-10T09:27:00Z</cp:lastPrinted>
  <dcterms:modified xsi:type="dcterms:W3CDTF">2025-10-13T01:07:57Z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CBED0EB4D9194EC69C6CE89E2C9A4386_13</vt:lpwstr>
  </property>
  <property fmtid="{D5CDD505-2E9C-101B-9397-08002B2CF9AE}" pid="4" name="KSOTemplateDocerSaveRecord">
    <vt:lpwstr>eyJoZGlkIjoiMTZiZDU0MGI3YWJkODlkOTQyNzU3ZmI3MzdmZDEyNTMiLCJ1c2VySWQiOiI0MjE0MTY1MTAifQ==</vt:lpwstr>
  </property>
</Properties>
</file>