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thinThickSmallGap" w:color="FF0000" w:sz="12" w:space="0"/>
        </w:pBdr>
        <w:spacing w:before="100" w:beforeAutospacing="1" w:line="1500" w:lineRule="exact"/>
        <w:ind w:left="-283" w:leftChars="-135" w:right="-340" w:rightChars="-162"/>
        <w:jc w:val="center"/>
        <w:rPr>
          <w:rFonts w:hint="eastAsia" w:ascii="方正小标宋简体" w:eastAsia="方正小标宋简体"/>
          <w:color w:val="FF0000"/>
          <w:spacing w:val="40"/>
          <w:w w:val="80"/>
          <w:sz w:val="114"/>
          <w:szCs w:val="114"/>
        </w:rPr>
      </w:pPr>
      <w:bookmarkStart w:id="3" w:name="_GoBack"/>
      <w:bookmarkEnd w:id="3"/>
      <w:r>
        <w:rPr>
          <w:rFonts w:hint="eastAsia" w:ascii="方正小标宋简体" w:eastAsia="方正小标宋简体"/>
          <w:bCs/>
          <w:snapToGrid w:val="0"/>
          <w:color w:val="FF0000"/>
          <w:spacing w:val="40"/>
          <w:w w:val="80"/>
          <w:kern w:val="0"/>
          <w:sz w:val="114"/>
          <w:szCs w:val="114"/>
        </w:rPr>
        <w:t>中山市发展和改革局</w:t>
      </w:r>
    </w:p>
    <w:p>
      <w:pPr>
        <w:spacing w:line="600" w:lineRule="exact"/>
        <w:contextualSpacing/>
        <w:jc w:val="right"/>
        <w:rPr>
          <w:rFonts w:hint="eastAsia" w:ascii="方正小标宋简体" w:hAnsi="方正小标宋简体" w:eastAsia="方正小标宋简体" w:cs="方正小标宋简体"/>
          <w:sz w:val="44"/>
          <w:szCs w:val="52"/>
        </w:rPr>
      </w:pPr>
      <w:bookmarkStart w:id="0" w:name="HtdDocNum"/>
      <w:r>
        <w:rPr>
          <w:rFonts w:hint="eastAsia" w:ascii="仿宋_GB2312" w:eastAsia="仿宋_GB2312"/>
          <w:sz w:val="32"/>
          <w:szCs w:val="30"/>
        </w:rPr>
        <w:t>中发改能源函〔</w:t>
      </w:r>
      <w:r>
        <w:rPr>
          <w:rFonts w:ascii="仿宋_GB2312" w:eastAsia="仿宋_GB2312"/>
          <w:sz w:val="32"/>
          <w:szCs w:val="30"/>
        </w:rPr>
        <w:t>202</w:t>
      </w:r>
      <w:r>
        <w:rPr>
          <w:rFonts w:hint="eastAsia" w:ascii="仿宋_GB2312" w:eastAsia="仿宋_GB2312"/>
          <w:sz w:val="32"/>
          <w:szCs w:val="30"/>
        </w:rPr>
        <w:t>1〕1251号</w:t>
      </w:r>
      <w:bookmarkEnd w:id="0"/>
    </w:p>
    <w:p>
      <w:pPr>
        <w:spacing w:line="600" w:lineRule="exact"/>
        <w:contextualSpacing/>
        <w:jc w:val="center"/>
        <w:rPr>
          <w:rFonts w:hint="eastAsia" w:ascii="方正小标宋简体" w:hAnsi="方正小标宋简体" w:eastAsia="方正小标宋简体" w:cs="方正小标宋简体"/>
          <w:sz w:val="44"/>
          <w:szCs w:val="52"/>
        </w:rPr>
      </w:pPr>
    </w:p>
    <w:p>
      <w:pPr>
        <w:spacing w:line="600" w:lineRule="exact"/>
        <w:contextualSpacing/>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中山市发展和改革局关于2022年电力市场</w:t>
      </w:r>
    </w:p>
    <w:p>
      <w:pPr>
        <w:spacing w:line="600" w:lineRule="exact"/>
        <w:contextualSpacing/>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交易有关事项的通知</w:t>
      </w:r>
    </w:p>
    <w:p>
      <w:pPr>
        <w:spacing w:line="600" w:lineRule="exact"/>
        <w:contextualSpacing/>
        <w:rPr>
          <w:rFonts w:ascii="仿宋_GB2312" w:hAnsi="仿宋_GB2312" w:eastAsia="仿宋_GB2312" w:cs="仿宋_GB2312"/>
          <w:sz w:val="32"/>
          <w:szCs w:val="32"/>
        </w:rPr>
      </w:pPr>
    </w:p>
    <w:p>
      <w:pPr>
        <w:spacing w:line="600" w:lineRule="exact"/>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各电力用户：</w:t>
      </w:r>
    </w:p>
    <w:p>
      <w:pPr>
        <w:spacing w:line="600" w:lineRule="exact"/>
        <w:contextualSpacing/>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52"/>
        </w:rPr>
        <w:t xml:space="preserve">   </w:t>
      </w:r>
      <w:r>
        <w:rPr>
          <w:rFonts w:hint="eastAsia" w:ascii="仿宋_GB2312" w:hAnsi="仿宋_GB2312" w:eastAsia="仿宋_GB2312" w:cs="仿宋_GB2312"/>
          <w:sz w:val="32"/>
          <w:szCs w:val="32"/>
        </w:rPr>
        <w:t>按照《国家发展改革委关于进一步深化燃煤发电上网电价市场化改革的通知》和《广东省能源局 国家能源局南方监管局关于2022年电力市场交易有关事项的通知》要求，有序推动工商业用户全部进入电力市场，按照市场价格购电，取消工商业目录销售电价。现就有关事项通知如下：</w:t>
      </w:r>
    </w:p>
    <w:p>
      <w:pPr>
        <w:spacing w:line="600" w:lineRule="exact"/>
        <w:contextualSpacing/>
        <w:rPr>
          <w:rFonts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一、电力用户准入标准</w:t>
      </w:r>
    </w:p>
    <w:p>
      <w:pPr>
        <w:spacing w:line="60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2022年，市场用户包括市场直接购电的用户（简称“市场购电用户”）和电网企业代理购电的用户（简称“电网代购用户”）。</w:t>
      </w:r>
    </w:p>
    <w:p>
      <w:pPr>
        <w:spacing w:line="600" w:lineRule="exact"/>
        <w:ind w:firstLine="640" w:firstLineChars="200"/>
        <w:contextualSpacing/>
        <w:rPr>
          <w:rFonts w:ascii="楷体_GB2312" w:hAnsi="楷体_GB2312" w:eastAsia="楷体_GB2312" w:cs="楷体_GB2312"/>
          <w:sz w:val="32"/>
          <w:szCs w:val="32"/>
        </w:rPr>
      </w:pPr>
      <w:r>
        <w:rPr>
          <w:rFonts w:hint="eastAsia" w:ascii="楷体_GB2312" w:hAnsi="楷体_GB2312" w:eastAsia="楷体_GB2312" w:cs="楷体_GB2312"/>
          <w:sz w:val="32"/>
          <w:szCs w:val="32"/>
        </w:rPr>
        <w:t>（一）市场购电用户</w:t>
      </w:r>
    </w:p>
    <w:p>
      <w:pPr>
        <w:spacing w:line="600" w:lineRule="exact"/>
        <w:ind w:firstLine="64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自2022年1月1日起，10kV及以上工商业用户可选择市场直接购电，10kV以下工商业用户需通过电网企业代理购电；2022年底前，逐步实现10kV以下工商业用户可选择市场直接购电。年度用电量1000万千瓦时及以上的市场购电用户，可作为大用户直接参与批发市场交易或通过售电公司代理参与市场交易。除大用户外，其他市场购电用户均为一般用户，仅可通过售电公司代理参与市场交易。</w:t>
      </w:r>
    </w:p>
    <w:p>
      <w:pPr>
        <w:spacing w:line="600" w:lineRule="exact"/>
        <w:ind w:firstLine="640" w:firstLineChars="200"/>
        <w:contextualSpacing/>
        <w:rPr>
          <w:rFonts w:ascii="楷体_GB2312" w:hAnsi="楷体_GB2312" w:eastAsia="楷体_GB2312" w:cs="楷体_GB2312"/>
          <w:sz w:val="32"/>
          <w:szCs w:val="32"/>
        </w:rPr>
      </w:pPr>
      <w:r>
        <w:rPr>
          <w:rFonts w:hint="eastAsia" w:ascii="楷体_GB2312" w:hAnsi="楷体_GB2312" w:eastAsia="楷体_GB2312" w:cs="楷体_GB2312"/>
          <w:sz w:val="32"/>
          <w:szCs w:val="32"/>
        </w:rPr>
        <w:t>（二）电网代购用户</w:t>
      </w:r>
    </w:p>
    <w:p>
      <w:pPr>
        <w:spacing w:line="600" w:lineRule="exact"/>
        <w:ind w:firstLine="64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对未从市场直接购电的工商业用户，统一由电网</w:t>
      </w:r>
      <w:r>
        <w:rPr>
          <w:rFonts w:ascii="仿宋_GB2312" w:hAnsi="仿宋_GB2312" w:eastAsia="仿宋_GB2312" w:cs="仿宋_GB2312"/>
          <w:sz w:val="32"/>
          <w:szCs w:val="32"/>
        </w:rPr>
        <w:t>企业</w:t>
      </w:r>
      <w:r>
        <w:rPr>
          <w:rFonts w:hint="eastAsia" w:ascii="仿宋_GB2312" w:hAnsi="仿宋_GB2312" w:eastAsia="仿宋_GB2312" w:cs="仿宋_GB2312"/>
          <w:sz w:val="32"/>
          <w:szCs w:val="32"/>
        </w:rPr>
        <w:t>代理购电。</w:t>
      </w:r>
    </w:p>
    <w:p>
      <w:pPr>
        <w:spacing w:line="600" w:lineRule="exact"/>
        <w:ind w:firstLine="640"/>
        <w:contextualSpacing/>
        <w:rPr>
          <w:rFonts w:ascii="黑体" w:hAnsi="黑体" w:eastAsia="黑体" w:cs="黑体"/>
          <w:sz w:val="32"/>
          <w:szCs w:val="32"/>
        </w:rPr>
      </w:pPr>
      <w:r>
        <w:rPr>
          <w:rFonts w:hint="eastAsia" w:ascii="黑体" w:hAnsi="黑体" w:eastAsia="黑体" w:cs="黑体"/>
          <w:sz w:val="32"/>
          <w:szCs w:val="32"/>
        </w:rPr>
        <w:t>二、电力用户参与市场交易要求</w:t>
      </w:r>
    </w:p>
    <w:p>
      <w:pPr>
        <w:spacing w:line="600" w:lineRule="exact"/>
        <w:ind w:firstLine="64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（一）2021年及以后已参与市场交易的用户，在无正当理由的情况下改为电网</w:t>
      </w:r>
      <w:r>
        <w:rPr>
          <w:rFonts w:ascii="仿宋_GB2312" w:hAnsi="仿宋_GB2312" w:eastAsia="仿宋_GB2312" w:cs="仿宋_GB2312"/>
          <w:sz w:val="32"/>
          <w:szCs w:val="32"/>
        </w:rPr>
        <w:t>企业</w:t>
      </w:r>
      <w:r>
        <w:rPr>
          <w:rFonts w:hint="eastAsia" w:ascii="仿宋_GB2312" w:hAnsi="仿宋_GB2312" w:eastAsia="仿宋_GB2312" w:cs="仿宋_GB2312"/>
          <w:sz w:val="32"/>
          <w:szCs w:val="32"/>
        </w:rPr>
        <w:t>代理购电，其价格按电网企业代理购电价格的1.5倍执行。</w:t>
      </w:r>
    </w:p>
    <w:p>
      <w:pPr>
        <w:spacing w:line="600" w:lineRule="exact"/>
        <w:ind w:firstLine="64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（二）市场购电的高耗能用户交易电价不受上浮20%限制，有关要求按国家最新政策规定执行，已参与市场购电的高耗能用户不得退出市场交易。</w:t>
      </w:r>
    </w:p>
    <w:p>
      <w:pPr>
        <w:spacing w:line="600" w:lineRule="exact"/>
        <w:ind w:firstLine="64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三）电力大用户在直接参与年度交易及后续批发市场交易前，应向广东电力交易中心申请作为批发用户，未申请的默认为零售用户，以月度为周期进行批发、零售交易的权限变更。电力大用户作为批发用户，未参与交易但发生实际用电的，按照批发市场规则进行结算；电力大用户、一般用户作为零售用户，合同期满后未签订新的零售合同，且改为电网企业代理购电的，其价格按电网代理其他用户购电价格的1.5倍执行。</w:t>
      </w:r>
    </w:p>
    <w:p>
      <w:pPr>
        <w:spacing w:line="600" w:lineRule="exact"/>
        <w:ind w:firstLine="640"/>
        <w:contextualSpacing/>
        <w:rPr>
          <w:rFonts w:ascii="黑体" w:hAnsi="黑体" w:eastAsia="黑体" w:cs="黑体"/>
          <w:sz w:val="32"/>
          <w:szCs w:val="32"/>
        </w:rPr>
      </w:pPr>
      <w:r>
        <w:rPr>
          <w:rFonts w:hint="eastAsia" w:ascii="黑体" w:hAnsi="黑体" w:eastAsia="黑体" w:cs="黑体"/>
          <w:sz w:val="32"/>
          <w:szCs w:val="32"/>
        </w:rPr>
        <w:t>三、相关工作要求</w:t>
      </w:r>
    </w:p>
    <w:p>
      <w:pPr>
        <w:spacing w:line="600" w:lineRule="exact"/>
        <w:ind w:firstLine="64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（一）鉴于电力市场交易模式的调整，自2021年12月1日起，我市电力用户无需再到我局办理准入申请。可直接向广东电力交易中心办理注册，在每季度最后15日前选择下一季度起直接参与市场交易。</w:t>
      </w:r>
    </w:p>
    <w:p>
      <w:pPr>
        <w:pStyle w:val="2"/>
        <w:spacing w:before="0" w:beforeAutospacing="0" w:after="0" w:afterAutospacing="0" w:line="600" w:lineRule="exact"/>
        <w:ind w:firstLine="640" w:firstLineChars="200"/>
        <w:contextualSpacing/>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（二）满足大用户标准的电力用户，可向广东电力交易中心提出申请，核验通过后，可参与批发市场交易。</w:t>
      </w:r>
    </w:p>
    <w:p>
      <w:pPr>
        <w:spacing w:line="600" w:lineRule="exact"/>
        <w:ind w:firstLine="641"/>
        <w:contextualSpacing/>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（三）请各</w:t>
      </w:r>
      <w:r>
        <w:rPr>
          <w:rFonts w:hint="eastAsia" w:ascii="仿宋_GB2312" w:hAnsi="仿宋_GB2312" w:eastAsia="仿宋_GB2312" w:cs="仿宋_GB2312"/>
          <w:sz w:val="32"/>
          <w:szCs w:val="32"/>
        </w:rPr>
        <w:t>电力用户</w:t>
      </w:r>
      <w:r>
        <w:rPr>
          <w:rFonts w:hint="eastAsia" w:ascii="仿宋_GB2312" w:hAnsi="仿宋_GB2312" w:eastAsia="仿宋_GB2312" w:cs="仿宋_GB2312"/>
          <w:color w:val="000000"/>
          <w:kern w:val="0"/>
          <w:sz w:val="32"/>
          <w:szCs w:val="32"/>
        </w:rPr>
        <w:t>关注“广东电力交易中心”网站（https://pm.gd.csg.cn/views/index.html）、微信公众号和微信小程序，进入“办事指南”等页面，了解电力市场交易的相关政策文件。</w:t>
      </w:r>
    </w:p>
    <w:p>
      <w:pPr>
        <w:spacing w:line="600" w:lineRule="exact"/>
      </w:pPr>
      <w:r>
        <w:rPr>
          <w:rFonts w:hint="eastAsia" w:ascii="仿宋_GB2312" w:hAnsi="仿宋_GB2312" w:eastAsia="仿宋_GB2312" w:cs="仿宋_GB2312"/>
          <w:sz w:val="32"/>
          <w:szCs w:val="32"/>
        </w:rPr>
        <w:t xml:space="preserve">    </w:t>
      </w:r>
    </w:p>
    <w:p>
      <w:pPr>
        <w:pStyle w:val="2"/>
        <w:spacing w:before="0" w:beforeAutospacing="0" w:after="0" w:afterAutospacing="0" w:line="600" w:lineRule="exact"/>
        <w:ind w:firstLine="643" w:firstLineChars="200"/>
        <w:contextualSpacing/>
        <w:rPr>
          <w:rFonts w:ascii="仿宋_GB2312" w:hAnsi="仿宋_GB2312" w:eastAsia="仿宋_GB2312" w:cs="仿宋_GB2312"/>
          <w:sz w:val="32"/>
          <w:szCs w:val="32"/>
        </w:rPr>
      </w:pPr>
    </w:p>
    <w:p>
      <w:pPr>
        <w:spacing w:line="600" w:lineRule="exact"/>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中山市发展和改革局</w:t>
      </w:r>
    </w:p>
    <w:p>
      <w:pPr>
        <w:spacing w:line="600" w:lineRule="exact"/>
        <w:ind w:right="640" w:firstLine="640" w:firstLineChars="200"/>
        <w:contextualSpacing/>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2021年12月14日</w:t>
      </w:r>
    </w:p>
    <w:p>
      <w:pPr>
        <w:pStyle w:val="2"/>
        <w:spacing w:before="0" w:beforeAutospacing="0" w:after="0" w:afterAutospacing="0" w:line="600" w:lineRule="exact"/>
        <w:contextualSpacing/>
      </w:pPr>
    </w:p>
    <w:p>
      <w:pPr>
        <w:spacing w:line="600" w:lineRule="exact"/>
        <w:ind w:firstLine="64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（联系人：付佳，联系电话：88328293）</w:t>
      </w:r>
    </w:p>
    <w:p>
      <w:pPr>
        <w:pStyle w:val="2"/>
        <w:spacing w:before="0" w:beforeAutospacing="0" w:after="0" w:afterAutospacing="0" w:line="300" w:lineRule="exact"/>
      </w:pPr>
    </w:p>
    <w:p>
      <w:pPr>
        <w:pStyle w:val="2"/>
        <w:spacing w:before="0" w:beforeAutospacing="0" w:after="0" w:afterAutospacing="0" w:line="700" w:lineRule="exact"/>
      </w:pPr>
    </w:p>
    <w:tbl>
      <w:tblPr>
        <w:tblStyle w:val="7"/>
        <w:tblpPr w:leftFromText="180" w:rightFromText="180" w:vertAnchor="text" w:horzAnchor="margin" w:tblpY="718"/>
        <w:tblOverlap w:val="never"/>
        <w:tblW w:w="8835"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5236"/>
        <w:gridCol w:w="3599"/>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0" w:type="dxa"/>
            <w:bottom w:w="0" w:type="dxa"/>
            <w:right w:w="0" w:type="dxa"/>
          </w:tblCellMar>
        </w:tblPrEx>
        <w:tc>
          <w:tcPr>
            <w:tcW w:w="8835" w:type="dxa"/>
            <w:gridSpan w:val="2"/>
            <w:tcBorders>
              <w:top w:val="single" w:color="auto" w:sz="4" w:space="0"/>
            </w:tcBorders>
          </w:tcPr>
          <w:p>
            <w:pPr>
              <w:pStyle w:val="11"/>
              <w:framePr w:wrap="auto" w:vAnchor="margin" w:hAnchor="text" w:yAlign="inline"/>
              <w:snapToGrid w:val="0"/>
              <w:rPr>
                <w:rFonts w:ascii="仿宋_GB2312" w:eastAsia="仿宋_GB2312"/>
                <w:sz w:val="28"/>
                <w:szCs w:val="28"/>
              </w:rPr>
            </w:pPr>
            <w:r>
              <w:rPr>
                <w:rFonts w:ascii="仿宋_GB2312" w:eastAsia="仿宋_GB2312" w:cs="仿宋_GB2312"/>
                <w:sz w:val="28"/>
                <w:szCs w:val="28"/>
              </w:rPr>
              <w:fldChar w:fldCharType="begin"/>
            </w:r>
            <w:r>
              <w:rPr>
                <w:rFonts w:ascii="仿宋_GB2312" w:eastAsia="仿宋_GB2312" w:cs="仿宋_GB2312"/>
                <w:sz w:val="28"/>
                <w:szCs w:val="28"/>
              </w:rPr>
              <w:instrText xml:space="preserve"> ASK  Htopic " "  \* MERGEFORMAT </w:instrText>
            </w:r>
            <w:r>
              <w:rPr>
                <w:rFonts w:ascii="仿宋_GB2312" w:eastAsia="仿宋_GB2312" w:cs="仿宋_GB2312"/>
                <w:sz w:val="28"/>
                <w:szCs w:val="28"/>
              </w:rPr>
              <w:fldChar w:fldCharType="separate"/>
            </w:r>
            <w:r>
              <w:rPr>
                <w:rFonts w:hint="eastAsia" w:ascii="仿宋_GB2312" w:eastAsia="仿宋_GB2312" w:cs="仿宋_GB2312"/>
                <w:b/>
                <w:bCs/>
                <w:sz w:val="28"/>
                <w:szCs w:val="28"/>
              </w:rPr>
              <w:t>错误！未找到引用源。</w:t>
            </w:r>
            <w:r>
              <w:rPr>
                <w:rFonts w:ascii="仿宋_GB2312" w:eastAsia="仿宋_GB2312" w:cs="仿宋_GB2312"/>
                <w:sz w:val="28"/>
                <w:szCs w:val="28"/>
              </w:rPr>
              <w:fldChar w:fldCharType="end"/>
            </w:r>
            <w:r>
              <w:rPr>
                <w:rFonts w:ascii="仿宋_GB2312" w:eastAsia="仿宋_GB2312" w:cs="仿宋_GB2312"/>
                <w:sz w:val="28"/>
                <w:szCs w:val="28"/>
              </w:rPr>
              <w:t xml:space="preserve">  </w:t>
            </w:r>
            <w:r>
              <w:rPr>
                <w:rFonts w:hint="eastAsia" w:ascii="仿宋_GB2312" w:eastAsia="仿宋_GB2312" w:cs="仿宋_GB2312"/>
                <w:sz w:val="28"/>
                <w:szCs w:val="28"/>
              </w:rPr>
              <w:t>抄 送：各镇街发展改革和统计局（经济发展局），中山供电局</w:t>
            </w:r>
            <w:r>
              <w:rPr>
                <w:rFonts w:ascii="仿宋_GB2312" w:eastAsia="仿宋_GB2312"/>
                <w:sz w:val="28"/>
                <w:szCs w:val="28"/>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0" w:type="dxa"/>
            <w:bottom w:w="0" w:type="dxa"/>
            <w:right w:w="0" w:type="dxa"/>
          </w:tblCellMar>
        </w:tblPrEx>
        <w:tc>
          <w:tcPr>
            <w:tcW w:w="5236" w:type="dxa"/>
            <w:tcBorders>
              <w:bottom w:val="single" w:color="auto" w:sz="4" w:space="0"/>
            </w:tcBorders>
          </w:tcPr>
          <w:p>
            <w:pPr>
              <w:tabs>
                <w:tab w:val="left" w:pos="5598"/>
              </w:tabs>
              <w:snapToGrid w:val="0"/>
              <w:ind w:left="294"/>
              <w:rPr>
                <w:rFonts w:ascii="仿宋_GB2312" w:eastAsia="仿宋_GB2312"/>
                <w:sz w:val="28"/>
                <w:szCs w:val="28"/>
              </w:rPr>
            </w:pPr>
            <w:bookmarkStart w:id="1" w:name="HtdOrg"/>
            <w:r>
              <w:rPr>
                <w:rFonts w:hint="eastAsia" w:ascii="仿宋_GB2312" w:eastAsia="仿宋_GB2312" w:cs="仿宋_GB2312"/>
                <w:sz w:val="28"/>
                <w:szCs w:val="28"/>
              </w:rPr>
              <w:t>中山市发展和改革局办公室</w:t>
            </w:r>
            <w:bookmarkEnd w:id="1"/>
          </w:p>
        </w:tc>
        <w:tc>
          <w:tcPr>
            <w:tcW w:w="3599" w:type="dxa"/>
            <w:tcBorders>
              <w:bottom w:val="single" w:color="auto" w:sz="4" w:space="0"/>
            </w:tcBorders>
          </w:tcPr>
          <w:p>
            <w:pPr>
              <w:tabs>
                <w:tab w:val="left" w:pos="5598"/>
              </w:tabs>
              <w:snapToGrid w:val="0"/>
              <w:ind w:right="298"/>
              <w:jc w:val="right"/>
              <w:rPr>
                <w:rFonts w:ascii="仿宋_GB2312" w:eastAsia="仿宋_GB2312"/>
                <w:sz w:val="28"/>
                <w:szCs w:val="28"/>
              </w:rPr>
            </w:pPr>
            <w:bookmarkStart w:id="2" w:name="HtdTime"/>
            <w:r>
              <w:rPr>
                <w:rFonts w:ascii="仿宋_GB2312" w:eastAsia="仿宋_GB2312" w:cs="仿宋_GB2312"/>
                <w:sz w:val="28"/>
                <w:szCs w:val="28"/>
              </w:rPr>
              <w:t>202</w:t>
            </w:r>
            <w:r>
              <w:rPr>
                <w:rFonts w:hint="eastAsia" w:ascii="仿宋_GB2312" w:eastAsia="仿宋_GB2312" w:cs="仿宋_GB2312"/>
                <w:sz w:val="28"/>
                <w:szCs w:val="28"/>
              </w:rPr>
              <w:t>1年12月14日印</w:t>
            </w:r>
            <w:bookmarkEnd w:id="2"/>
            <w:r>
              <w:rPr>
                <w:rFonts w:hint="eastAsia" w:ascii="仿宋_GB2312" w:eastAsia="仿宋_GB2312" w:cs="仿宋_GB2312"/>
                <w:sz w:val="28"/>
                <w:szCs w:val="28"/>
              </w:rPr>
              <w:t>发</w:t>
            </w:r>
          </w:p>
        </w:tc>
      </w:tr>
    </w:tbl>
    <w:p>
      <w:pPr>
        <w:tabs>
          <w:tab w:val="left" w:pos="5598"/>
        </w:tabs>
        <w:snapToGrid w:val="0"/>
        <w:ind w:left="294" w:leftChars="140" w:firstLine="320" w:firstLineChars="100"/>
        <w:rPr>
          <w:rFonts w:ascii="黑体" w:eastAsia="黑体"/>
          <w:sz w:val="32"/>
          <w:szCs w:val="32"/>
        </w:rPr>
      </w:pPr>
      <w:r>
        <w:rPr>
          <w:rFonts w:hint="eastAsia" w:ascii="黑体" w:eastAsia="黑体"/>
          <w:sz w:val="32"/>
          <w:szCs w:val="32"/>
        </w:rPr>
        <w:t>公开方式：主动公开</w:t>
      </w:r>
      <w:r>
        <w:rPr>
          <w:rFonts w:ascii="黑体" w:eastAsia="黑体"/>
          <w:sz w:val="32"/>
          <w:szCs w:val="32"/>
        </w:rPr>
        <w:tab/>
      </w:r>
    </w:p>
    <w:sectPr>
      <w:footerReference r:id="rId3" w:type="default"/>
      <w:footerReference r:id="rId4" w:type="even"/>
      <w:pgSz w:w="11906" w:h="16838"/>
      <w:pgMar w:top="2098" w:right="1588"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公文小标宋简">
    <w:altName w:val="宋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5798330"/>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300862"/>
      <w:docPartObj>
        <w:docPartGallery w:val="autotext"/>
      </w:docPartObj>
    </w:sdtPr>
    <w:sdtContent>
      <w:p>
        <w:pPr>
          <w:pStyle w:val="5"/>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2 -</w:t>
        </w:r>
        <w:r>
          <w:rPr>
            <w:rFonts w:asciiTheme="majorEastAsia" w:hAnsiTheme="majorEastAsia" w:eastAsiaTheme="maj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dit="readOnly" w:enforcement="1" w:cryptProviderType="rsaFull" w:cryptAlgorithmClass="hash" w:cryptAlgorithmType="typeAny" w:cryptAlgorithmSid="4" w:cryptSpinCount="0" w:hash="D2Cuky6Tu/khX+cOyiIqkWDHfbg=" w:salt="SU08cx9FZ0wmQqpQ5R3r5g=="/>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20F0DB6"/>
    <w:rsid w:val="00100F92"/>
    <w:rsid w:val="001E1462"/>
    <w:rsid w:val="004A770C"/>
    <w:rsid w:val="00634115"/>
    <w:rsid w:val="006730D8"/>
    <w:rsid w:val="007E7EAB"/>
    <w:rsid w:val="00851FB0"/>
    <w:rsid w:val="00960E21"/>
    <w:rsid w:val="00A31153"/>
    <w:rsid w:val="00BB6F21"/>
    <w:rsid w:val="00C34A1D"/>
    <w:rsid w:val="055907B0"/>
    <w:rsid w:val="08A8466E"/>
    <w:rsid w:val="0A1667CA"/>
    <w:rsid w:val="0A5979F3"/>
    <w:rsid w:val="0AB40649"/>
    <w:rsid w:val="0BEB3FAB"/>
    <w:rsid w:val="0DF15E71"/>
    <w:rsid w:val="0EE5441F"/>
    <w:rsid w:val="13A93975"/>
    <w:rsid w:val="16774610"/>
    <w:rsid w:val="18690E82"/>
    <w:rsid w:val="1A6C1662"/>
    <w:rsid w:val="1C582087"/>
    <w:rsid w:val="1CF06D91"/>
    <w:rsid w:val="1E1324DB"/>
    <w:rsid w:val="20446A95"/>
    <w:rsid w:val="213C0451"/>
    <w:rsid w:val="24062441"/>
    <w:rsid w:val="243F5569"/>
    <w:rsid w:val="2D291789"/>
    <w:rsid w:val="2DF77887"/>
    <w:rsid w:val="2F4B08A8"/>
    <w:rsid w:val="31E843C7"/>
    <w:rsid w:val="320F0DB6"/>
    <w:rsid w:val="333B627C"/>
    <w:rsid w:val="339C6049"/>
    <w:rsid w:val="34184AC6"/>
    <w:rsid w:val="39D21163"/>
    <w:rsid w:val="44C87BC8"/>
    <w:rsid w:val="45102683"/>
    <w:rsid w:val="45B94553"/>
    <w:rsid w:val="45F147DA"/>
    <w:rsid w:val="478860FF"/>
    <w:rsid w:val="47FF1D62"/>
    <w:rsid w:val="480A475B"/>
    <w:rsid w:val="4B1A3C98"/>
    <w:rsid w:val="4B4B059C"/>
    <w:rsid w:val="4B4B7100"/>
    <w:rsid w:val="4F196063"/>
    <w:rsid w:val="51EE04F2"/>
    <w:rsid w:val="53913A6A"/>
    <w:rsid w:val="53A35309"/>
    <w:rsid w:val="56575C1D"/>
    <w:rsid w:val="56636E0D"/>
    <w:rsid w:val="58B84C8E"/>
    <w:rsid w:val="5C364F38"/>
    <w:rsid w:val="61BE4645"/>
    <w:rsid w:val="6299781C"/>
    <w:rsid w:val="634018D3"/>
    <w:rsid w:val="648A72FC"/>
    <w:rsid w:val="6D031741"/>
    <w:rsid w:val="6F2C3114"/>
    <w:rsid w:val="70846A8A"/>
    <w:rsid w:val="708554F3"/>
    <w:rsid w:val="73E11973"/>
    <w:rsid w:val="74827B48"/>
    <w:rsid w:val="7489437B"/>
    <w:rsid w:val="755B1901"/>
    <w:rsid w:val="777F4FC9"/>
    <w:rsid w:val="78E70D58"/>
    <w:rsid w:val="7A3F0D23"/>
    <w:rsid w:val="7AB56195"/>
    <w:rsid w:val="7BDA130D"/>
    <w:rsid w:val="7C601F17"/>
    <w:rsid w:val="7E744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b/>
      <w:bCs/>
      <w:color w:val="000000"/>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批注框文本 Char"/>
    <w:basedOn w:val="8"/>
    <w:link w:val="4"/>
    <w:qFormat/>
    <w:uiPriority w:val="0"/>
    <w:rPr>
      <w:kern w:val="2"/>
      <w:sz w:val="18"/>
      <w:szCs w:val="18"/>
    </w:rPr>
  </w:style>
  <w:style w:type="paragraph" w:customStyle="1" w:styleId="10">
    <w:name w:val="秘密紧急"/>
    <w:basedOn w:val="1"/>
    <w:uiPriority w:val="0"/>
    <w:pPr>
      <w:jc w:val="right"/>
    </w:pPr>
    <w:rPr>
      <w:rFonts w:ascii="黑体" w:hAnsi="Times New Roman" w:eastAsia="黑体" w:cs="Times New Roman"/>
      <w:sz w:val="32"/>
      <w:szCs w:val="20"/>
    </w:rPr>
  </w:style>
  <w:style w:type="paragraph" w:customStyle="1" w:styleId="11">
    <w:name w:val="主题词"/>
    <w:basedOn w:val="1"/>
    <w:uiPriority w:val="0"/>
    <w:pPr>
      <w:framePr w:wrap="notBeside" w:vAnchor="margin" w:hAnchor="margin" w:yAlign="bottom"/>
      <w:ind w:left="1246" w:hanging="1246"/>
    </w:pPr>
    <w:rPr>
      <w:rFonts w:ascii="Times New Roman" w:hAnsi="Times New Roman" w:eastAsia="公文小标宋简" w:cs="Times New Roman"/>
      <w:sz w:val="32"/>
      <w:szCs w:val="20"/>
    </w:rPr>
  </w:style>
  <w:style w:type="character" w:customStyle="1" w:styleId="12">
    <w:name w:val="页脚 Char"/>
    <w:basedOn w:val="8"/>
    <w:link w:val="5"/>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中山市发展和改革局</Company>
  <Pages>3</Pages>
  <Words>197</Words>
  <Characters>1123</Characters>
  <Lines>9</Lines>
  <Paragraphs>2</Paragraphs>
  <TotalTime>13</TotalTime>
  <ScaleCrop>false</ScaleCrop>
  <LinksUpToDate>false</LinksUpToDate>
  <CharactersWithSpaces>1318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2021-12-10T01:17:00Z</dcterms:created>
  <dc:creator>NTKO</dc:creator>
  <cp:lastModifiedBy>廖茵琪1</cp:lastModifiedBy>
  <cp:lastPrinted>2021-12-14T06:43:00Z</cp:lastPrinted>
  <dcterms:modified xsi:type="dcterms:W3CDTF">2021-12-15T02:05:09Z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