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附件</w:t>
      </w:r>
      <w:r>
        <w:rPr>
          <w:rFonts w:hint="eastAsia" w:ascii="宋体" w:hAnsi="宋体" w:cs="Times New Roman"/>
          <w:b/>
          <w:bCs/>
          <w:color w:val="000000"/>
          <w:szCs w:val="21"/>
          <w:lang w:val="en-US" w:eastAsia="zh-CN"/>
        </w:rPr>
        <w:t>4</w:t>
      </w:r>
      <w:r>
        <w:rPr>
          <w:rFonts w:hint="eastAsia" w:ascii="宋体" w:hAnsi="宋体" w:eastAsia="宋体" w:cs="Times New Roman"/>
          <w:b/>
          <w:bCs/>
          <w:color w:val="000000"/>
          <w:szCs w:val="21"/>
          <w:lang w:eastAsia="zh-CN"/>
        </w:rPr>
        <w:t>：《生活垃圾运输处理项目工作内容及要求》</w:t>
      </w:r>
      <w:r>
        <w:rPr>
          <w:rFonts w:hint="eastAsia" w:ascii="宋体" w:hAnsi="宋体" w:cs="Times New Roman"/>
          <w:b/>
          <w:bCs/>
          <w:color w:val="000000"/>
          <w:szCs w:val="21"/>
          <w:lang w:eastAsia="zh-CN"/>
        </w:rPr>
        <w:t>及</w:t>
      </w:r>
      <w:r>
        <w:rPr>
          <w:rFonts w:hint="eastAsia" w:ascii="宋体" w:hAnsi="宋体" w:eastAsia="宋体" w:cs="Times New Roman"/>
          <w:b/>
          <w:bCs/>
          <w:color w:val="000000"/>
          <w:szCs w:val="21"/>
          <w:lang w:eastAsia="zh-CN"/>
        </w:rPr>
        <w:t>《生活垃圾运输处理项目</w:t>
      </w:r>
      <w:bookmarkStart w:id="0" w:name="_GoBack"/>
      <w:bookmarkEnd w:id="0"/>
      <w:r>
        <w:rPr>
          <w:rFonts w:hint="eastAsia" w:ascii="宋体" w:hAnsi="宋体" w:eastAsia="宋体" w:cs="Times New Roman"/>
          <w:b/>
          <w:bCs/>
          <w:color w:val="000000"/>
          <w:szCs w:val="21"/>
          <w:lang w:eastAsia="zh-CN"/>
        </w:rPr>
        <w:t>考核表》</w:t>
      </w:r>
    </w:p>
    <w:p>
      <w:pPr>
        <w:jc w:val="center"/>
        <w:rPr>
          <w:rFonts w:hint="eastAsia"/>
          <w:b/>
          <w:bCs/>
          <w:sz w:val="28"/>
          <w:szCs w:val="28"/>
        </w:rPr>
      </w:pPr>
      <w:r>
        <w:rPr>
          <w:rFonts w:hint="eastAsia"/>
          <w:b/>
          <w:bCs/>
          <w:sz w:val="28"/>
          <w:szCs w:val="28"/>
          <w:lang w:val="en-US" w:eastAsia="zh-CN"/>
        </w:rPr>
        <w:t>生活垃圾运输处理项目工作内容及要求</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60" w:lineRule="auto"/>
        <w:ind w:right="0" w:rightChars="0" w:firstLine="422" w:firstLineChars="20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一、项目内容及范围</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sz w:val="21"/>
          <w:szCs w:val="21"/>
        </w:rPr>
      </w:pPr>
      <w:r>
        <w:rPr>
          <w:rFonts w:hint="eastAsia" w:ascii="宋体" w:hAnsi="宋体" w:eastAsia="宋体" w:cs="宋体"/>
          <w:sz w:val="21"/>
          <w:szCs w:val="21"/>
          <w:lang w:eastAsia="zh-CN"/>
        </w:rPr>
        <w:t>中标人</w:t>
      </w:r>
      <w:r>
        <w:rPr>
          <w:rFonts w:hint="eastAsia" w:ascii="宋体" w:hAnsi="宋体" w:eastAsia="宋体" w:cs="宋体"/>
          <w:sz w:val="21"/>
          <w:szCs w:val="21"/>
        </w:rPr>
        <w:t>按照有关规定和垃圾压缩、运输和处理的工艺技术要求，负责对本项目经营、维护和运输管理，按要求将古镇生活垃圾运往中山市</w:t>
      </w:r>
      <w:r>
        <w:rPr>
          <w:rFonts w:hint="eastAsia" w:ascii="宋体" w:hAnsi="宋体" w:eastAsia="宋体" w:cs="宋体"/>
          <w:sz w:val="21"/>
          <w:szCs w:val="21"/>
          <w:lang w:eastAsia="zh-CN"/>
        </w:rPr>
        <w:t>三大组团垃圾处理基地</w:t>
      </w:r>
      <w:r>
        <w:rPr>
          <w:rFonts w:hint="eastAsia" w:ascii="宋体" w:hAnsi="宋体" w:eastAsia="宋体" w:cs="宋体"/>
          <w:sz w:val="21"/>
          <w:szCs w:val="21"/>
        </w:rPr>
        <w:t>进行减量化、资源化和无害化处理，如中山市无法接收本辖区内的垃圾的情况下，</w:t>
      </w:r>
      <w:r>
        <w:rPr>
          <w:rFonts w:hint="eastAsia" w:ascii="宋体" w:hAnsi="宋体" w:eastAsia="宋体" w:cs="宋体"/>
          <w:sz w:val="21"/>
          <w:szCs w:val="21"/>
          <w:lang w:eastAsia="zh-CN"/>
        </w:rPr>
        <w:t>中标人</w:t>
      </w:r>
      <w:r>
        <w:rPr>
          <w:rFonts w:hint="eastAsia" w:ascii="宋体" w:hAnsi="宋体" w:eastAsia="宋体" w:cs="宋体"/>
          <w:sz w:val="21"/>
          <w:szCs w:val="21"/>
        </w:rPr>
        <w:t>必须做到垃圾分拣回收减量，余下垃圾分流外运合法和无害化处理，确保垃圾正常清运，垃圾日产日清</w:t>
      </w:r>
      <w:r>
        <w:rPr>
          <w:rFonts w:hint="eastAsia" w:ascii="宋体" w:hAnsi="宋体" w:eastAsia="宋体" w:cs="宋体"/>
          <w:sz w:val="21"/>
          <w:szCs w:val="21"/>
          <w:lang w:eastAsia="zh-CN"/>
        </w:rPr>
        <w:t>，场地干净整洁，</w:t>
      </w:r>
      <w:r>
        <w:rPr>
          <w:rFonts w:hint="eastAsia" w:ascii="宋体" w:hAnsi="宋体" w:eastAsia="宋体" w:cs="宋体"/>
          <w:color w:val="auto"/>
          <w:sz w:val="21"/>
          <w:szCs w:val="21"/>
          <w:highlight w:val="none"/>
          <w:lang w:eastAsia="zh-CN"/>
        </w:rPr>
        <w:t>做好服务期内安全管理责任工作，一切安全事故、责任由</w:t>
      </w:r>
      <w:r>
        <w:rPr>
          <w:rFonts w:hint="eastAsia" w:ascii="宋体" w:hAnsi="宋体" w:cs="宋体"/>
          <w:color w:val="auto"/>
          <w:sz w:val="21"/>
          <w:szCs w:val="21"/>
          <w:highlight w:val="none"/>
          <w:lang w:eastAsia="zh-CN"/>
        </w:rPr>
        <w:t>中标人</w:t>
      </w:r>
      <w:r>
        <w:rPr>
          <w:rFonts w:hint="eastAsia" w:ascii="宋体" w:hAnsi="宋体" w:eastAsia="宋体" w:cs="宋体"/>
          <w:color w:val="auto"/>
          <w:sz w:val="21"/>
          <w:szCs w:val="21"/>
          <w:highlight w:val="none"/>
          <w:lang w:eastAsia="zh-CN"/>
        </w:rPr>
        <w:t>承担</w:t>
      </w:r>
      <w:r>
        <w:rPr>
          <w:rFonts w:hint="eastAsia" w:ascii="宋体" w:hAnsi="宋体" w:eastAsia="宋体" w:cs="宋体"/>
          <w:sz w:val="21"/>
          <w:szCs w:val="21"/>
        </w:rPr>
        <w:t>。</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升级改造古镇生活垃圾中转站，包括但不限于</w:t>
      </w:r>
      <w:r>
        <w:rPr>
          <w:rFonts w:hint="eastAsia" w:ascii="宋体" w:hAnsi="宋体" w:cs="宋体"/>
          <w:color w:val="auto"/>
          <w:sz w:val="21"/>
          <w:szCs w:val="21"/>
          <w:highlight w:val="none"/>
          <w:lang w:eastAsia="zh-CN"/>
        </w:rPr>
        <w:t>车间</w:t>
      </w:r>
      <w:r>
        <w:rPr>
          <w:rFonts w:hint="eastAsia" w:ascii="宋体" w:hAnsi="宋体" w:eastAsia="宋体" w:cs="宋体"/>
          <w:color w:val="auto"/>
          <w:sz w:val="21"/>
          <w:szCs w:val="21"/>
          <w:highlight w:val="none"/>
          <w:lang w:eastAsia="zh-CN"/>
        </w:rPr>
        <w:t>翻新、新增污水或渗滤液处理设备、废气负压除臭（喷淋）综合处理等，升级改造站场污水收集系统，对污水或渗滤液收集至新增的污水处理设备，处理达标后排入污水管网；投放足够的大型垃圾压缩箱及车辆（运输车、铲车）；建立智慧监控系统、垃圾清运及分类信息化管理平台；负责全镇厨余垃圾、</w:t>
      </w:r>
      <w:r>
        <w:rPr>
          <w:rFonts w:hint="eastAsia" w:ascii="宋体" w:hAnsi="宋体" w:eastAsia="宋体" w:cs="宋体"/>
          <w:color w:val="auto"/>
          <w:sz w:val="21"/>
          <w:szCs w:val="21"/>
          <w:highlight w:val="none"/>
          <w:lang w:val="en-US" w:eastAsia="zh-CN"/>
        </w:rPr>
        <w:t>可回收垃圾</w:t>
      </w:r>
      <w:r>
        <w:rPr>
          <w:rFonts w:hint="eastAsia" w:ascii="宋体" w:hAnsi="宋体" w:eastAsia="宋体" w:cs="宋体"/>
          <w:color w:val="auto"/>
          <w:sz w:val="21"/>
          <w:szCs w:val="21"/>
          <w:highlight w:val="none"/>
          <w:lang w:eastAsia="zh-CN"/>
        </w:rPr>
        <w:t>分类清运。</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对经批准进场的生活垃圾必须进行过磅称重并登记（需剔除空车重量）、垃圾运走前必须经中转站地磅过磅并登记。</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eastAsia="zh-CN"/>
        </w:rPr>
        <w:t>负责镇垃圾中转站生活垃圾的压缩处理和转运，负责该站场的日常管理（包括但不限于投入足够人员和保险、场地除臭、除四害、保洁、地面冲洗、24小时保安、地磅管理、场地及设施维修服务，需对污水处理、除四害等形成台账）。</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负责对</w:t>
      </w:r>
      <w:r>
        <w:rPr>
          <w:rFonts w:hint="eastAsia" w:ascii="宋体" w:hAnsi="宋体" w:eastAsia="宋体" w:cs="宋体"/>
          <w:bCs/>
          <w:color w:val="auto"/>
          <w:sz w:val="21"/>
          <w:szCs w:val="21"/>
          <w:highlight w:val="none"/>
          <w:lang w:eastAsia="zh-CN"/>
        </w:rPr>
        <w:t>压缩处理后的所有垃圾压箱装车，运输至市三大组团垃圾处理厂进行无害化处理，不得偷倒和违法违规处理。</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负责对镇垃圾</w:t>
      </w:r>
      <w:r>
        <w:rPr>
          <w:rFonts w:hint="eastAsia" w:ascii="宋体" w:hAnsi="宋体" w:eastAsia="宋体" w:cs="宋体"/>
          <w:bCs/>
          <w:color w:val="auto"/>
          <w:sz w:val="21"/>
          <w:szCs w:val="21"/>
          <w:highlight w:val="none"/>
          <w:lang w:eastAsia="zh-CN"/>
        </w:rPr>
        <w:t>中转站内污水及污水处理站产生的污泥处理、废气处理、除臭处理、垃圾消毒消杀处理、环境美化净化、人员管理、排污证后管理等工作。</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负责将镇内厨余垃圾运输至南部组团有机垃圾处理基地进行处理，厨余垃圾运输量必须满足市城管局关于镇街厨余垃圾收运指标要求。</w:t>
      </w:r>
    </w:p>
    <w:p>
      <w:pPr>
        <w:numPr>
          <w:ilvl w:val="0"/>
          <w:numId w:val="1"/>
        </w:numPr>
        <w:adjustRightInd w:val="0"/>
        <w:snapToGrid w:val="0"/>
        <w:spacing w:line="360" w:lineRule="auto"/>
        <w:ind w:left="425" w:leftChars="0" w:right="420" w:rightChars="200" w:hanging="425" w:firstLineChars="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eastAsia="zh-CN"/>
        </w:rPr>
        <w:t>负责协助采购人持续深入开展生活垃圾分类工作，对生活垃圾处理资源化、减量化。</w:t>
      </w:r>
    </w:p>
    <w:p>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60" w:lineRule="auto"/>
        <w:ind w:left="0" w:leftChars="0" w:right="0" w:firstLine="422" w:firstLineChars="20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二、项目相关要求</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预算费用包含了中标人为完成工作所发生的一切预见和不可预见费用，包含但不限于垃圾的运输、运输车辆的添置及维护费、油费、路桥费、中转站的翻新改造费用、建立智慧监控系统、垃圾清运及分类信息化管理平台费用、站场渗滤液及污水污泥收集和处理、相关保险及意外赔偿、人员工资、社保及福利待遇等。</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cs="宋体"/>
          <w:b w:val="0"/>
          <w:bCs w:val="0"/>
          <w:color w:val="auto"/>
          <w:sz w:val="21"/>
          <w:szCs w:val="21"/>
          <w:highlight w:val="none"/>
          <w:lang w:eastAsia="zh-CN"/>
        </w:rPr>
        <w:t>对每日进场的生活垃圾实施日产日清，不得滞留在场地内</w:t>
      </w:r>
      <w:r>
        <w:rPr>
          <w:rFonts w:hint="eastAsia" w:ascii="宋体" w:hAnsi="宋体" w:eastAsia="宋体" w:cs="宋体"/>
          <w:b w:val="0"/>
          <w:bCs w:val="0"/>
          <w:color w:val="auto"/>
          <w:sz w:val="21"/>
          <w:szCs w:val="21"/>
          <w:highlight w:val="none"/>
          <w:lang w:eastAsia="zh-CN"/>
        </w:rPr>
        <w:t>。</w:t>
      </w:r>
    </w:p>
    <w:p>
      <w:pPr>
        <w:numPr>
          <w:ilvl w:val="0"/>
          <w:numId w:val="2"/>
        </w:numPr>
        <w:spacing w:line="360" w:lineRule="auto"/>
        <w:ind w:left="425" w:leftChars="0" w:right="420" w:rightChars="200" w:hanging="425" w:firstLineChars="0"/>
        <w:rPr>
          <w:rFonts w:hint="eastAsia" w:ascii="宋体" w:hAnsi="宋体" w:eastAsia="宋体" w:cs="宋体"/>
          <w:b w:val="0"/>
          <w:bCs w:val="0"/>
          <w:color w:val="auto"/>
          <w:sz w:val="21"/>
          <w:szCs w:val="21"/>
          <w:highlight w:val="none"/>
          <w:lang w:val="zh-CN" w:eastAsia="zh-CN"/>
        </w:rPr>
      </w:pPr>
      <w:r>
        <w:rPr>
          <w:rFonts w:hint="eastAsia" w:ascii="宋体" w:hAnsi="宋体" w:eastAsia="宋体" w:cs="宋体"/>
          <w:b w:val="0"/>
          <w:bCs w:val="0"/>
          <w:color w:val="auto"/>
          <w:sz w:val="21"/>
          <w:szCs w:val="21"/>
          <w:highlight w:val="none"/>
          <w:lang w:val="zh-CN" w:eastAsia="zh-CN"/>
        </w:rPr>
        <w:t>中标人在合同签订后</w:t>
      </w:r>
      <w:r>
        <w:rPr>
          <w:rFonts w:hint="eastAsia" w:ascii="宋体" w:hAnsi="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lang w:val="en-US" w:eastAsia="zh-CN"/>
        </w:rPr>
        <w:t>0天内</w:t>
      </w:r>
      <w:r>
        <w:rPr>
          <w:rFonts w:hint="eastAsia" w:ascii="宋体" w:hAnsi="宋体" w:eastAsia="宋体" w:cs="宋体"/>
          <w:b w:val="0"/>
          <w:bCs w:val="0"/>
          <w:color w:val="auto"/>
          <w:sz w:val="21"/>
          <w:szCs w:val="21"/>
          <w:highlight w:val="none"/>
          <w:lang w:val="zh-CN" w:eastAsia="zh-CN"/>
        </w:rPr>
        <w:t>需完成中转站的升级改造（包括</w:t>
      </w:r>
      <w:r>
        <w:rPr>
          <w:rFonts w:hint="eastAsia" w:ascii="宋体" w:hAnsi="宋体" w:cs="宋体"/>
          <w:b w:val="0"/>
          <w:bCs w:val="0"/>
          <w:color w:val="auto"/>
          <w:sz w:val="21"/>
          <w:szCs w:val="21"/>
          <w:highlight w:val="none"/>
          <w:lang w:val="zh-CN" w:eastAsia="zh-CN"/>
        </w:rPr>
        <w:t>车间</w:t>
      </w:r>
      <w:r>
        <w:rPr>
          <w:rFonts w:hint="eastAsia" w:ascii="宋体" w:hAnsi="宋体" w:eastAsia="宋体" w:cs="宋体"/>
          <w:b w:val="0"/>
          <w:bCs w:val="0"/>
          <w:color w:val="auto"/>
          <w:sz w:val="21"/>
          <w:szCs w:val="21"/>
          <w:highlight w:val="none"/>
          <w:lang w:val="zh-CN" w:eastAsia="zh-CN"/>
        </w:rPr>
        <w:t>翻新，新增中转站</w:t>
      </w:r>
      <w:r>
        <w:rPr>
          <w:rFonts w:hint="eastAsia" w:ascii="宋体" w:hAnsi="宋体" w:eastAsia="宋体" w:cs="宋体"/>
          <w:b w:val="0"/>
          <w:bCs w:val="0"/>
          <w:color w:val="auto"/>
          <w:sz w:val="21"/>
          <w:szCs w:val="21"/>
          <w:highlight w:val="none"/>
          <w:lang w:eastAsia="zh-CN"/>
        </w:rPr>
        <w:t>智慧监控系统、</w:t>
      </w:r>
      <w:r>
        <w:rPr>
          <w:rFonts w:hint="eastAsia" w:ascii="宋体" w:hAnsi="宋体" w:eastAsia="宋体" w:cs="宋体"/>
          <w:b w:val="0"/>
          <w:bCs w:val="0"/>
          <w:color w:val="auto"/>
          <w:sz w:val="21"/>
          <w:szCs w:val="21"/>
          <w:highlight w:val="none"/>
          <w:lang w:val="zh-CN" w:eastAsia="zh-CN"/>
        </w:rPr>
        <w:t>污水污泥</w:t>
      </w:r>
      <w:r>
        <w:rPr>
          <w:rFonts w:hint="eastAsia" w:ascii="宋体" w:hAnsi="宋体" w:eastAsia="宋体" w:cs="宋体"/>
          <w:b w:val="0"/>
          <w:bCs w:val="0"/>
          <w:color w:val="auto"/>
          <w:sz w:val="21"/>
          <w:szCs w:val="21"/>
          <w:highlight w:val="none"/>
          <w:lang w:eastAsia="zh-CN"/>
        </w:rPr>
        <w:t>或渗滤液</w:t>
      </w:r>
      <w:r>
        <w:rPr>
          <w:rFonts w:hint="eastAsia" w:ascii="宋体" w:hAnsi="宋体" w:eastAsia="宋体" w:cs="宋体"/>
          <w:b w:val="0"/>
          <w:bCs w:val="0"/>
          <w:color w:val="auto"/>
          <w:sz w:val="21"/>
          <w:szCs w:val="21"/>
          <w:highlight w:val="none"/>
          <w:lang w:val="zh-CN" w:eastAsia="zh-CN"/>
        </w:rPr>
        <w:t>处理设备、</w:t>
      </w:r>
      <w:r>
        <w:rPr>
          <w:rFonts w:hint="eastAsia" w:ascii="宋体" w:hAnsi="宋体" w:eastAsia="宋体" w:cs="宋体"/>
          <w:b w:val="0"/>
          <w:bCs w:val="0"/>
          <w:color w:val="auto"/>
          <w:sz w:val="21"/>
          <w:szCs w:val="21"/>
          <w:highlight w:val="none"/>
          <w:lang w:eastAsia="zh-CN"/>
        </w:rPr>
        <w:t>废气负压除臭（喷淋）综合处理设备</w:t>
      </w:r>
      <w:r>
        <w:rPr>
          <w:rFonts w:hint="eastAsia" w:ascii="宋体" w:hAnsi="宋体" w:eastAsia="宋体" w:cs="宋体"/>
          <w:b w:val="0"/>
          <w:bCs w:val="0"/>
          <w:color w:val="auto"/>
          <w:sz w:val="21"/>
          <w:szCs w:val="21"/>
          <w:highlight w:val="none"/>
          <w:lang w:val="zh-CN" w:eastAsia="zh-CN"/>
        </w:rPr>
        <w:t>、</w:t>
      </w:r>
      <w:r>
        <w:rPr>
          <w:rFonts w:hint="eastAsia" w:ascii="宋体" w:hAnsi="宋体" w:eastAsia="宋体" w:cs="宋体"/>
          <w:b w:val="0"/>
          <w:bCs w:val="0"/>
          <w:color w:val="auto"/>
          <w:sz w:val="21"/>
          <w:szCs w:val="21"/>
          <w:highlight w:val="none"/>
          <w:lang w:eastAsia="zh-CN"/>
        </w:rPr>
        <w:t>升级完善站场污水收集系统，对污水或渗滤液收集至新增的污水处理设备，处理达标后排入污水管网。</w:t>
      </w:r>
      <w:r>
        <w:rPr>
          <w:rFonts w:hint="eastAsia" w:ascii="宋体" w:hAnsi="宋体" w:eastAsia="宋体" w:cs="宋体"/>
          <w:b w:val="0"/>
          <w:bCs w:val="0"/>
          <w:color w:val="auto"/>
          <w:sz w:val="21"/>
          <w:szCs w:val="21"/>
          <w:highlight w:val="none"/>
          <w:lang w:val="zh-CN" w:eastAsia="zh-CN"/>
        </w:rPr>
        <w:t>在合同初期采购人扣留中标人</w:t>
      </w:r>
      <w:r>
        <w:rPr>
          <w:rFonts w:hint="eastAsia" w:ascii="宋体" w:hAnsi="宋体" w:eastAsia="宋体" w:cs="宋体"/>
          <w:b w:val="0"/>
          <w:bCs w:val="0"/>
          <w:color w:val="auto"/>
          <w:sz w:val="21"/>
          <w:szCs w:val="21"/>
          <w:highlight w:val="none"/>
          <w:lang w:val="en-US" w:eastAsia="zh-CN"/>
        </w:rPr>
        <w:t>2</w:t>
      </w:r>
      <w:r>
        <w:rPr>
          <w:rFonts w:hint="eastAsia" w:ascii="宋体" w:hAnsi="宋体" w:cs="宋体"/>
          <w:b w:val="0"/>
          <w:bCs w:val="0"/>
          <w:color w:val="auto"/>
          <w:sz w:val="21"/>
          <w:szCs w:val="21"/>
          <w:highlight w:val="none"/>
          <w:lang w:val="en-US" w:eastAsia="zh-CN"/>
        </w:rPr>
        <w:t>0</w:t>
      </w:r>
      <w:r>
        <w:rPr>
          <w:rFonts w:hint="eastAsia" w:ascii="宋体" w:hAnsi="宋体" w:eastAsia="宋体" w:cs="宋体"/>
          <w:b w:val="0"/>
          <w:bCs w:val="0"/>
          <w:color w:val="auto"/>
          <w:sz w:val="21"/>
          <w:szCs w:val="21"/>
          <w:highlight w:val="none"/>
          <w:lang w:val="en-US" w:eastAsia="zh-CN"/>
        </w:rPr>
        <w:t>万元</w:t>
      </w:r>
      <w:r>
        <w:rPr>
          <w:rFonts w:hint="eastAsia" w:ascii="宋体" w:hAnsi="宋体" w:eastAsia="宋体" w:cs="宋体"/>
          <w:b w:val="0"/>
          <w:bCs w:val="0"/>
          <w:color w:val="auto"/>
          <w:sz w:val="21"/>
          <w:szCs w:val="21"/>
          <w:highlight w:val="none"/>
          <w:lang w:val="zh-CN" w:eastAsia="zh-CN"/>
        </w:rPr>
        <w:t>/月的服务费（即合同期内扣留服务费=</w:t>
      </w:r>
      <w:r>
        <w:rPr>
          <w:rFonts w:hint="eastAsia" w:ascii="宋体" w:hAnsi="宋体" w:eastAsia="宋体" w:cs="宋体"/>
          <w:b w:val="0"/>
          <w:bCs w:val="0"/>
          <w:color w:val="auto"/>
          <w:sz w:val="21"/>
          <w:szCs w:val="21"/>
          <w:highlight w:val="none"/>
          <w:lang w:val="en-US" w:eastAsia="zh-CN"/>
        </w:rPr>
        <w:t>2</w:t>
      </w:r>
      <w:r>
        <w:rPr>
          <w:rFonts w:hint="eastAsia" w:ascii="宋体" w:hAnsi="宋体" w:cs="宋体"/>
          <w:b w:val="0"/>
          <w:bCs w:val="0"/>
          <w:color w:val="auto"/>
          <w:sz w:val="21"/>
          <w:szCs w:val="21"/>
          <w:highlight w:val="none"/>
          <w:lang w:val="en-US" w:eastAsia="zh-CN"/>
        </w:rPr>
        <w:t>0</w:t>
      </w:r>
      <w:r>
        <w:rPr>
          <w:rFonts w:hint="eastAsia" w:ascii="宋体" w:hAnsi="宋体" w:eastAsia="宋体" w:cs="宋体"/>
          <w:b w:val="0"/>
          <w:bCs w:val="0"/>
          <w:color w:val="auto"/>
          <w:sz w:val="21"/>
          <w:szCs w:val="21"/>
          <w:highlight w:val="none"/>
          <w:lang w:val="en-US" w:eastAsia="zh-CN"/>
        </w:rPr>
        <w:t>万</w:t>
      </w:r>
      <w:r>
        <w:rPr>
          <w:rFonts w:hint="eastAsia" w:ascii="宋体" w:hAnsi="宋体" w:eastAsia="宋体" w:cs="宋体"/>
          <w:b w:val="0"/>
          <w:bCs w:val="0"/>
          <w:color w:val="auto"/>
          <w:sz w:val="21"/>
          <w:szCs w:val="21"/>
          <w:highlight w:val="none"/>
          <w:lang w:eastAsia="zh-CN"/>
        </w:rPr>
        <w:t>元</w:t>
      </w:r>
      <w:r>
        <w:rPr>
          <w:rFonts w:hint="eastAsia" w:ascii="宋体" w:hAnsi="宋体" w:eastAsia="宋体" w:cs="宋体"/>
          <w:b w:val="0"/>
          <w:bCs w:val="0"/>
          <w:color w:val="auto"/>
          <w:sz w:val="21"/>
          <w:szCs w:val="21"/>
          <w:highlight w:val="none"/>
          <w:lang w:val="zh-CN" w:eastAsia="zh-CN"/>
        </w:rPr>
        <w:t>/月×实际施工月份），</w:t>
      </w:r>
      <w:r>
        <w:rPr>
          <w:rFonts w:hint="eastAsia" w:ascii="宋体" w:hAnsi="宋体" w:eastAsia="宋体" w:cs="宋体"/>
          <w:color w:val="auto"/>
          <w:sz w:val="21"/>
          <w:szCs w:val="21"/>
          <w:highlight w:val="none"/>
          <w:lang w:val="en-US" w:eastAsia="zh-CN"/>
        </w:rPr>
        <w:t>中标人对垃圾中转站的升级改造方案需经过采购人</w:t>
      </w:r>
      <w:r>
        <w:rPr>
          <w:rFonts w:hint="eastAsia" w:ascii="宋体" w:hAnsi="宋体" w:cs="宋体"/>
          <w:color w:val="auto"/>
          <w:sz w:val="21"/>
          <w:szCs w:val="21"/>
          <w:highlight w:val="none"/>
          <w:lang w:val="en-US" w:eastAsia="zh-CN"/>
        </w:rPr>
        <w:t>书面</w:t>
      </w:r>
      <w:r>
        <w:rPr>
          <w:rFonts w:hint="eastAsia" w:ascii="宋体" w:hAnsi="宋体" w:eastAsia="宋体" w:cs="宋体"/>
          <w:color w:val="auto"/>
          <w:sz w:val="21"/>
          <w:szCs w:val="21"/>
          <w:highlight w:val="none"/>
          <w:lang w:val="en-US" w:eastAsia="zh-CN"/>
        </w:rPr>
        <w:t>确认。</w:t>
      </w:r>
      <w:r>
        <w:rPr>
          <w:rFonts w:hint="eastAsia" w:ascii="宋体" w:hAnsi="宋体" w:eastAsia="宋体" w:cs="宋体"/>
          <w:b w:val="0"/>
          <w:bCs w:val="0"/>
          <w:color w:val="auto"/>
          <w:sz w:val="21"/>
          <w:szCs w:val="21"/>
          <w:highlight w:val="none"/>
          <w:lang w:val="zh-CN" w:eastAsia="zh-CN"/>
        </w:rPr>
        <w:t>如中标人按要求完成升级改造（经采购人验收合格为准），采购人将扣留的服务费总额一次性支付给中标人</w:t>
      </w:r>
      <w:r>
        <w:rPr>
          <w:rFonts w:hint="eastAsia" w:ascii="宋体" w:hAnsi="宋体" w:cs="宋体"/>
          <w:b w:val="0"/>
          <w:bCs w:val="0"/>
          <w:color w:val="auto"/>
          <w:sz w:val="21"/>
          <w:szCs w:val="21"/>
          <w:highlight w:val="none"/>
          <w:lang w:val="zh-CN" w:eastAsia="zh-CN"/>
        </w:rPr>
        <w:t>。</w:t>
      </w:r>
      <w:r>
        <w:rPr>
          <w:rFonts w:hint="eastAsia" w:ascii="宋体" w:hAnsi="宋体" w:eastAsia="宋体" w:cs="宋体"/>
          <w:b w:val="0"/>
          <w:bCs w:val="0"/>
          <w:color w:val="auto"/>
          <w:sz w:val="21"/>
          <w:szCs w:val="21"/>
          <w:highlight w:val="none"/>
          <w:lang w:val="zh-CN" w:eastAsia="zh-CN"/>
        </w:rPr>
        <w:t>对中转站进行升级改造，仅限用于厂房翻新、地面翻新，新增中转站</w:t>
      </w:r>
      <w:r>
        <w:rPr>
          <w:rFonts w:hint="eastAsia" w:ascii="宋体" w:hAnsi="宋体" w:eastAsia="宋体" w:cs="宋体"/>
          <w:b w:val="0"/>
          <w:bCs w:val="0"/>
          <w:color w:val="auto"/>
          <w:sz w:val="21"/>
          <w:szCs w:val="21"/>
          <w:highlight w:val="none"/>
          <w:lang w:eastAsia="zh-CN"/>
        </w:rPr>
        <w:t>监控系统</w:t>
      </w:r>
      <w:r>
        <w:rPr>
          <w:rFonts w:hint="eastAsia" w:ascii="宋体" w:hAnsi="宋体" w:eastAsia="宋体" w:cs="宋体"/>
          <w:b w:val="0"/>
          <w:bCs w:val="0"/>
          <w:color w:val="auto"/>
          <w:sz w:val="21"/>
          <w:szCs w:val="21"/>
          <w:highlight w:val="none"/>
          <w:lang w:val="zh-CN" w:eastAsia="zh-CN"/>
        </w:rPr>
        <w:t>、智慧地磅系统</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zh-CN" w:eastAsia="zh-CN"/>
        </w:rPr>
        <w:t>污水</w:t>
      </w:r>
      <w:r>
        <w:rPr>
          <w:rFonts w:hint="eastAsia" w:ascii="宋体" w:hAnsi="宋体" w:eastAsia="宋体" w:cs="宋体"/>
          <w:b w:val="0"/>
          <w:bCs w:val="0"/>
          <w:color w:val="auto"/>
          <w:sz w:val="21"/>
          <w:szCs w:val="21"/>
          <w:highlight w:val="none"/>
          <w:lang w:eastAsia="zh-CN"/>
        </w:rPr>
        <w:t>或渗滤液</w:t>
      </w:r>
      <w:r>
        <w:rPr>
          <w:rFonts w:hint="eastAsia" w:ascii="宋体" w:hAnsi="宋体" w:eastAsia="宋体" w:cs="宋体"/>
          <w:b w:val="0"/>
          <w:bCs w:val="0"/>
          <w:color w:val="auto"/>
          <w:sz w:val="21"/>
          <w:szCs w:val="21"/>
          <w:highlight w:val="none"/>
          <w:lang w:val="zh-CN" w:eastAsia="zh-CN"/>
        </w:rPr>
        <w:t>处理设备、</w:t>
      </w:r>
      <w:r>
        <w:rPr>
          <w:rFonts w:hint="eastAsia" w:ascii="宋体" w:hAnsi="宋体" w:eastAsia="宋体" w:cs="宋体"/>
          <w:b w:val="0"/>
          <w:bCs w:val="0"/>
          <w:color w:val="auto"/>
          <w:sz w:val="21"/>
          <w:szCs w:val="21"/>
          <w:highlight w:val="none"/>
          <w:lang w:eastAsia="zh-CN"/>
        </w:rPr>
        <w:t>废气负压除臭（喷淋）综合处理设备</w:t>
      </w:r>
      <w:r>
        <w:rPr>
          <w:rFonts w:hint="eastAsia" w:ascii="宋体" w:hAnsi="宋体" w:eastAsia="宋体" w:cs="宋体"/>
          <w:b w:val="0"/>
          <w:bCs w:val="0"/>
          <w:color w:val="auto"/>
          <w:sz w:val="21"/>
          <w:szCs w:val="21"/>
          <w:highlight w:val="none"/>
          <w:lang w:val="zh-CN" w:eastAsia="zh-CN"/>
        </w:rPr>
        <w:t>、场地污水收集系统等进行升级改造，如需增加相关设施设备等均需书面经采购人同意，并将所有的改造计划和图纸等相关资料经由采购人审核通过后方能实施，所产生的费用需经采购人审核同意，中标人对中转站全部升级改造完成后经采购人验收合格后进行结算，具体的付款审批时间和支付时间以财政部门审批为准，若合同期内中标人不按合同要求履行，则采购人有权扣除全部履约保证金，由此产生的一切后果由中标人负责。</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中标人在项目服务范围内垃圾转运站中的渗滤液、污水污泥等须由中标人合法处理，达标排放，形成台账，明确去向。</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镇垃圾中转站内每天早、</w:t>
      </w:r>
      <w:r>
        <w:rPr>
          <w:rFonts w:hint="eastAsia" w:ascii="宋体" w:hAnsi="宋体" w:cs="宋体"/>
          <w:color w:val="auto"/>
          <w:sz w:val="21"/>
          <w:szCs w:val="21"/>
          <w:highlight w:val="none"/>
          <w:lang w:eastAsia="zh-CN"/>
        </w:rPr>
        <w:t>午、</w:t>
      </w:r>
      <w:r>
        <w:rPr>
          <w:rFonts w:hint="eastAsia" w:ascii="宋体" w:hAnsi="宋体" w:eastAsia="宋体" w:cs="宋体"/>
          <w:color w:val="auto"/>
          <w:sz w:val="21"/>
          <w:szCs w:val="21"/>
          <w:highlight w:val="none"/>
          <w:lang w:eastAsia="zh-CN"/>
        </w:rPr>
        <w:t>晚</w:t>
      </w:r>
      <w:r>
        <w:rPr>
          <w:rFonts w:hint="eastAsia" w:ascii="宋体" w:hAnsi="宋体" w:cs="宋体"/>
          <w:color w:val="auto"/>
          <w:sz w:val="21"/>
          <w:szCs w:val="21"/>
          <w:highlight w:val="none"/>
          <w:lang w:eastAsia="zh-CN"/>
        </w:rPr>
        <w:t>三</w:t>
      </w:r>
      <w:r>
        <w:rPr>
          <w:rFonts w:hint="eastAsia" w:ascii="宋体" w:hAnsi="宋体" w:eastAsia="宋体" w:cs="宋体"/>
          <w:color w:val="auto"/>
          <w:sz w:val="21"/>
          <w:szCs w:val="21"/>
          <w:highlight w:val="none"/>
          <w:lang w:eastAsia="zh-CN"/>
        </w:rPr>
        <w:t>次加强对转运站</w:t>
      </w:r>
      <w:r>
        <w:rPr>
          <w:rFonts w:hint="eastAsia" w:ascii="宋体" w:hAnsi="宋体" w:cs="宋体"/>
          <w:color w:val="auto"/>
          <w:sz w:val="21"/>
          <w:szCs w:val="21"/>
          <w:highlight w:val="none"/>
          <w:lang w:eastAsia="zh-CN"/>
        </w:rPr>
        <w:t>的清洁、</w:t>
      </w:r>
      <w:r>
        <w:rPr>
          <w:rFonts w:hint="eastAsia" w:ascii="宋体" w:hAnsi="宋体" w:eastAsia="宋体" w:cs="宋体"/>
          <w:color w:val="auto"/>
          <w:sz w:val="21"/>
          <w:szCs w:val="21"/>
          <w:highlight w:val="none"/>
          <w:lang w:eastAsia="zh-CN"/>
        </w:rPr>
        <w:t>日常消毒、药杀、防臭；对湿垃圾或雨天时的积水要及时进行排污；保持中转站环境卫生整洁、干净。</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中标人必须做好垃圾中转站内的安全生产问题，落实安全生产责任，自行承担安全生产责任风险。</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中标人必须在镇垃圾中转站建设完善的视频监控系统智能称重监控系统，利用互联网及信息化手段提高采购人现有的管理水平，并负责日常维护。</w:t>
      </w:r>
    </w:p>
    <w:p>
      <w:pPr>
        <w:pStyle w:val="5"/>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中标人负责镇垃圾中转站日常维护、管理，确保垃圾日产日清，每天垃圾体至少每天消杀1次、地面每日冲洗</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次、每天除臭</w:t>
      </w:r>
      <w:r>
        <w:rPr>
          <w:rFonts w:hint="eastAsia" w:ascii="宋体" w:hAnsi="宋体" w:cs="宋体"/>
          <w:color w:val="auto"/>
          <w:sz w:val="21"/>
          <w:szCs w:val="21"/>
          <w:highlight w:val="none"/>
          <w:lang w:val="en-US" w:eastAsia="zh-CN"/>
        </w:rPr>
        <w:t>10小时</w:t>
      </w:r>
      <w:r>
        <w:rPr>
          <w:rFonts w:hint="eastAsia" w:ascii="宋体" w:hAnsi="宋体" w:eastAsia="宋体" w:cs="宋体"/>
          <w:color w:val="auto"/>
          <w:sz w:val="21"/>
          <w:szCs w:val="21"/>
          <w:highlight w:val="none"/>
          <w:lang w:eastAsia="zh-CN"/>
        </w:rPr>
        <w:t>以上，保安24小时在岗，定期除四害，做好台账等服务。</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人员、车辆及机械设备最低配置要求：</w:t>
      </w:r>
    </w:p>
    <w:p>
      <w:pPr>
        <w:pStyle w:val="12"/>
        <w:jc w:val="center"/>
        <w:rPr>
          <w:rFonts w:hint="eastAsia"/>
          <w:lang w:eastAsia="zh-CN"/>
        </w:rPr>
      </w:pPr>
      <w:r>
        <w:rPr>
          <w:rFonts w:hint="eastAsia" w:ascii="宋体" w:hAnsi="宋体" w:eastAsia="宋体" w:cs="宋体"/>
          <w:b w:val="0"/>
          <w:bCs/>
          <w:color w:val="auto"/>
          <w:sz w:val="21"/>
          <w:szCs w:val="21"/>
          <w:highlight w:val="none"/>
          <w:lang w:eastAsia="zh-CN"/>
        </w:rPr>
        <w:t>人员配置</w:t>
      </w:r>
      <w:r>
        <w:rPr>
          <w:rFonts w:hint="eastAsia" w:ascii="宋体" w:hAnsi="宋体" w:eastAsia="宋体" w:cs="宋体"/>
          <w:color w:val="auto"/>
          <w:sz w:val="21"/>
          <w:szCs w:val="21"/>
          <w:highlight w:val="none"/>
          <w:lang w:eastAsia="zh-CN"/>
        </w:rPr>
        <w:t>要求</w:t>
      </w:r>
    </w:p>
    <w:tbl>
      <w:tblPr>
        <w:tblStyle w:val="16"/>
        <w:tblW w:w="892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3403"/>
        <w:gridCol w:w="1380"/>
        <w:gridCol w:w="342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序号</w:t>
            </w:r>
          </w:p>
        </w:tc>
        <w:tc>
          <w:tcPr>
            <w:tcW w:w="3403" w:type="dxa"/>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right="-107" w:rightChars="-51"/>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岗位</w:t>
            </w:r>
            <w:r>
              <w:rPr>
                <w:rFonts w:hint="eastAsia" w:ascii="宋体" w:hAnsi="宋体" w:eastAsia="宋体" w:cs="宋体"/>
                <w:b/>
                <w:color w:val="auto"/>
                <w:sz w:val="21"/>
                <w:szCs w:val="21"/>
                <w:highlight w:val="none"/>
              </w:rPr>
              <w:t>名称</w:t>
            </w:r>
          </w:p>
        </w:tc>
        <w:tc>
          <w:tcPr>
            <w:tcW w:w="1380" w:type="dxa"/>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right="61" w:rightChars="29"/>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数量</w:t>
            </w:r>
          </w:p>
        </w:tc>
        <w:tc>
          <w:tcPr>
            <w:tcW w:w="3421" w:type="dxa"/>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right="-90" w:rightChars="-43"/>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宋体" w:cstheme="minorBidi"/>
                <w:kern w:val="0"/>
                <w:sz w:val="21"/>
                <w:szCs w:val="21"/>
                <w:highlight w:val="none"/>
                <w:lang w:val="en-US" w:eastAsia="zh-CN" w:bidi="ar-SA"/>
              </w:rPr>
            </w:pPr>
            <w:r>
              <w:rPr>
                <w:rFonts w:hint="eastAsia" w:ascii="宋体" w:hAnsi="宋体"/>
                <w:kern w:val="0"/>
                <w:szCs w:val="21"/>
                <w:highlight w:val="none"/>
              </w:rPr>
              <w:t>项目</w:t>
            </w:r>
            <w:r>
              <w:rPr>
                <w:rFonts w:hint="eastAsia" w:ascii="宋体" w:hAnsi="宋体"/>
                <w:kern w:val="0"/>
                <w:szCs w:val="21"/>
                <w:highlight w:val="none"/>
                <w:lang w:eastAsia="zh-CN"/>
              </w:rPr>
              <w:t>主管</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1</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负责整个项目的运营管理安排</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lang w:val="en-US" w:eastAsia="zh-CN"/>
              </w:rPr>
              <w:t>资料员/安全员</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1</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负责办公室及后勤管理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操作工</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lang w:val="en-US" w:eastAsia="zh-CN"/>
              </w:rPr>
              <w:t>3</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负责设备操作及管理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4</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维修工</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2</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负责设备及车辆维修维护、保养</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站场保洁员</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2</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w:t>
            </w:r>
            <w:r>
              <w:rPr>
                <w:rFonts w:hint="eastAsia" w:ascii="宋体" w:hAnsi="宋体"/>
                <w:kern w:val="0"/>
                <w:szCs w:val="21"/>
                <w:highlight w:val="none"/>
                <w:lang w:eastAsia="zh-CN"/>
              </w:rPr>
              <w:t>场地</w:t>
            </w:r>
            <w:r>
              <w:rPr>
                <w:rFonts w:hint="eastAsia" w:ascii="宋体" w:hAnsi="宋体"/>
                <w:kern w:val="0"/>
                <w:szCs w:val="21"/>
                <w:highlight w:val="none"/>
              </w:rPr>
              <w:t>卫生</w:t>
            </w:r>
            <w:r>
              <w:rPr>
                <w:rFonts w:hint="eastAsia" w:ascii="宋体" w:hAnsi="宋体"/>
                <w:kern w:val="0"/>
                <w:szCs w:val="21"/>
                <w:highlight w:val="none"/>
                <w:lang w:eastAsia="zh-CN"/>
              </w:rPr>
              <w:t>及除四害</w:t>
            </w:r>
            <w:r>
              <w:rPr>
                <w:rFonts w:hint="eastAsia" w:ascii="宋体" w:hAnsi="宋体"/>
                <w:kern w:val="0"/>
                <w:szCs w:val="21"/>
                <w:highlight w:val="none"/>
              </w:rPr>
              <w:t>管理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门卫值保员</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lang w:val="en-US" w:eastAsia="zh-CN"/>
              </w:rPr>
              <w:t>2</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负责</w:t>
            </w:r>
            <w:r>
              <w:rPr>
                <w:rFonts w:hint="eastAsia" w:ascii="宋体" w:hAnsi="宋体"/>
                <w:kern w:val="0"/>
                <w:szCs w:val="21"/>
                <w:highlight w:val="none"/>
                <w:lang w:eastAsia="zh-CN"/>
              </w:rPr>
              <w:t>场地</w:t>
            </w:r>
            <w:r>
              <w:rPr>
                <w:rFonts w:hint="eastAsia" w:ascii="宋体" w:hAnsi="宋体"/>
                <w:kern w:val="0"/>
                <w:szCs w:val="21"/>
                <w:highlight w:val="none"/>
              </w:rPr>
              <w:t>进出安全管理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rPr>
              <w:t>作业司机</w:t>
            </w: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lang w:val="en-US" w:eastAsia="zh-CN"/>
              </w:rPr>
              <w:t>7</w:t>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r>
              <w:rPr>
                <w:rFonts w:hint="eastAsia" w:ascii="宋体" w:hAnsi="宋体"/>
                <w:kern w:val="0"/>
                <w:szCs w:val="21"/>
                <w:highlight w:val="none"/>
                <w:lang w:eastAsia="zh-CN"/>
              </w:rPr>
              <w:t>负责驾驶运输车辆、铲车</w:t>
            </w:r>
            <w:r>
              <w:rPr>
                <w:rFonts w:hint="eastAsia" w:ascii="宋体" w:hAnsi="宋体"/>
                <w:kern w:val="0"/>
                <w:szCs w:val="21"/>
                <w:highlight w:val="none"/>
              </w:rPr>
              <w:t>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Theme="minorEastAsia" w:cstheme="minorBidi"/>
                <w:kern w:val="0"/>
                <w:sz w:val="21"/>
                <w:szCs w:val="21"/>
                <w:highlight w:val="none"/>
                <w:lang w:val="en-US" w:eastAsia="zh-CN" w:bidi="ar-SA"/>
              </w:rPr>
            </w:pP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eastAsiaTheme="minorEastAsia" w:cstheme="minorBidi"/>
                <w:kern w:val="0"/>
                <w:sz w:val="21"/>
                <w:szCs w:val="21"/>
                <w:highlight w:val="none"/>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shd w:val="clear" w:color="auto" w:fill="auto"/>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合计</w:t>
            </w:r>
          </w:p>
        </w:tc>
        <w:tc>
          <w:tcPr>
            <w:tcW w:w="340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kern w:val="0"/>
                <w:szCs w:val="21"/>
                <w:highlight w:val="none"/>
              </w:rPr>
            </w:pPr>
          </w:p>
        </w:tc>
        <w:tc>
          <w:tcPr>
            <w:tcW w:w="138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宋体" w:hAnsi="宋体" w:cs="Times New Roman"/>
                <w:kern w:val="0"/>
                <w:szCs w:val="21"/>
                <w:highlight w:val="none"/>
                <w:lang w:val="en-US" w:eastAsia="zh-CN"/>
              </w:rPr>
            </w:pPr>
            <w:r>
              <w:rPr>
                <w:rFonts w:hint="default" w:ascii="宋体" w:hAnsi="宋体" w:cs="Times New Roman"/>
                <w:kern w:val="0"/>
                <w:szCs w:val="21"/>
                <w:highlight w:val="none"/>
                <w:lang w:val="en-US" w:eastAsia="zh-CN"/>
              </w:rPr>
              <w:fldChar w:fldCharType="begin"/>
            </w:r>
            <w:r>
              <w:rPr>
                <w:rFonts w:hint="default" w:ascii="宋体" w:hAnsi="宋体" w:cs="Times New Roman"/>
                <w:kern w:val="0"/>
                <w:szCs w:val="21"/>
                <w:highlight w:val="none"/>
                <w:lang w:val="en-US" w:eastAsia="zh-CN"/>
              </w:rPr>
              <w:instrText xml:space="preserve"> = sum(C2:C9) \* MERGEFORMAT </w:instrText>
            </w:r>
            <w:r>
              <w:rPr>
                <w:rFonts w:hint="default" w:ascii="宋体" w:hAnsi="宋体" w:cs="Times New Roman"/>
                <w:kern w:val="0"/>
                <w:szCs w:val="21"/>
                <w:highlight w:val="none"/>
                <w:lang w:val="en-US" w:eastAsia="zh-CN"/>
              </w:rPr>
              <w:fldChar w:fldCharType="separate"/>
            </w:r>
            <w:r>
              <w:rPr>
                <w:rFonts w:hint="default" w:ascii="宋体" w:hAnsi="宋体" w:cs="Times New Roman"/>
                <w:kern w:val="0"/>
                <w:szCs w:val="21"/>
                <w:highlight w:val="none"/>
                <w:lang w:val="en-US" w:eastAsia="zh-CN"/>
              </w:rPr>
              <w:t>18</w:t>
            </w:r>
            <w:r>
              <w:rPr>
                <w:rFonts w:hint="default" w:ascii="宋体" w:hAnsi="宋体" w:cs="Times New Roman"/>
                <w:kern w:val="0"/>
                <w:szCs w:val="21"/>
                <w:highlight w:val="none"/>
                <w:lang w:val="en-US" w:eastAsia="zh-CN"/>
              </w:rPr>
              <w:fldChar w:fldCharType="end"/>
            </w:r>
          </w:p>
        </w:tc>
        <w:tc>
          <w:tcPr>
            <w:tcW w:w="34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宋体" w:hAnsi="宋体"/>
                <w:kern w:val="0"/>
                <w:szCs w:val="21"/>
                <w:highlight w:val="none"/>
              </w:rPr>
            </w:pPr>
          </w:p>
        </w:tc>
      </w:tr>
    </w:tbl>
    <w:p>
      <w:pPr>
        <w:spacing w:line="360" w:lineRule="auto"/>
        <w:ind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备注：在项目运行中人员不足部分由中标人自行增设，费用自负。中标人必须健全作业质量管理队伍的使用、监督机制，要做到分工明确、责任到人，管理制度、管理人员分工及工作方案需报采购人备案。</w:t>
      </w:r>
    </w:p>
    <w:p>
      <w:pPr>
        <w:spacing w:line="360" w:lineRule="auto"/>
        <w:ind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9.2中标人需提供的车辆及垃圾压缩箱、机械设备、设施等。</w:t>
      </w:r>
    </w:p>
    <w:p>
      <w:pPr>
        <w:adjustRightInd w:val="0"/>
        <w:snapToGrid w:val="0"/>
        <w:spacing w:line="360" w:lineRule="auto"/>
        <w:ind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投标人应承诺在签订合同前配备完毕《配置的主要车辆及配套设施清单》，签订合同后</w:t>
      </w:r>
      <w:r>
        <w:rPr>
          <w:rFonts w:hint="eastAsia" w:ascii="宋体" w:hAnsi="宋体" w:eastAsia="宋体" w:cs="宋体"/>
          <w:color w:val="auto"/>
          <w:sz w:val="21"/>
          <w:szCs w:val="21"/>
          <w:highlight w:val="none"/>
          <w:lang w:val="en-US" w:eastAsia="zh-CN"/>
        </w:rPr>
        <w:t>60日内</w:t>
      </w:r>
      <w:r>
        <w:rPr>
          <w:rFonts w:hint="eastAsia" w:ascii="宋体" w:hAnsi="宋体" w:eastAsia="宋体" w:cs="宋体"/>
          <w:color w:val="auto"/>
          <w:sz w:val="21"/>
          <w:szCs w:val="21"/>
          <w:highlight w:val="none"/>
          <w:lang w:eastAsia="zh-CN"/>
        </w:rPr>
        <w:t>配备好《配置的主要设施设备清单》及投标文件中承诺投入的设备，经采购人验收合格后投入使用，并提供设备购买发票或项目服务期内的租赁合同等资料给采购人审核确认。</w:t>
      </w:r>
    </w:p>
    <w:p>
      <w:pPr>
        <w:adjustRightInd w:val="0"/>
        <w:snapToGrid w:val="0"/>
        <w:spacing w:line="360" w:lineRule="auto"/>
        <w:ind w:right="420" w:right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color w:val="auto"/>
          <w:sz w:val="21"/>
          <w:szCs w:val="21"/>
          <w:highlight w:val="none"/>
          <w:lang w:eastAsia="zh-CN"/>
        </w:rPr>
        <w:t>配置的主要车辆及配套设施清单</w:t>
      </w:r>
    </w:p>
    <w:tbl>
      <w:tblPr>
        <w:tblStyle w:val="16"/>
        <w:tblW w:w="892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3403"/>
        <w:gridCol w:w="1380"/>
        <w:gridCol w:w="3421"/>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序号</w:t>
            </w:r>
          </w:p>
        </w:tc>
        <w:tc>
          <w:tcPr>
            <w:tcW w:w="3403"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107" w:rightChars="-51"/>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主要车辆及配套设施</w:t>
            </w:r>
          </w:p>
        </w:tc>
        <w:tc>
          <w:tcPr>
            <w:tcW w:w="1380"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61" w:rightChars="29"/>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配置数量</w:t>
            </w:r>
          </w:p>
        </w:tc>
        <w:tc>
          <w:tcPr>
            <w:tcW w:w="3421"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90" w:rightChars="-43"/>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基本配置要求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p>
        </w:tc>
        <w:tc>
          <w:tcPr>
            <w:tcW w:w="34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车厢可卸式垃圾勾臂车</w:t>
            </w:r>
          </w:p>
        </w:tc>
        <w:tc>
          <w:tcPr>
            <w:tcW w:w="13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cs="宋体"/>
                <w:sz w:val="21"/>
                <w:szCs w:val="21"/>
                <w:vertAlign w:val="baseline"/>
                <w:lang w:val="en-US" w:eastAsia="zh-CN"/>
              </w:rPr>
              <w:t>6</w:t>
            </w:r>
            <w:r>
              <w:rPr>
                <w:rFonts w:hint="eastAsia" w:ascii="宋体" w:hAnsi="宋体" w:eastAsia="宋体" w:cs="宋体"/>
                <w:sz w:val="21"/>
                <w:szCs w:val="21"/>
                <w:vertAlign w:val="baseline"/>
                <w:lang w:val="en-US" w:eastAsia="zh-CN"/>
              </w:rPr>
              <w:t>台</w:t>
            </w:r>
          </w:p>
        </w:tc>
        <w:tc>
          <w:tcPr>
            <w:tcW w:w="3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总质量31吨以上</w:t>
            </w:r>
            <w:r>
              <w:rPr>
                <w:rFonts w:hint="eastAsia" w:ascii="宋体" w:hAnsi="宋体" w:cs="宋体"/>
                <w:sz w:val="21"/>
                <w:szCs w:val="21"/>
                <w:vertAlign w:val="baseline"/>
                <w:lang w:val="en-US" w:eastAsia="zh-CN"/>
              </w:rPr>
              <w:t>，绿色车身</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2</w:t>
            </w:r>
          </w:p>
        </w:tc>
        <w:tc>
          <w:tcPr>
            <w:tcW w:w="34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铲车</w:t>
            </w:r>
          </w:p>
        </w:tc>
        <w:tc>
          <w:tcPr>
            <w:tcW w:w="13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cs="宋体"/>
                <w:sz w:val="21"/>
                <w:szCs w:val="21"/>
                <w:vertAlign w:val="baseline"/>
                <w:lang w:val="en-US" w:eastAsia="zh-CN"/>
              </w:rPr>
              <w:t>1</w:t>
            </w:r>
            <w:r>
              <w:rPr>
                <w:rFonts w:hint="eastAsia" w:ascii="宋体" w:hAnsi="宋体" w:eastAsia="宋体" w:cs="宋体"/>
                <w:sz w:val="21"/>
                <w:szCs w:val="21"/>
                <w:vertAlign w:val="baseline"/>
                <w:lang w:val="en-US" w:eastAsia="zh-CN"/>
              </w:rPr>
              <w:t>台</w:t>
            </w:r>
          </w:p>
        </w:tc>
        <w:tc>
          <w:tcPr>
            <w:tcW w:w="3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vertAlign w:val="baseline"/>
                <w:lang w:val="en-US" w:eastAsia="zh-CN"/>
              </w:rPr>
              <w:t>铲容量2m³或以上</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p>
        </w:tc>
        <w:tc>
          <w:tcPr>
            <w:tcW w:w="34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密闭式垃圾箱（配套项目压缩站）</w:t>
            </w:r>
          </w:p>
        </w:tc>
        <w:tc>
          <w:tcPr>
            <w:tcW w:w="13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7只</w:t>
            </w:r>
          </w:p>
        </w:tc>
        <w:tc>
          <w:tcPr>
            <w:tcW w:w="3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有效容积2</w:t>
            </w:r>
            <w:r>
              <w:rPr>
                <w:rFonts w:hint="eastAsia" w:ascii="宋体" w:hAnsi="宋体" w:cs="宋体"/>
                <w:sz w:val="21"/>
                <w:szCs w:val="21"/>
                <w:vertAlign w:val="baseline"/>
                <w:lang w:val="en-US" w:eastAsia="zh-CN"/>
              </w:rPr>
              <w:t>8</w:t>
            </w:r>
            <w:r>
              <w:rPr>
                <w:rFonts w:hint="eastAsia" w:ascii="宋体" w:hAnsi="宋体" w:eastAsia="宋体" w:cs="宋体"/>
                <w:sz w:val="21"/>
                <w:szCs w:val="21"/>
                <w:vertAlign w:val="baseline"/>
                <w:lang w:val="en-US" w:eastAsia="zh-CN"/>
              </w:rPr>
              <w:t>m3以上</w:t>
            </w:r>
            <w:r>
              <w:rPr>
                <w:rFonts w:hint="eastAsia" w:ascii="宋体" w:hAnsi="宋体" w:cs="宋体"/>
                <w:sz w:val="21"/>
                <w:szCs w:val="21"/>
                <w:vertAlign w:val="baseline"/>
                <w:lang w:val="en-US" w:eastAsia="zh-CN"/>
              </w:rPr>
              <w:t>，绿色外观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w:t>
            </w:r>
          </w:p>
        </w:tc>
        <w:tc>
          <w:tcPr>
            <w:tcW w:w="3403"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厨余垃圾</w:t>
            </w:r>
            <w:r>
              <w:rPr>
                <w:rFonts w:hint="eastAsia" w:ascii="宋体" w:hAnsi="宋体" w:cs="宋体"/>
                <w:sz w:val="21"/>
                <w:szCs w:val="21"/>
                <w:vertAlign w:val="baseline"/>
                <w:lang w:val="en-US" w:eastAsia="zh-CN"/>
              </w:rPr>
              <w:t>专用</w:t>
            </w:r>
            <w:r>
              <w:rPr>
                <w:rFonts w:hint="eastAsia" w:ascii="宋体" w:hAnsi="宋体" w:eastAsia="宋体" w:cs="宋体"/>
                <w:sz w:val="21"/>
                <w:szCs w:val="21"/>
                <w:vertAlign w:val="baseline"/>
                <w:lang w:val="en-US" w:eastAsia="zh-CN"/>
              </w:rPr>
              <w:t>密闭运输箱体</w:t>
            </w:r>
          </w:p>
        </w:tc>
        <w:tc>
          <w:tcPr>
            <w:tcW w:w="138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vertAlign w:val="baseline"/>
                <w:lang w:val="en-US" w:eastAsia="zh-CN"/>
              </w:rPr>
              <w:t>1只</w:t>
            </w:r>
          </w:p>
        </w:tc>
        <w:tc>
          <w:tcPr>
            <w:tcW w:w="342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sz w:val="21"/>
                <w:szCs w:val="21"/>
                <w:highlight w:val="none"/>
                <w:vertAlign w:val="baseline"/>
                <w:lang w:val="en-US" w:eastAsia="zh-CN"/>
              </w:rPr>
              <w:t>有效容积2</w:t>
            </w:r>
            <w:r>
              <w:rPr>
                <w:rFonts w:hint="eastAsia" w:ascii="宋体" w:hAnsi="宋体" w:cs="宋体"/>
                <w:sz w:val="21"/>
                <w:szCs w:val="21"/>
                <w:highlight w:val="none"/>
                <w:vertAlign w:val="baseline"/>
                <w:lang w:val="en-US" w:eastAsia="zh-CN"/>
              </w:rPr>
              <w:t>8</w:t>
            </w:r>
            <w:r>
              <w:rPr>
                <w:rFonts w:hint="eastAsia" w:ascii="宋体" w:hAnsi="宋体" w:eastAsia="宋体" w:cs="宋体"/>
                <w:sz w:val="21"/>
                <w:szCs w:val="21"/>
                <w:highlight w:val="none"/>
                <w:vertAlign w:val="baseline"/>
                <w:lang w:val="en-US" w:eastAsia="zh-CN"/>
              </w:rPr>
              <w:t>m3以上</w:t>
            </w:r>
            <w:r>
              <w:rPr>
                <w:rFonts w:hint="eastAsia" w:ascii="宋体" w:hAnsi="宋体" w:cs="宋体"/>
                <w:sz w:val="21"/>
                <w:szCs w:val="21"/>
                <w:highlight w:val="none"/>
                <w:vertAlign w:val="baseline"/>
                <w:lang w:val="en-US" w:eastAsia="zh-CN"/>
              </w:rPr>
              <w:t>，绿色外观</w:t>
            </w:r>
          </w:p>
        </w:tc>
      </w:tr>
    </w:tbl>
    <w:p>
      <w:pPr>
        <w:adjustRightInd w:val="0"/>
        <w:snapToGrid w:val="0"/>
        <w:spacing w:line="360" w:lineRule="auto"/>
        <w:ind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备注：上表所列车辆类型和数量为最低配备要求，在项目运行中不足部分由中标人自行添置。</w:t>
      </w:r>
    </w:p>
    <w:p>
      <w:pPr>
        <w:adjustRightInd w:val="0"/>
        <w:snapToGrid w:val="0"/>
        <w:spacing w:line="360" w:lineRule="auto"/>
        <w:ind w:right="420" w:rightChars="200"/>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配置的主要设施设备清单</w:t>
      </w:r>
    </w:p>
    <w:tbl>
      <w:tblPr>
        <w:tblStyle w:val="16"/>
        <w:tblW w:w="90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874"/>
        <w:gridCol w:w="1138"/>
        <w:gridCol w:w="519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序号</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eastAsia="zh-CN"/>
              </w:rPr>
              <w:t>设施</w:t>
            </w:r>
            <w:r>
              <w:rPr>
                <w:rFonts w:hint="eastAsia" w:ascii="宋体" w:hAnsi="宋体" w:eastAsia="宋体" w:cs="宋体"/>
                <w:b/>
                <w:color w:val="auto"/>
                <w:sz w:val="21"/>
                <w:szCs w:val="21"/>
                <w:highlight w:val="none"/>
              </w:rPr>
              <w:t>设备名称</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配置数量</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基本配置要求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污水处理设备</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（套）</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日处理量</w:t>
            </w:r>
            <w:r>
              <w:rPr>
                <w:rFonts w:hint="eastAsia" w:ascii="宋体" w:hAnsi="宋体" w:cs="宋体"/>
                <w:color w:val="auto"/>
                <w:sz w:val="21"/>
                <w:szCs w:val="21"/>
                <w:highlight w:val="none"/>
                <w:lang w:val="en-US" w:eastAsia="zh-CN"/>
              </w:rPr>
              <w:t>40</w:t>
            </w:r>
            <w:r>
              <w:rPr>
                <w:rFonts w:hint="eastAsia" w:ascii="宋体" w:hAnsi="宋体" w:eastAsia="宋体" w:cs="宋体"/>
                <w:color w:val="auto"/>
                <w:sz w:val="21"/>
                <w:szCs w:val="21"/>
                <w:highlight w:val="none"/>
                <w:lang w:eastAsia="zh-CN"/>
              </w:rPr>
              <w:t>吨以上，符合环保排放标准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废气负压处理设备</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（套）</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满足废气处理量需求，包括除臭喷淋系统，排放标准达到相关环保要求，</w:t>
            </w:r>
            <w:r>
              <w:rPr>
                <w:rFonts w:hint="eastAsia" w:ascii="宋体" w:hAnsi="宋体" w:eastAsia="宋体" w:cs="宋体"/>
                <w:color w:val="auto"/>
                <w:sz w:val="21"/>
                <w:szCs w:val="21"/>
                <w:highlight w:val="none"/>
                <w:lang w:eastAsia="zh-CN" w:bidi="ar"/>
              </w:rPr>
              <w:t>每小时风量为40000风量负压设备</w:t>
            </w:r>
            <w:r>
              <w:rPr>
                <w:rFonts w:hint="eastAsia" w:ascii="宋体" w:hAnsi="宋体" w:eastAsia="宋体" w:cs="宋体"/>
                <w:color w:val="auto"/>
                <w:sz w:val="21"/>
                <w:szCs w:val="21"/>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翻新改造</w:t>
            </w:r>
            <w:r>
              <w:rPr>
                <w:rFonts w:hint="eastAsia" w:ascii="宋体" w:hAnsi="宋体" w:cs="宋体"/>
                <w:color w:val="auto"/>
                <w:sz w:val="21"/>
                <w:szCs w:val="21"/>
                <w:highlight w:val="none"/>
                <w:lang w:eastAsia="zh-CN"/>
              </w:rPr>
              <w:t>车间</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1（项）</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bidi="ar"/>
              </w:rPr>
              <w:t>更换原厂房顶部及四侧彩瓦，增加工字钢加固厂房四周、厂房四周建排水沟，做好污水污泥收集、地面做自留平，面刷地坪漆，做好防渗工作。</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翻新改造站场地面及污水收集设施</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bidi="ar"/>
              </w:rPr>
              <w:t>地面改造不少于1600平方米，重新铺设暗管用于场地污水收集，修复塌陷下陷地面确保场地平整，根据使用功能分区划设标线。</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地磅监控系统升级改造</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val="en-US" w:eastAsia="zh-CN" w:bidi="ar"/>
              </w:rPr>
            </w:pPr>
            <w:r>
              <w:rPr>
                <w:rFonts w:hint="eastAsia" w:ascii="宋体" w:hAnsi="宋体" w:eastAsia="宋体" w:cs="宋体"/>
                <w:color w:val="auto"/>
                <w:sz w:val="21"/>
                <w:szCs w:val="21"/>
                <w:highlight w:val="none"/>
                <w:lang w:eastAsia="zh-CN"/>
              </w:rPr>
              <w:t>升级智能称重监控系统，使其具备车牌识别、读写电子标签、红外限位、过磅抓拍、语音播报、道闸控制、红绿灯指示、报表汇总等功能。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6"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874"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视频监控系统</w:t>
            </w:r>
          </w:p>
        </w:tc>
        <w:tc>
          <w:tcPr>
            <w:tcW w:w="1138"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1（项）</w:t>
            </w:r>
          </w:p>
        </w:tc>
        <w:tc>
          <w:tcPr>
            <w:tcW w:w="5192" w:type="dxa"/>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配置</w:t>
            </w:r>
            <w:r>
              <w:rPr>
                <w:rFonts w:hint="default" w:ascii="宋体" w:hAnsi="宋体" w:eastAsia="宋体" w:cs="宋体"/>
                <w:color w:val="auto"/>
                <w:sz w:val="21"/>
                <w:szCs w:val="21"/>
                <w:highlight w:val="none"/>
                <w:lang w:val="en-US" w:eastAsia="zh-CN"/>
              </w:rPr>
              <w:t>高清网络红外一体枪式摄像机</w:t>
            </w:r>
            <w:r>
              <w:rPr>
                <w:rFonts w:hint="eastAsia" w:ascii="宋体" w:hAnsi="宋体" w:eastAsia="宋体" w:cs="宋体"/>
                <w:color w:val="auto"/>
                <w:sz w:val="21"/>
                <w:szCs w:val="21"/>
                <w:highlight w:val="none"/>
                <w:lang w:val="en-US" w:eastAsia="zh-CN"/>
              </w:rPr>
              <w:t>16台，</w:t>
            </w:r>
            <w:r>
              <w:rPr>
                <w:rFonts w:hint="default" w:ascii="宋体" w:hAnsi="宋体" w:eastAsia="宋体" w:cs="宋体"/>
                <w:color w:val="auto"/>
                <w:sz w:val="21"/>
                <w:szCs w:val="21"/>
                <w:highlight w:val="none"/>
                <w:lang w:val="en-US" w:eastAsia="zh-CN"/>
              </w:rPr>
              <w:t>16口千兆交换机</w:t>
            </w:r>
            <w:r>
              <w:rPr>
                <w:rFonts w:hint="eastAsia" w:ascii="宋体" w:hAnsi="宋体" w:eastAsia="宋体" w:cs="宋体"/>
                <w:color w:val="auto"/>
                <w:sz w:val="21"/>
                <w:szCs w:val="21"/>
                <w:highlight w:val="none"/>
                <w:lang w:val="en-US" w:eastAsia="zh-CN"/>
              </w:rPr>
              <w:t>1台，</w:t>
            </w:r>
            <w:r>
              <w:rPr>
                <w:rFonts w:hint="default" w:ascii="宋体" w:hAnsi="宋体" w:eastAsia="宋体" w:cs="宋体"/>
                <w:color w:val="auto"/>
                <w:sz w:val="21"/>
                <w:szCs w:val="21"/>
                <w:highlight w:val="none"/>
                <w:lang w:val="en-US" w:eastAsia="zh-CN"/>
              </w:rPr>
              <w:t>4+2口POE供电</w:t>
            </w:r>
            <w:r>
              <w:rPr>
                <w:rFonts w:hint="eastAsia" w:ascii="宋体" w:hAnsi="宋体" w:eastAsia="宋体" w:cs="宋体"/>
                <w:color w:val="auto"/>
                <w:sz w:val="21"/>
                <w:szCs w:val="21"/>
                <w:highlight w:val="none"/>
                <w:lang w:val="en-US" w:eastAsia="zh-CN"/>
              </w:rPr>
              <w:t>交换机3台，75英寸网络监控屏1块，配套线路、支架、</w:t>
            </w:r>
            <w:r>
              <w:rPr>
                <w:rFonts w:hint="eastAsia" w:ascii="宋体" w:hAnsi="宋体" w:eastAsia="宋体" w:cs="宋体"/>
                <w:color w:val="auto"/>
                <w:kern w:val="2"/>
                <w:sz w:val="21"/>
                <w:szCs w:val="21"/>
                <w:highlight w:val="none"/>
              </w:rPr>
              <w:t>网络监控主机</w:t>
            </w:r>
            <w:r>
              <w:rPr>
                <w:rFonts w:hint="eastAsia" w:ascii="宋体" w:hAnsi="宋体" w:eastAsia="宋体" w:cs="宋体"/>
                <w:color w:val="auto"/>
                <w:kern w:val="2"/>
                <w:sz w:val="21"/>
                <w:szCs w:val="21"/>
                <w:highlight w:val="none"/>
                <w:lang w:eastAsia="zh-CN"/>
              </w:rPr>
              <w:t>及专用硬盘（存储</w:t>
            </w:r>
            <w:r>
              <w:rPr>
                <w:rFonts w:hint="eastAsia" w:ascii="宋体" w:hAnsi="宋体" w:eastAsia="宋体" w:cs="宋体"/>
                <w:color w:val="auto"/>
                <w:kern w:val="2"/>
                <w:sz w:val="21"/>
                <w:szCs w:val="21"/>
                <w:highlight w:val="none"/>
                <w:lang w:val="en-US" w:eastAsia="zh-CN"/>
              </w:rPr>
              <w:t>30天录像</w:t>
            </w:r>
            <w:r>
              <w:rPr>
                <w:rFonts w:hint="eastAsia" w:ascii="宋体" w:hAnsi="宋体" w:eastAsia="宋体" w:cs="宋体"/>
                <w:color w:val="auto"/>
                <w:kern w:val="2"/>
                <w:sz w:val="21"/>
                <w:szCs w:val="21"/>
                <w:highlight w:val="none"/>
                <w:lang w:eastAsia="zh-CN"/>
              </w:rPr>
              <w:t>）。</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000"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1"/>
                <w:szCs w:val="21"/>
                <w:highlight w:val="none"/>
                <w:lang w:val="en-US" w:eastAsia="zh-CN"/>
              </w:rPr>
            </w:pPr>
            <w:r>
              <w:rPr>
                <w:rFonts w:ascii="宋体" w:hAnsi="宋体" w:cs="宋体"/>
                <w:color w:val="000000" w:themeColor="text1"/>
                <w:szCs w:val="21"/>
                <w:highlight w:val="none"/>
                <w14:textFill>
                  <w14:solidFill>
                    <w14:schemeClr w14:val="tx1"/>
                  </w14:solidFill>
                </w14:textFill>
              </w:rPr>
              <w:t>注：上述</w:t>
            </w:r>
            <w:r>
              <w:rPr>
                <w:rFonts w:hint="eastAsia" w:ascii="宋体" w:hAnsi="宋体" w:cs="宋体"/>
                <w:color w:val="000000" w:themeColor="text1"/>
                <w:szCs w:val="21"/>
                <w:highlight w:val="none"/>
                <w:lang w:eastAsia="zh-CN"/>
                <w14:textFill>
                  <w14:solidFill>
                    <w14:schemeClr w14:val="tx1"/>
                  </w14:solidFill>
                </w14:textFill>
              </w:rPr>
              <w:t>设施设备</w:t>
            </w:r>
            <w:r>
              <w:rPr>
                <w:rFonts w:ascii="宋体" w:hAnsi="宋体" w:cs="宋体"/>
                <w:color w:val="000000" w:themeColor="text1"/>
                <w:szCs w:val="21"/>
                <w:highlight w:val="none"/>
                <w14:textFill>
                  <w14:solidFill>
                    <w14:schemeClr w14:val="tx1"/>
                  </w14:solidFill>
                </w14:textFill>
              </w:rPr>
              <w:t>由</w:t>
            </w:r>
            <w:r>
              <w:rPr>
                <w:rFonts w:hint="eastAsia" w:ascii="宋体" w:hAnsi="宋体" w:cs="宋体"/>
                <w:color w:val="000000" w:themeColor="text1"/>
                <w:szCs w:val="21"/>
                <w:highlight w:val="none"/>
                <w:lang w:eastAsia="zh-CN"/>
                <w14:textFill>
                  <w14:solidFill>
                    <w14:schemeClr w14:val="tx1"/>
                  </w14:solidFill>
                </w14:textFill>
              </w:rPr>
              <w:t>中标</w:t>
            </w:r>
            <w:r>
              <w:rPr>
                <w:rFonts w:ascii="宋体" w:hAnsi="宋体" w:cs="宋体"/>
                <w:color w:val="000000" w:themeColor="text1"/>
                <w:szCs w:val="21"/>
                <w:highlight w:val="none"/>
                <w14:textFill>
                  <w14:solidFill>
                    <w14:schemeClr w14:val="tx1"/>
                  </w14:solidFill>
                </w14:textFill>
              </w:rPr>
              <w:t>人投入建设</w:t>
            </w:r>
            <w:r>
              <w:rPr>
                <w:rFonts w:hint="eastAsia" w:ascii="宋体" w:hAnsi="宋体" w:cs="宋体"/>
                <w:color w:val="000000" w:themeColor="text1"/>
                <w:szCs w:val="21"/>
                <w:highlight w:val="none"/>
                <w:lang w:eastAsia="zh-CN"/>
                <w14:textFill>
                  <w14:solidFill>
                    <w14:schemeClr w14:val="tx1"/>
                  </w14:solidFill>
                </w14:textFill>
              </w:rPr>
              <w:t>。投入运营后，上述设备配置不满足日常工作要求，由中标人负责投入补充完善的设备量。</w:t>
            </w:r>
            <w:r>
              <w:rPr>
                <w:rFonts w:ascii="宋体" w:hAnsi="宋体" w:cs="宋体"/>
                <w:color w:val="000000" w:themeColor="text1"/>
                <w:szCs w:val="21"/>
                <w:highlight w:val="none"/>
                <w14:textFill>
                  <w14:solidFill>
                    <w14:schemeClr w14:val="tx1"/>
                  </w14:solidFill>
                </w14:textFill>
              </w:rPr>
              <w:t>服务期完结后，上述设备产权归</w:t>
            </w:r>
            <w:r>
              <w:rPr>
                <w:rFonts w:hint="eastAsia" w:ascii="宋体" w:hAnsi="宋体" w:cs="宋体"/>
                <w:color w:val="000000" w:themeColor="text1"/>
                <w:szCs w:val="21"/>
                <w:highlight w:val="none"/>
                <w:lang w:eastAsia="zh-CN"/>
                <w14:textFill>
                  <w14:solidFill>
                    <w14:schemeClr w14:val="tx1"/>
                  </w14:solidFill>
                </w14:textFill>
              </w:rPr>
              <w:t>采购人</w:t>
            </w:r>
            <w:r>
              <w:rPr>
                <w:rFonts w:ascii="宋体" w:hAnsi="宋体" w:cs="宋体"/>
                <w:color w:val="000000" w:themeColor="text1"/>
                <w:szCs w:val="21"/>
                <w:highlight w:val="none"/>
                <w14:textFill>
                  <w14:solidFill>
                    <w14:schemeClr w14:val="tx1"/>
                  </w14:solidFill>
                </w14:textFill>
              </w:rPr>
              <w:t>所有。</w:t>
            </w:r>
          </w:p>
        </w:tc>
      </w:tr>
    </w:tbl>
    <w:p>
      <w:pPr>
        <w:adjustRightInd w:val="0"/>
        <w:snapToGrid w:val="0"/>
        <w:spacing w:line="360" w:lineRule="auto"/>
        <w:ind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备注：在项目运行中不足部分由中标人自行添置。</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垃圾中转站的运营维护</w:t>
      </w:r>
    </w:p>
    <w:p>
      <w:pPr>
        <w:numPr>
          <w:ilvl w:val="0"/>
          <w:numId w:val="3"/>
        </w:numPr>
        <w:spacing w:line="360" w:lineRule="auto"/>
        <w:ind w:left="425" w:leftChars="0" w:right="420" w:rightChars="200" w:hanging="425"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人免费提供镇垃圾中转站，中标人负责对垃圾站进行运营管理，项目所需要的生产、生活设备由中标人自行添置需要改动现有建筑物和设备，须经采购人书面同意后实施，服务期限结束后移交给采购人；中标人自行承担生产车间、办公室、员工宿舍、保安亭等站场配套设施的水电费。</w:t>
      </w:r>
    </w:p>
    <w:p>
      <w:pPr>
        <w:numPr>
          <w:ilvl w:val="0"/>
          <w:numId w:val="3"/>
        </w:numPr>
        <w:spacing w:line="360" w:lineRule="auto"/>
        <w:ind w:left="425" w:leftChars="0" w:right="420" w:rightChars="200" w:hanging="425"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对管辖范围内经前端收集的城市生活垃圾（除渣土余泥、建筑垃圾、工业垃圾（一般工业固体废物）、绿化垃圾，剧毒、易燃易爆、医疗等有危险性的特种垃圾外）进行分选处理，转运组团基地途中实施对环境保护、公众利益保护的全部措施。中标人对各村居、物业小区的垃圾进场加强管理监控，以采购人为指导规范准入。</w:t>
      </w:r>
    </w:p>
    <w:p>
      <w:pPr>
        <w:numPr>
          <w:ilvl w:val="0"/>
          <w:numId w:val="3"/>
        </w:numPr>
        <w:spacing w:line="360" w:lineRule="auto"/>
        <w:ind w:left="425" w:leftChars="0" w:right="420" w:rightChars="200" w:hanging="425"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安全责任</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中标人在服务经营期限内所发生的一切安全责任（包括人身安全及财产安全等），全部由中标人承担，与采购人无关。</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垃圾中转站的移交</w:t>
      </w:r>
    </w:p>
    <w:p>
      <w:pPr>
        <w:spacing w:line="360" w:lineRule="auto"/>
        <w:ind w:left="0" w:leftChars="0"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合同期满后，中转站的建筑物、构筑物以及站内一切设施设备等归采购人所有，中标人做好相关移交手续并保证设备正常运转，包括移交技术资料、指导操作方法等。</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其它要求</w:t>
      </w:r>
    </w:p>
    <w:p>
      <w:pPr>
        <w:spacing w:line="360" w:lineRule="auto"/>
        <w:ind w:left="0" w:leftChars="0" w:right="420" w:rightChars="20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需要的一切车辆、压缩箱以及其它设备、工具由中标人负责配备并进行管理、维修等，车辆年审、车辆保险及其相关费用均应由中标人负责。中标人的办公场地、工具、车辆存放地和员工住所自行解决。中标人负责作业所需要的一切费用（包括人员和设备的投入、燃油费、工资、保险费、社保费、设备的添置更新及维护等）。采购人除按合同约定支付服务费外，不再支付其他费用，所有安全责任由中标人负责。</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须为投入运营的运输车辆及人员购买足额的相关保险，做好相关作业安全工作，并承担在合同服务期内发生的一切责任及事故赔偿。中标人所聘用的工作人员与采购人不存在劳动雇佣关系。承包期间内中标人工作人员必须遵守采购人的有关管理规定，并按有关国家安全操作规定进行作业。中标人人员如有违纪违法或发生工伤死亡、意外事故等一切经济和法律责任由中标人自行负责，与采购人无关。</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如果发现中标人有虚假行为，采购人有权解除合同并没收其全部履约保证金，同时报监管部门依法处理。</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配合做好各级环卫管理部门的检查工作，包括但不限于提供相关日常台账。</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为保证正常运作，中标人需配备充足的垃圾运输车以及挖掘机、大型铲运机、压缩箱等机械设备，实现垃圾站场的垃圾日产日清。</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设备车辆须放置到指定的地方，不得乱停乱放，影响行人及交通安全。</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采购人对中标人的管理服务方案有审核权，中标人在实施前要报告采购人。</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在处理特殊事件和紧急、突发事故时，采购人对中标人的工作人员有直接指挥权。</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中标人各类管理人员按岗位着装要求统一，言行规范，要注意仪容仪表，公众形象。</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中标人在做好本职工作的同时，有责任向采购人提供合理化建议，以提高管理效率和管理质量。</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中标人必须做到下述各点，否则由此所发生的各类纠纷由中标人自行承担，并负相应的经济和法律责任：</w:t>
      </w:r>
    </w:p>
    <w:p>
      <w:pPr>
        <w:numPr>
          <w:ilvl w:val="0"/>
          <w:numId w:val="4"/>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员工进入工作期间，必须遵守国家法律法规和相关的规章制度，切实履行相关的工作制度和职责。</w:t>
      </w:r>
    </w:p>
    <w:p>
      <w:pPr>
        <w:numPr>
          <w:ilvl w:val="0"/>
          <w:numId w:val="4"/>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负责对其员工进行上岗培训、安全生产教育，提供的服务人员必须经过训练合格后才可安排工作，对于国家规定一些特殊的工种，提供的服务人员需具有相应资格和资质。</w:t>
      </w:r>
    </w:p>
    <w:p>
      <w:pPr>
        <w:numPr>
          <w:ilvl w:val="0"/>
          <w:numId w:val="4"/>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负责办理员工的劳动用工手续、计划生育管理及工伤意外伤害事故处理。</w:t>
      </w:r>
    </w:p>
    <w:p>
      <w:pPr>
        <w:numPr>
          <w:ilvl w:val="0"/>
          <w:numId w:val="4"/>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有特殊任务时须无偿按采购人的要求完成任务。</w:t>
      </w:r>
    </w:p>
    <w:p>
      <w:pPr>
        <w:numPr>
          <w:ilvl w:val="0"/>
          <w:numId w:val="2"/>
        </w:numPr>
        <w:spacing w:line="360" w:lineRule="auto"/>
        <w:ind w:left="425" w:leftChars="0" w:right="420" w:rightChars="200" w:hanging="425" w:firstLineChars="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必须保证将生活垃圾运往市组团垃圾处理中心进行处理或经市相关部门批准前提下，依法做外运处理，不能将生活垃圾违法偷倒；中转站产生的污水、污泥合法处理，达标排放，不能违法偷倒偷排。如有发现中标人违法违规，中标人自行承担相关法律责任，采购人不承担任何责任，同时发现违法偷倒偷排，由执法部门依法处理，采购人有权终止并解除合同，不作任何补偿并全额没收中标人的履约保证金。</w:t>
      </w:r>
    </w:p>
    <w:p>
      <w:pPr>
        <w:spacing w:line="360" w:lineRule="auto"/>
        <w:ind w:right="420" w:rightChars="200" w:firstLine="422" w:firstLineChars="200"/>
        <w:rPr>
          <w:rFonts w:hint="eastAsia" w:ascii="宋体" w:hAnsi="宋体" w:eastAsia="宋体" w:cs="宋体"/>
          <w:b/>
          <w:bCs/>
          <w:color w:val="auto"/>
          <w:kern w:val="2"/>
          <w:sz w:val="21"/>
          <w:szCs w:val="21"/>
          <w:highlight w:val="none"/>
          <w:lang w:eastAsia="zh-CN"/>
        </w:rPr>
      </w:pPr>
      <w:r>
        <w:rPr>
          <w:rFonts w:hint="eastAsia" w:ascii="宋体" w:hAnsi="宋体" w:cs="宋体"/>
          <w:b/>
          <w:bCs/>
          <w:color w:val="auto"/>
          <w:kern w:val="2"/>
          <w:sz w:val="21"/>
          <w:szCs w:val="21"/>
          <w:highlight w:val="none"/>
          <w:lang w:eastAsia="zh-CN"/>
        </w:rPr>
        <w:t>三</w:t>
      </w:r>
      <w:r>
        <w:rPr>
          <w:rFonts w:hint="eastAsia" w:ascii="宋体" w:hAnsi="宋体" w:eastAsia="宋体" w:cs="宋体"/>
          <w:b/>
          <w:bCs/>
          <w:color w:val="auto"/>
          <w:kern w:val="2"/>
          <w:sz w:val="21"/>
          <w:szCs w:val="21"/>
          <w:highlight w:val="none"/>
          <w:lang w:eastAsia="zh-CN"/>
        </w:rPr>
        <w:t>、服务要求及服务质量考核</w:t>
      </w:r>
    </w:p>
    <w:p>
      <w:pPr>
        <w:ind w:left="0"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中标人应严格按照国家颁布的现行规范要求和招标文件的要求进行安全、文明作业，服务质量考核标准见附件</w:t>
      </w:r>
      <w:r>
        <w:rPr>
          <w:rFonts w:hint="eastAsia" w:ascii="宋体" w:hAnsi="宋体" w:cs="宋体"/>
          <w:color w:val="auto"/>
          <w:sz w:val="21"/>
          <w:szCs w:val="21"/>
          <w:highlight w:val="none"/>
          <w:lang w:eastAsia="zh-CN"/>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生活垃圾运输处理项目考核表</w:t>
      </w:r>
      <w:r>
        <w:rPr>
          <w:rFonts w:hint="eastAsia" w:ascii="宋体" w:hAnsi="宋体" w:eastAsia="宋体" w:cs="宋体"/>
          <w:color w:val="auto"/>
          <w:sz w:val="21"/>
          <w:szCs w:val="21"/>
          <w:highlight w:val="none"/>
          <w:lang w:eastAsia="zh-CN"/>
        </w:rPr>
        <w:t>》。</w:t>
      </w:r>
    </w:p>
    <w:p>
      <w:pPr>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br w:type="page"/>
      </w:r>
    </w:p>
    <w:p>
      <w:pPr>
        <w:jc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生活垃圾运输处理项目考核表</w:t>
      </w:r>
    </w:p>
    <w:tbl>
      <w:tblPr>
        <w:tblStyle w:val="16"/>
        <w:tblW w:w="9598"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698"/>
        <w:gridCol w:w="2729"/>
        <w:gridCol w:w="3769"/>
        <w:gridCol w:w="1012"/>
        <w:gridCol w:w="692"/>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编号</w:t>
            </w:r>
          </w:p>
        </w:tc>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w:t>
            </w: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服务要求</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服务质量考核标准</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扣罚标准（元）</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sz w:val="21"/>
                <w:szCs w:val="21"/>
              </w:rPr>
              <w:t>扣减金额</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lang w:val="en-US" w:eastAsia="zh-CN"/>
              </w:rPr>
              <w:t>1</w:t>
            </w:r>
          </w:p>
        </w:tc>
        <w:tc>
          <w:tcPr>
            <w:tcW w:w="698"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一</w:t>
            </w:r>
            <w:r>
              <w:rPr>
                <w:rFonts w:hint="eastAsia" w:ascii="宋体" w:hAnsi="宋体" w:eastAsia="宋体" w:cs="宋体"/>
                <w:b/>
                <w:bCs/>
                <w:color w:val="auto"/>
                <w:sz w:val="21"/>
                <w:szCs w:val="21"/>
                <w:highlight w:val="none"/>
              </w:rPr>
              <w:t>、垃圾</w:t>
            </w:r>
            <w:r>
              <w:rPr>
                <w:rFonts w:hint="eastAsia" w:ascii="宋体" w:hAnsi="宋体" w:eastAsia="宋体" w:cs="宋体"/>
                <w:b/>
                <w:bCs/>
                <w:color w:val="auto"/>
                <w:sz w:val="21"/>
                <w:szCs w:val="21"/>
                <w:highlight w:val="none"/>
                <w:lang w:eastAsia="zh-CN"/>
              </w:rPr>
              <w:t>中转</w:t>
            </w:r>
            <w:r>
              <w:rPr>
                <w:rFonts w:hint="eastAsia" w:ascii="宋体" w:hAnsi="宋体" w:eastAsia="宋体" w:cs="宋体"/>
                <w:b/>
                <w:bCs/>
                <w:color w:val="auto"/>
                <w:sz w:val="21"/>
                <w:szCs w:val="21"/>
                <w:highlight w:val="none"/>
              </w:rPr>
              <w:t>站</w:t>
            </w: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积极配合采购人的工作，垃圾必须做到日产日清，不得在站内外裸露堆放垃圾，垃圾中转站作业完毕后内外场地应整洁，无撒落垃圾和堆积杂物，无积留污水</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积极配合采购人的工作，垃圾必须做到日产日清，不得在站内外裸露堆放垃圾，垃圾中转站作业完毕后内外场地应整洁，无撒落垃圾和堆积杂物，无积留污水；否则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经采购人</w:t>
            </w:r>
            <w:r>
              <w:rPr>
                <w:rFonts w:hint="eastAsia" w:ascii="宋体" w:hAnsi="宋体" w:eastAsia="宋体" w:cs="宋体"/>
                <w:bCs/>
                <w:color w:val="auto"/>
                <w:kern w:val="2"/>
                <w:sz w:val="21"/>
                <w:szCs w:val="21"/>
                <w:highlight w:val="none"/>
                <w:lang w:eastAsia="zh-CN"/>
              </w:rPr>
              <w:t>同意接纳自运到</w:t>
            </w:r>
            <w:r>
              <w:rPr>
                <w:rFonts w:hint="eastAsia" w:ascii="宋体" w:hAnsi="宋体" w:eastAsia="宋体" w:cs="宋体"/>
                <w:color w:val="auto"/>
                <w:sz w:val="21"/>
                <w:szCs w:val="21"/>
                <w:highlight w:val="none"/>
                <w:lang w:eastAsia="zh-CN"/>
              </w:rPr>
              <w:t>古镇镇垃圾中转站的物管小区（单位），要严格要求其做好打包装及严密盖网，如有盖网不严密、有垃圾撒落、污水滴漏等问题，转运站管理人员应严禁其进入站内</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经采购人同意接纳自运到古镇镇垃圾中转站的物管小区（单位），要严格要求其做好打包装及严密盖网，如有盖网不严密、有垃圾撒落、污水滴漏等问题转运站管理人员还放任其进入站内的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室内通风应良好，转运站运作时要开启除臭（除臭液缺少要及时添加）、除尘设备</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室内通风应良好，转运站运作时要开启除臭（除臭液缺少要及时添加）、除尘设备，否则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转运站每天要用强力清洗剂清洗地面一次，转运站要配备有高压清洗设备；墙壁、窗户等应无积尘、蛛网</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转运站每天要用强力清洗剂清洗地面一次，配备有高压清洗设备；墙壁、窗户等应无积尘、蛛网，否则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转运站应每天喷洒消毒、灭蚊蝇药物</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转运站应每天喷洒消毒、灭蚊蝇药物，否则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在可视范围内苍蝇应少于3只/次</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在可视范围内苍蝇应少于3只/次，否则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进入站内的垃圾应按时转运</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进入站内的垃圾应按时转运，否则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000元/次（晚上11点前满箱不转运）</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站内垃圾装运容器应整洁，无积垢，无吊挂垃圾</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站内垃圾装运容器应整洁，无积垢，无吊挂垃圾，否则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中标人未经采购人书面同意，严禁擅自停用转运站</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中标人无故擅自停用转运站造成垃圾堆积</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rPr>
              <w:t>0000元/次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10</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中转站的污水、污泥及时处理，合法处理，达标排放，不得偷排偷倒</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中转站的污水、污泥及时处理，合法处理，达标排放，不得偷排偷倒，否则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转运站周围环境应清洁，沟渠通畅，无垃圾积聚、渠盖网眼上无堵塞物</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转运站周围环境应清洁，沟渠通畅，无垃圾积聚、渠盖网眼上无堵塞物，否则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站内的设施设备应正常使用，发生故障要及时维护</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站内的设施设备应正常使用，发生故障要及时维护，不及时排除故障的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2000</w:t>
            </w:r>
            <w:r>
              <w:rPr>
                <w:rFonts w:hint="eastAsia" w:ascii="宋体" w:hAnsi="宋体" w:eastAsia="宋体" w:cs="宋体"/>
                <w:color w:val="auto"/>
                <w:sz w:val="21"/>
                <w:szCs w:val="21"/>
                <w:highlight w:val="none"/>
              </w:rPr>
              <w:t>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压缩部分和箱体分离后不得有垃圾裸露</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压缩部分和箱体分离后不得有垃圾裸露，否则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压缩车辆或压缩箱排水口应保持畅通</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压缩车辆或压缩箱排水口应保持畅通，否则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00元/次·个</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15</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下班时间须关闭转运站大门</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下班时间须关闭转运站大门，否则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16</w:t>
            </w:r>
          </w:p>
        </w:tc>
        <w:tc>
          <w:tcPr>
            <w:tcW w:w="698"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、清运车辆</w:t>
            </w: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收集车辆车型及外观要统一</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收集车辆车型及外观要统一，否则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17</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车容应整洁，车体外部无污物、灰垢，标志应清晰</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车容应整洁，车体外部无污物、灰垢，标志应清晰，否则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500元/辆（机动车），200元/辆（非机动车）</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18</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运输垃圾应密闭，车辆（箱体）在运输过程中无垃圾扬、撒、拖挂</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运输垃圾应密闭，车辆（箱体）在运输过程中无垃圾扬、撒、拖挂，否则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19</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运输过程中严禁污水滴（洒）漏</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运输过程中污水滴（洒）漏的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20</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清运车辆应积极接受采购人卫生检查</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不配合接受采购人卫生检查的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000元/车·次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21</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垃圾装运量应以车辆的额定荷载和有效容积为限，不得超重、超高运输</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垃圾装运量应以车辆的额定荷载和有效容积为限，不得超重、超高运输，否则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装卸垃圾应符合作业要求，应直接送到指定转运站或处置场；超量垃圾应运往其它生活垃圾收纳场、填埋场、焚烧厂等合法场所，不得乱倒、乱卸、乱抛垃圾</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装卸垃圾应符合作业要求，应直接送到指定转运站或处置场；超量垃圾应运往其它生活垃圾收纳场、填埋场、焚烧厂等合法场所，不得乱倒、乱卸、乱抛垃圾，否则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20000元/辆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运输作业结束后，停放在转运站等公共场所的车辆应清洗干净，不得积存有垃圾和污水</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运输作业结束后，停放在转运站等公共场所的车辆应清洗干净，不得积存有垃圾和污水，否则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500元/辆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若遇车辆维修等特殊情况需要更换指定车辆的，要及时向采购人上报</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若遇车辆维修等特殊情况需要更换指定车辆的，要及时向采购人上报，否则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20</w:t>
            </w:r>
            <w:r>
              <w:rPr>
                <w:rFonts w:hint="eastAsia" w:ascii="宋体" w:hAnsi="宋体" w:eastAsia="宋体" w:cs="宋体"/>
                <w:color w:val="auto"/>
                <w:sz w:val="21"/>
                <w:szCs w:val="21"/>
                <w:highlight w:val="none"/>
              </w:rPr>
              <w:t>00/次·辆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25</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严禁超速行驶</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严禁超速行驶，否则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500</w:t>
            </w:r>
            <w:r>
              <w:rPr>
                <w:rFonts w:hint="eastAsia" w:ascii="宋体" w:hAnsi="宋体" w:eastAsia="宋体" w:cs="宋体"/>
                <w:color w:val="auto"/>
                <w:sz w:val="21"/>
                <w:szCs w:val="21"/>
                <w:highlight w:val="none"/>
              </w:rPr>
              <w:t>元/次·辆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26</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所有清运机动车辆必须配备行车记录仪，能随时查看行车轨迹</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所有清运机动车辆必须配备行车记录仪，能随时查看行车轨迹，否则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2000/辆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27</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严禁擅自挪用采购人提供的车辆、设施设备</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严禁擅自挪用采购人提供的车辆、设施设备，否则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10</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28</w:t>
            </w:r>
          </w:p>
        </w:tc>
        <w:tc>
          <w:tcPr>
            <w:tcW w:w="698"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三</w:t>
            </w:r>
            <w:r>
              <w:rPr>
                <w:rFonts w:hint="eastAsia" w:ascii="宋体" w:hAnsi="宋体" w:eastAsia="宋体" w:cs="宋体"/>
                <w:b/>
                <w:bCs/>
                <w:color w:val="auto"/>
                <w:sz w:val="21"/>
                <w:szCs w:val="21"/>
                <w:highlight w:val="none"/>
              </w:rPr>
              <w:t>、安全生产</w:t>
            </w: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不得收集化工、有毒、易燃易爆、医疗等有危险性的特种垃圾 </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不得收集化工、有毒、易燃易爆、医疗等有危险性的特种垃圾，否则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29</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不得存放易燃、易爆、剧毒等危险品</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不得存放易燃、易爆、剧毒等危险品，否则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30</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作业时必须落实警示标志及防护措施</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作业时未落实警示标志或防护措施的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31</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作业时应穿反光保护服装</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作业时不穿反光保护服装，或反光衣残旧、破损的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00元/次·人</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中标人应按国家现行的有关规定建立、健全各项安全管理制度和环卫作业机械安全操作规程</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中标人应按国家现行的有关规定建立、健全各项安全管理制度和环卫作业机械安全操作规程，否则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3000</w:t>
            </w:r>
            <w:r>
              <w:rPr>
                <w:rFonts w:hint="eastAsia" w:ascii="宋体" w:hAnsi="宋体" w:eastAsia="宋体" w:cs="宋体"/>
                <w:color w:val="auto"/>
                <w:sz w:val="21"/>
                <w:szCs w:val="21"/>
                <w:highlight w:val="none"/>
              </w:rPr>
              <w:t>元/项</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应遵守安全操作规程和操作技术规范</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应遵守安全操作规程和操作技术规范，否则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应保证机械设备及时审验，禁止使用达到报废期限的车辆、机械设备等</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机械设备过期不审验仍继续使用的，或达到报废期限仍继续使用的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1000元/次（过期不审验），2000元/次（达到报废期仍使用）</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35</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做好车辆年审、购买保险、行车记录等相关工作，完善车辆档案</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做好车辆年审、购买保险、行车记录等相关工作，完善车辆档案，否则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10</w:t>
            </w:r>
            <w:r>
              <w:rPr>
                <w:rFonts w:hint="eastAsia" w:ascii="宋体" w:hAnsi="宋体" w:eastAsia="宋体" w:cs="宋体"/>
                <w:color w:val="auto"/>
                <w:sz w:val="21"/>
                <w:szCs w:val="21"/>
                <w:highlight w:val="none"/>
              </w:rPr>
              <w:t>00元/辆</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36</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环卫机械设备操作人员和维护人员等均应持证上岗</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环卫机械设备操作人员和维护人员等均应持证上岗，否则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37</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垃圾中转站用电必须符合国家安全用电有关规定，严禁乱拉乱接、擅自改变用途</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垃圾中转站用电必须符合国家安全用电有关规定，严禁乱拉乱接、擅自改变用途，否则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38</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作业区内禁止吸烟或存在明火</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作业区内禁止吸烟或存在明火，否则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2000</w:t>
            </w:r>
            <w:r>
              <w:rPr>
                <w:rFonts w:hint="eastAsia" w:ascii="宋体" w:hAnsi="宋体" w:eastAsia="宋体" w:cs="宋体"/>
                <w:color w:val="auto"/>
                <w:sz w:val="21"/>
                <w:szCs w:val="21"/>
                <w:highlight w:val="none"/>
              </w:rPr>
              <w:t>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39</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落实防火措施，配足性能良好的消防器材</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落实防火措施，配足性能良好的消防器材，否则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40</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发生安全生产事故、交通事故、其它意外事故的，要在1小时内向采购人如实上报</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发生安全生产事故、交通事故、其它意外事故的，要在1小时内向采购人如实上报，否则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41</w:t>
            </w:r>
          </w:p>
        </w:tc>
        <w:tc>
          <w:tcPr>
            <w:tcW w:w="698"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四</w:t>
            </w:r>
            <w:r>
              <w:rPr>
                <w:rFonts w:hint="eastAsia" w:ascii="宋体" w:hAnsi="宋体" w:eastAsia="宋体" w:cs="宋体"/>
                <w:b/>
                <w:bCs/>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其它</w:t>
            </w: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严禁以政府部门或上级主管部门的名义与服务对象洽谈业务或收取费用；</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严禁以政府部门或上级主管部门的名义与服务对象洽谈业务或收取费用，否则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000/次；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需提供良好的服务态度和服务质量</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服务态度、质量差，被投诉经查属实的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应按《中华人民共和国民法典》、《中华人民共和国劳动合同法》以及相关法律法规的规定，与工人签订劳动合同并按时发放工人工资，购买社会劳动保险，及时有效地处理好劳资纠纷，并承担相关的费用。</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应按《中华人民共和国民法典》、《中华人民共和国劳动合同法》以及相关法律法规的规定，与工人签订劳动合同并按时发放工人工资，购买社会劳动保险，及时有效地处理好劳资纠纷，并承担相关的费用，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中标人不得使用不正当手段人为增加垃圾重量</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中标人不得使用不正当手段人为增加垃圾重量，否则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0000元/次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45</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在配置本项目自有设备、车辆前必须将相关设备、车辆的技术参数、参考价格书面报采购人，配置的设备、车辆须与现有转运站和收集点设备进行无缝对接收运垃圾，并经采购人同意后方可实施配置，否则采购人不认可相关设备、车辆为中标人服务于本项目的自有设备、车辆，配置设备、车辆不得低于合同要求的车辆、设备配置标准</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中标人在配置本项目自有设备、车辆前必须将相关设备、车辆的技术参数、参考价格书面报采购人，配置的设备、车辆须与现有转运站和收集点设备进行无缝对接收运垃圾，并经采购人同意后方可实施配置，否则采购人不认可相关设备、车辆为中标人服务于本项目的自有设备、车辆，配置设备、车辆不得低于合同要求的车辆、设备配置标准；采购人提出整改意见，中标人要按时整改，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46</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采购人有权规定本项目的人员、设备和车辆的使用数量，中标人必须按要求执行</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采购人有权规定本项目的人员、设备和车辆的使用数量，中标人必须按要求执行，同时采购人提出整改意见，中标人要按时整改，否则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0000元/次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47</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lang w:eastAsia="zh-CN"/>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若中标人已按要求数量下限配置自有车辆、设备，但在实际作业过程中仍不足以满足工作需求的，中标人必须无条件主动增置车辆、设备直至满足作业需求为止</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若中标人已按要求数量下限配置自有车辆、设备，但在实际作业过程中仍不足以满足工作需求的，中标人必须无条件主动增置车辆、设备直至满足作业需求为止，同时采购人提出整改意见，中标人要按时整改，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48</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bCs/>
                <w:color w:val="auto"/>
                <w:kern w:val="2"/>
                <w:sz w:val="21"/>
                <w:szCs w:val="21"/>
                <w:highlight w:val="none"/>
                <w:lang w:eastAsia="zh-CN"/>
              </w:rPr>
              <w:t>全镇垃圾产生量均需经镇垃圾中转站过磅称重，所有垃圾车在镇垃圾中转站离场前需再过磅称重（即进出均需过磅称重一次），采购人有权直接管理或派人监督中标人地磅管理。如垃圾量明显增加或减少的，要及时上报，并核实工作量，为采购人提供真实的收费依据。</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bCs/>
                <w:color w:val="auto"/>
                <w:kern w:val="2"/>
                <w:sz w:val="21"/>
                <w:szCs w:val="21"/>
                <w:highlight w:val="none"/>
                <w:lang w:eastAsia="zh-CN"/>
              </w:rPr>
              <w:t>全镇垃圾产生量均需经镇垃圾中转站过磅称重，所有垃圾车在镇垃圾中转站离场前需再过磅称重（即进出均需过磅称重一次），采购人有权直接管理或派人监督中标人地磅管理。如垃圾量明显增加或减少的，要及时上报，并核实工作量，为采购人提供真实的收费依据，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49</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有责任协助采购人核实工作量，不得弄虚作假</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有责任协助采购人核实工作量，不得弄虚作假，否则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50</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有责任协助采购人核实和处理投诉事件，不得无故拖延</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有责任协助采购人核实和处理投诉事件，不得无故拖延，否则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000元/次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51</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采购人要求交办的各类案件要按时按质回复处理，要求上交的资料要按时按质提交，并做好相关存档工作</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采购人要求交办的各类案件要按时按质回复处理，要求上交的资料要按时按质提交，并做好相关存档工作，否则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52</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对投诉事件或检查需要整改的问题及时处理</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经检查发现同一问题，提出整改或扣罚后仍然未能实施及时处理措施的</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53</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智慧管理平台和系统，包括监控系统、称重监控系统等需要正常使用，发现问题及时维修处理</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智慧管理平台和系统，包括监控系统、称重监控系统等需要正常使用，发现问题及时维修处理，否则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8"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54</w:t>
            </w:r>
          </w:p>
        </w:tc>
        <w:tc>
          <w:tcPr>
            <w:tcW w:w="698"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sz w:val="21"/>
                <w:szCs w:val="21"/>
                <w:highlight w:val="none"/>
              </w:rPr>
            </w:pPr>
          </w:p>
        </w:tc>
        <w:tc>
          <w:tcPr>
            <w:tcW w:w="27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各中转站的设施、设备出现故障或过期不能使用的，需要及时维修或更换；加强各中转站日常维护、维修（如地面破损、下水道堵塞、星棚损坏等）要及时处理</w:t>
            </w:r>
          </w:p>
        </w:tc>
        <w:tc>
          <w:tcPr>
            <w:tcW w:w="376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各中转站的设施、设备出现故障或过期不能使用的，需要及时维修或更换；加强各中转站日常维护、维修（如地面破损、下水道堵塞、星棚损坏等）要及时处理，否则</w:t>
            </w:r>
          </w:p>
        </w:tc>
        <w:tc>
          <w:tcPr>
            <w:tcW w:w="10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00元/次</w:t>
            </w:r>
          </w:p>
        </w:tc>
        <w:tc>
          <w:tcPr>
            <w:tcW w:w="69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598" w:type="dxa"/>
            <w:gridSpan w:val="6"/>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考核单位（盖章）：</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sz w:val="21"/>
                <w:szCs w:val="21"/>
              </w:rPr>
            </w:pPr>
            <w:r>
              <w:rPr>
                <w:rFonts w:hint="eastAsia" w:ascii="宋体" w:hAnsi="宋体" w:eastAsia="宋体" w:cs="宋体"/>
                <w:sz w:val="21"/>
                <w:szCs w:val="21"/>
              </w:rPr>
              <w:t>考核人员签名：</w:t>
            </w:r>
          </w:p>
          <w:p>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日</w:t>
            </w:r>
          </w:p>
        </w:tc>
      </w:tr>
    </w:tbl>
    <w:p>
      <w:pPr>
        <w:ind w:left="0" w:leftChars="0" w:firstLine="0" w:firstLineChars="0"/>
        <w:rPr>
          <w:rFonts w:hint="eastAsia" w:ascii="宋体" w:hAnsi="宋体" w:eastAsia="宋体" w:cs="Times New Roman"/>
          <w:color w:val="000000"/>
          <w:szCs w:val="21"/>
        </w:rPr>
      </w:pPr>
    </w:p>
    <w:p>
      <w:pPr>
        <w:pStyle w:val="2"/>
        <w:ind w:left="0" w:leftChars="0" w:firstLine="0" w:firstLineChars="0"/>
      </w:pP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985EB"/>
    <w:multiLevelType w:val="singleLevel"/>
    <w:tmpl w:val="64D985EB"/>
    <w:lvl w:ilvl="0" w:tentative="0">
      <w:start w:val="1"/>
      <w:numFmt w:val="decimal"/>
      <w:lvlText w:val="%1."/>
      <w:lvlJc w:val="left"/>
      <w:pPr>
        <w:tabs>
          <w:tab w:val="left" w:pos="425"/>
        </w:tabs>
        <w:ind w:left="425" w:leftChars="0" w:hanging="425" w:firstLineChars="0"/>
      </w:pPr>
      <w:rPr>
        <w:rFonts w:hint="default"/>
      </w:rPr>
    </w:lvl>
  </w:abstractNum>
  <w:abstractNum w:abstractNumId="1">
    <w:nsid w:val="64D98616"/>
    <w:multiLevelType w:val="singleLevel"/>
    <w:tmpl w:val="64D98616"/>
    <w:lvl w:ilvl="0" w:tentative="0">
      <w:start w:val="1"/>
      <w:numFmt w:val="decimal"/>
      <w:lvlText w:val="%1."/>
      <w:lvlJc w:val="left"/>
      <w:pPr>
        <w:tabs>
          <w:tab w:val="left" w:pos="425"/>
        </w:tabs>
        <w:ind w:left="425" w:leftChars="0" w:hanging="425" w:firstLineChars="0"/>
      </w:pPr>
      <w:rPr>
        <w:rFonts w:hint="default"/>
      </w:rPr>
    </w:lvl>
  </w:abstractNum>
  <w:abstractNum w:abstractNumId="2">
    <w:nsid w:val="64D9885F"/>
    <w:multiLevelType w:val="multilevel"/>
    <w:tmpl w:val="64D9885F"/>
    <w:lvl w:ilvl="0" w:tentative="0">
      <w:start w:val="1"/>
      <w:numFmt w:val="decimal"/>
      <w:lvlText w:val="2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850"/>
        </w:tabs>
        <w:ind w:left="850" w:leftChars="0" w:hanging="453" w:firstLineChars="0"/>
      </w:pPr>
      <w:rPr>
        <w:rFonts w:hint="default"/>
      </w:rPr>
    </w:lvl>
    <w:lvl w:ilvl="2" w:tentative="0">
      <w:start w:val="1"/>
      <w:numFmt w:val="decimal"/>
      <w:lvlText w:val="%1.%2.%3."/>
      <w:lvlJc w:val="left"/>
      <w:pPr>
        <w:tabs>
          <w:tab w:val="left" w:pos="1508"/>
        </w:tabs>
        <w:ind w:left="1508" w:leftChars="0" w:hanging="708" w:firstLineChars="0"/>
      </w:pPr>
      <w:rPr>
        <w:rFonts w:hint="default"/>
      </w:rPr>
    </w:lvl>
    <w:lvl w:ilvl="3" w:tentative="0">
      <w:start w:val="1"/>
      <w:numFmt w:val="decimal"/>
      <w:lvlText w:val="%1.%2.%3.%4."/>
      <w:lvlJc w:val="left"/>
      <w:pPr>
        <w:tabs>
          <w:tab w:val="left" w:pos="2053"/>
        </w:tabs>
        <w:ind w:left="2053" w:leftChars="0" w:hanging="853" w:firstLineChars="0"/>
      </w:pPr>
      <w:rPr>
        <w:rFonts w:hint="default"/>
      </w:rPr>
    </w:lvl>
    <w:lvl w:ilvl="4" w:tentative="0">
      <w:start w:val="1"/>
      <w:numFmt w:val="decimal"/>
      <w:lvlText w:val="%1.%2.%3.%4.%5."/>
      <w:lvlJc w:val="left"/>
      <w:pPr>
        <w:tabs>
          <w:tab w:val="left" w:pos="2495"/>
        </w:tabs>
        <w:ind w:left="2495" w:leftChars="0" w:hanging="895" w:firstLineChars="0"/>
      </w:pPr>
      <w:rPr>
        <w:rFonts w:hint="default"/>
      </w:rPr>
    </w:lvl>
    <w:lvl w:ilvl="5" w:tentative="0">
      <w:start w:val="1"/>
      <w:numFmt w:val="decimal"/>
      <w:lvlText w:val="%1.%2.%3.%4.%5.%6."/>
      <w:lvlJc w:val="left"/>
      <w:pPr>
        <w:tabs>
          <w:tab w:val="left" w:pos="3136"/>
        </w:tabs>
        <w:ind w:left="3136" w:leftChars="0" w:hanging="1136" w:firstLineChars="0"/>
      </w:pPr>
      <w:rPr>
        <w:rFonts w:hint="default"/>
      </w:rPr>
    </w:lvl>
    <w:lvl w:ilvl="6" w:tentative="0">
      <w:start w:val="1"/>
      <w:numFmt w:val="decimal"/>
      <w:lvlText w:val="%1.%2.%3.%4.%5.%6.%7."/>
      <w:lvlJc w:val="left"/>
      <w:pPr>
        <w:tabs>
          <w:tab w:val="left" w:pos="3673"/>
        </w:tabs>
        <w:ind w:left="3673" w:leftChars="0" w:hanging="1273" w:firstLineChars="0"/>
      </w:pPr>
      <w:rPr>
        <w:rFonts w:hint="default"/>
      </w:rPr>
    </w:lvl>
    <w:lvl w:ilvl="7" w:tentative="0">
      <w:start w:val="1"/>
      <w:numFmt w:val="decimal"/>
      <w:lvlText w:val="%1.%2.%3.%4.%5.%6.%7.%8."/>
      <w:lvlJc w:val="left"/>
      <w:pPr>
        <w:tabs>
          <w:tab w:val="left" w:pos="4218"/>
        </w:tabs>
        <w:ind w:left="4218" w:leftChars="0" w:hanging="1418" w:firstLineChars="0"/>
      </w:pPr>
      <w:rPr>
        <w:rFonts w:hint="default"/>
      </w:rPr>
    </w:lvl>
    <w:lvl w:ilvl="8" w:tentative="0">
      <w:start w:val="1"/>
      <w:numFmt w:val="decimal"/>
      <w:lvlText w:val="%1.%2.%3.%4.%5.%6.%7.%8.%9."/>
      <w:lvlJc w:val="left"/>
      <w:pPr>
        <w:tabs>
          <w:tab w:val="left" w:pos="4648"/>
        </w:tabs>
        <w:ind w:left="4648" w:leftChars="0" w:hanging="1448" w:firstLineChars="0"/>
      </w:pPr>
      <w:rPr>
        <w:rFonts w:hint="default"/>
      </w:rPr>
    </w:lvl>
  </w:abstractNum>
  <w:abstractNum w:abstractNumId="3">
    <w:nsid w:val="64DF1A5A"/>
    <w:multiLevelType w:val="multilevel"/>
    <w:tmpl w:val="64DF1A5A"/>
    <w:lvl w:ilvl="0" w:tentative="0">
      <w:start w:val="1"/>
      <w:numFmt w:val="decimal"/>
      <w:lvlText w:val="10.%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ZDJmYTQyZTg0ODNmMzNkNzgxMjkzMDMzZDU0YzAifQ=="/>
  </w:docVars>
  <w:rsids>
    <w:rsidRoot w:val="305A7220"/>
    <w:rsid w:val="003B14F1"/>
    <w:rsid w:val="00540D96"/>
    <w:rsid w:val="01002534"/>
    <w:rsid w:val="01181DD9"/>
    <w:rsid w:val="013D282C"/>
    <w:rsid w:val="01CB2F01"/>
    <w:rsid w:val="029525CA"/>
    <w:rsid w:val="046670AC"/>
    <w:rsid w:val="04D407A2"/>
    <w:rsid w:val="051303DF"/>
    <w:rsid w:val="051E41F2"/>
    <w:rsid w:val="05654966"/>
    <w:rsid w:val="059839B1"/>
    <w:rsid w:val="064B3E9E"/>
    <w:rsid w:val="0654426F"/>
    <w:rsid w:val="06C14C23"/>
    <w:rsid w:val="071D3CB8"/>
    <w:rsid w:val="0721638A"/>
    <w:rsid w:val="09B94900"/>
    <w:rsid w:val="0A7C61DD"/>
    <w:rsid w:val="0AE8773B"/>
    <w:rsid w:val="0BCF52F0"/>
    <w:rsid w:val="0C6E60F3"/>
    <w:rsid w:val="0C853B1A"/>
    <w:rsid w:val="0CFB3759"/>
    <w:rsid w:val="0F64295A"/>
    <w:rsid w:val="0FB137F7"/>
    <w:rsid w:val="102F109D"/>
    <w:rsid w:val="10441883"/>
    <w:rsid w:val="10B33874"/>
    <w:rsid w:val="11F02DB3"/>
    <w:rsid w:val="12145A3A"/>
    <w:rsid w:val="123B7E78"/>
    <w:rsid w:val="12CA6462"/>
    <w:rsid w:val="12F67081"/>
    <w:rsid w:val="135C37D3"/>
    <w:rsid w:val="140838EB"/>
    <w:rsid w:val="144E07DC"/>
    <w:rsid w:val="149B66DD"/>
    <w:rsid w:val="14E42BB3"/>
    <w:rsid w:val="17142269"/>
    <w:rsid w:val="17321C54"/>
    <w:rsid w:val="1751309B"/>
    <w:rsid w:val="17FD1136"/>
    <w:rsid w:val="180A3BA6"/>
    <w:rsid w:val="1862578F"/>
    <w:rsid w:val="18BC4BA4"/>
    <w:rsid w:val="19A035B6"/>
    <w:rsid w:val="1AE4582E"/>
    <w:rsid w:val="1B281CFF"/>
    <w:rsid w:val="1B554868"/>
    <w:rsid w:val="1C2F1FCD"/>
    <w:rsid w:val="1CA36708"/>
    <w:rsid w:val="1D012325"/>
    <w:rsid w:val="1DC32FD6"/>
    <w:rsid w:val="1E4B73EA"/>
    <w:rsid w:val="1F4821DF"/>
    <w:rsid w:val="1FA17945"/>
    <w:rsid w:val="1FA9630E"/>
    <w:rsid w:val="1FB9701B"/>
    <w:rsid w:val="231C3E29"/>
    <w:rsid w:val="25A57416"/>
    <w:rsid w:val="2637753E"/>
    <w:rsid w:val="264B1D66"/>
    <w:rsid w:val="266F38AA"/>
    <w:rsid w:val="26A91DFC"/>
    <w:rsid w:val="26EA4C16"/>
    <w:rsid w:val="27FA04A4"/>
    <w:rsid w:val="28A37638"/>
    <w:rsid w:val="295A0136"/>
    <w:rsid w:val="2AD815EB"/>
    <w:rsid w:val="2BAE1BB9"/>
    <w:rsid w:val="2CA455C9"/>
    <w:rsid w:val="2CD74B1F"/>
    <w:rsid w:val="2D0446E9"/>
    <w:rsid w:val="2DD33ABD"/>
    <w:rsid w:val="2E086516"/>
    <w:rsid w:val="2E955D79"/>
    <w:rsid w:val="2EC9569C"/>
    <w:rsid w:val="2ECE4FDA"/>
    <w:rsid w:val="2F2B1AF0"/>
    <w:rsid w:val="2FA07530"/>
    <w:rsid w:val="2FB01D49"/>
    <w:rsid w:val="305A7220"/>
    <w:rsid w:val="306308F3"/>
    <w:rsid w:val="30AC06DF"/>
    <w:rsid w:val="31A74402"/>
    <w:rsid w:val="326170B4"/>
    <w:rsid w:val="338E42A3"/>
    <w:rsid w:val="33995EB7"/>
    <w:rsid w:val="35312755"/>
    <w:rsid w:val="35990E80"/>
    <w:rsid w:val="35AC461D"/>
    <w:rsid w:val="35F664E1"/>
    <w:rsid w:val="35F72FB4"/>
    <w:rsid w:val="375727F9"/>
    <w:rsid w:val="3A4471A2"/>
    <w:rsid w:val="3AB030EE"/>
    <w:rsid w:val="3B692505"/>
    <w:rsid w:val="3C623DA1"/>
    <w:rsid w:val="3C841D58"/>
    <w:rsid w:val="3CAE4DEB"/>
    <w:rsid w:val="3D3A6003"/>
    <w:rsid w:val="3DED5AA7"/>
    <w:rsid w:val="3E5F11D6"/>
    <w:rsid w:val="3F1111D8"/>
    <w:rsid w:val="401F6146"/>
    <w:rsid w:val="406B713F"/>
    <w:rsid w:val="41336B88"/>
    <w:rsid w:val="41AA4248"/>
    <w:rsid w:val="428A38B6"/>
    <w:rsid w:val="44910599"/>
    <w:rsid w:val="460B0006"/>
    <w:rsid w:val="477140C4"/>
    <w:rsid w:val="4AA173B4"/>
    <w:rsid w:val="4AB16DE1"/>
    <w:rsid w:val="4B6E364F"/>
    <w:rsid w:val="4B816DED"/>
    <w:rsid w:val="4CCA78C6"/>
    <w:rsid w:val="4CE24142"/>
    <w:rsid w:val="4D3F38CB"/>
    <w:rsid w:val="4E834345"/>
    <w:rsid w:val="4E994E01"/>
    <w:rsid w:val="51351197"/>
    <w:rsid w:val="51FB1F8F"/>
    <w:rsid w:val="53813090"/>
    <w:rsid w:val="5386726D"/>
    <w:rsid w:val="5584694E"/>
    <w:rsid w:val="56CF1227"/>
    <w:rsid w:val="57227D03"/>
    <w:rsid w:val="57F6355F"/>
    <w:rsid w:val="58104109"/>
    <w:rsid w:val="58862183"/>
    <w:rsid w:val="58863D47"/>
    <w:rsid w:val="591710B8"/>
    <w:rsid w:val="599B0E3A"/>
    <w:rsid w:val="59AE28B0"/>
    <w:rsid w:val="5AEE323C"/>
    <w:rsid w:val="5B987E52"/>
    <w:rsid w:val="5CC62A4D"/>
    <w:rsid w:val="5F734D30"/>
    <w:rsid w:val="5F9B4B6A"/>
    <w:rsid w:val="60565402"/>
    <w:rsid w:val="612977F3"/>
    <w:rsid w:val="62246792"/>
    <w:rsid w:val="63531402"/>
    <w:rsid w:val="63CD5CF7"/>
    <w:rsid w:val="64867758"/>
    <w:rsid w:val="65045377"/>
    <w:rsid w:val="65141C8A"/>
    <w:rsid w:val="65177DE9"/>
    <w:rsid w:val="6537031E"/>
    <w:rsid w:val="65A279CD"/>
    <w:rsid w:val="67E74384"/>
    <w:rsid w:val="68001FB5"/>
    <w:rsid w:val="6911452A"/>
    <w:rsid w:val="697719D7"/>
    <w:rsid w:val="6A580905"/>
    <w:rsid w:val="6A736F31"/>
    <w:rsid w:val="6B1235B7"/>
    <w:rsid w:val="6B6A1A47"/>
    <w:rsid w:val="6BD8207B"/>
    <w:rsid w:val="6C5D7D56"/>
    <w:rsid w:val="6C981970"/>
    <w:rsid w:val="6CD06362"/>
    <w:rsid w:val="6F517DB1"/>
    <w:rsid w:val="6F7B34F6"/>
    <w:rsid w:val="6FE1490D"/>
    <w:rsid w:val="70876EAC"/>
    <w:rsid w:val="70901D3A"/>
    <w:rsid w:val="7135045A"/>
    <w:rsid w:val="71940950"/>
    <w:rsid w:val="71AA0628"/>
    <w:rsid w:val="71B04A41"/>
    <w:rsid w:val="72616F8F"/>
    <w:rsid w:val="72FF3D84"/>
    <w:rsid w:val="73047240"/>
    <w:rsid w:val="743D1716"/>
    <w:rsid w:val="749A4676"/>
    <w:rsid w:val="75207FC3"/>
    <w:rsid w:val="75671ED7"/>
    <w:rsid w:val="75C73081"/>
    <w:rsid w:val="763C29A9"/>
    <w:rsid w:val="76F27835"/>
    <w:rsid w:val="77660E3F"/>
    <w:rsid w:val="78250037"/>
    <w:rsid w:val="78435527"/>
    <w:rsid w:val="786D21D9"/>
    <w:rsid w:val="7921310D"/>
    <w:rsid w:val="79CD59E4"/>
    <w:rsid w:val="7A662B5D"/>
    <w:rsid w:val="7C344D36"/>
    <w:rsid w:val="7D38217E"/>
    <w:rsid w:val="7D5B3637"/>
    <w:rsid w:val="7DD87E16"/>
    <w:rsid w:val="7E946D55"/>
    <w:rsid w:val="7EA83C8C"/>
    <w:rsid w:val="7EC73B8E"/>
    <w:rsid w:val="7FB2700E"/>
    <w:rsid w:val="7FDD37AA"/>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4">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Normal Indent"/>
    <w:basedOn w:val="1"/>
    <w:qFormat/>
    <w:uiPriority w:val="0"/>
    <w:pPr>
      <w:ind w:left="720"/>
    </w:pPr>
    <w:rPr>
      <w:rFonts w:ascii="Times New Roman" w:hAnsi="Times New Roman"/>
      <w:sz w:val="20"/>
    </w:rPr>
  </w:style>
  <w:style w:type="paragraph" w:styleId="6">
    <w:name w:val="annotation text"/>
    <w:basedOn w:val="1"/>
    <w:semiHidden/>
    <w:qFormat/>
    <w:uiPriority w:val="99"/>
    <w:pPr>
      <w:jc w:val="left"/>
    </w:pPr>
  </w:style>
  <w:style w:type="paragraph" w:styleId="7">
    <w:name w:val="Body Text"/>
    <w:basedOn w:val="1"/>
    <w:next w:val="1"/>
    <w:qFormat/>
    <w:uiPriority w:val="99"/>
    <w:rPr>
      <w:rFonts w:ascii="宋体" w:hAnsi="宋体"/>
      <w:color w:val="0000FF"/>
      <w:sz w:val="28"/>
    </w:rPr>
  </w:style>
  <w:style w:type="paragraph" w:styleId="8">
    <w:name w:val="toc 5"/>
    <w:basedOn w:val="1"/>
    <w:next w:val="1"/>
    <w:unhideWhenUsed/>
    <w:qFormat/>
    <w:uiPriority w:val="39"/>
    <w:pPr>
      <w:ind w:left="840"/>
    </w:pPr>
    <w:rPr>
      <w:sz w:val="18"/>
      <w:szCs w:val="18"/>
    </w:rPr>
  </w:style>
  <w:style w:type="paragraph" w:styleId="9">
    <w:name w:val="Plain Text"/>
    <w:basedOn w:val="1"/>
    <w:unhideWhenUsed/>
    <w:qFormat/>
    <w:uiPriority w:val="0"/>
    <w:pPr>
      <w:widowControl w:val="0"/>
      <w:jc w:val="both"/>
    </w:pPr>
    <w:rPr>
      <w:rFonts w:ascii="宋体" w:hAnsi="Courier New" w:cs="Times New Roman"/>
      <w:kern w:val="2"/>
      <w:szCs w:val="2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7"/>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Administrator</cp:lastModifiedBy>
  <dcterms:modified xsi:type="dcterms:W3CDTF">2024-11-12T15:09:56Z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075480528F4E4192A6CD19ED0CEEC5A5</vt:lpwstr>
  </property>
</Properties>
</file>