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E9FED">
      <w:pPr>
        <w:spacing w:line="460" w:lineRule="exact"/>
        <w:ind w:firstLine="880" w:firstLineChars="200"/>
        <w:jc w:val="center"/>
        <w:rPr>
          <w:rFonts w:hint="default" w:ascii="微软雅黑" w:hAnsi="微软雅黑" w:eastAsia="微软雅黑" w:cs="微软雅黑"/>
          <w:b/>
          <w:sz w:val="44"/>
          <w:szCs w:val="44"/>
        </w:rPr>
      </w:pPr>
      <w:r>
        <w:rPr>
          <w:rFonts w:ascii="微软雅黑" w:hAnsi="微软雅黑" w:eastAsia="微软雅黑" w:cs="微软雅黑"/>
          <w:bCs/>
          <w:sz w:val="44"/>
          <w:szCs w:val="44"/>
        </w:rPr>
        <w:t>自助售货机投放服务合同</w:t>
      </w:r>
    </w:p>
    <w:p w14:paraId="600A0DC1">
      <w:pPr>
        <w:spacing w:line="460" w:lineRule="exact"/>
        <w:ind w:firstLine="880" w:firstLineChars="200"/>
        <w:jc w:val="center"/>
        <w:rPr>
          <w:rFonts w:hint="default" w:ascii="微软雅黑" w:hAnsi="微软雅黑" w:eastAsia="微软雅黑" w:cs="微软雅黑"/>
          <w:b/>
          <w:sz w:val="44"/>
          <w:szCs w:val="44"/>
        </w:rPr>
      </w:pPr>
    </w:p>
    <w:p w14:paraId="7CBE89F7">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甲方：中山市阜沙镇资产经营管理有限公司</w:t>
      </w:r>
    </w:p>
    <w:p w14:paraId="34BFB54D">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地址：阜沙镇财政所办公大楼</w:t>
      </w:r>
    </w:p>
    <w:p w14:paraId="399B2C75">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联系人：</w:t>
      </w:r>
    </w:p>
    <w:p w14:paraId="1105440C">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电话：</w:t>
      </w:r>
    </w:p>
    <w:p w14:paraId="12103509">
      <w:pPr>
        <w:spacing w:line="400" w:lineRule="exact"/>
        <w:ind w:firstLine="480" w:firstLineChars="200"/>
        <w:rPr>
          <w:rFonts w:hint="default" w:ascii="仿宋" w:hAnsi="仿宋" w:eastAsia="仿宋" w:cs="仿宋"/>
          <w:sz w:val="24"/>
          <w:szCs w:val="24"/>
        </w:rPr>
      </w:pPr>
    </w:p>
    <w:p w14:paraId="12CF6859">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 xml:space="preserve">乙方： </w:t>
      </w:r>
    </w:p>
    <w:p w14:paraId="39E2DC26">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地址：</w:t>
      </w:r>
    </w:p>
    <w:p w14:paraId="4F247206">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 xml:space="preserve">联系人： </w:t>
      </w:r>
    </w:p>
    <w:p w14:paraId="44373050">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电话：</w:t>
      </w:r>
    </w:p>
    <w:p w14:paraId="144548A1">
      <w:pPr>
        <w:spacing w:line="400" w:lineRule="exact"/>
        <w:ind w:firstLine="480" w:firstLineChars="200"/>
        <w:rPr>
          <w:rFonts w:hint="default" w:ascii="仿宋_GB2312" w:hAnsi="仿宋_GB2312" w:eastAsia="仿宋_GB2312" w:cs="仿宋_GB2312"/>
          <w:color w:val="000000"/>
          <w:sz w:val="24"/>
          <w:szCs w:val="24"/>
        </w:rPr>
      </w:pPr>
    </w:p>
    <w:p w14:paraId="40FFFA9E">
      <w:pPr>
        <w:tabs>
          <w:tab w:val="left" w:pos="1260"/>
          <w:tab w:val="left" w:pos="2160"/>
          <w:tab w:val="left" w:pos="7920"/>
        </w:tabs>
        <w:spacing w:before="156" w:after="156" w:line="400" w:lineRule="exact"/>
        <w:ind w:firstLine="520" w:firstLineChars="217"/>
        <w:rPr>
          <w:rFonts w:hint="default" w:ascii="仿宋" w:hAnsi="仿宋" w:eastAsia="仿宋" w:cs="仿宋"/>
          <w:sz w:val="24"/>
          <w:szCs w:val="24"/>
        </w:rPr>
      </w:pPr>
      <w:bookmarkStart w:id="0" w:name="_Hlk520358562"/>
      <w:r>
        <w:rPr>
          <w:rFonts w:ascii="仿宋" w:hAnsi="仿宋" w:eastAsia="仿宋" w:cs="仿宋"/>
          <w:sz w:val="24"/>
          <w:szCs w:val="24"/>
        </w:rPr>
        <w:t>依照《中华人民共和国民法典》及甲乙双方本着平等、自愿的原则，就</w:t>
      </w:r>
      <w:r>
        <w:rPr>
          <w:rFonts w:ascii="仿宋" w:hAnsi="仿宋" w:eastAsia="仿宋" w:cs="仿宋"/>
          <w:sz w:val="24"/>
          <w:szCs w:val="24"/>
          <w:u w:val="single"/>
        </w:rPr>
        <w:t>引入自助售货机投放项目</w:t>
      </w:r>
      <w:r>
        <w:rPr>
          <w:rFonts w:ascii="仿宋" w:hAnsi="仿宋" w:eastAsia="仿宋" w:cs="仿宋"/>
          <w:sz w:val="24"/>
          <w:szCs w:val="24"/>
        </w:rPr>
        <w:t>事宜，经双方协商一致，签订本合同。</w:t>
      </w:r>
    </w:p>
    <w:p w14:paraId="373E46BB">
      <w:pPr>
        <w:spacing w:line="400" w:lineRule="exact"/>
        <w:ind w:firstLine="480" w:firstLineChars="200"/>
        <w:rPr>
          <w:rFonts w:hint="default" w:ascii="仿宋_GB2312" w:hAnsi="仿宋_GB2312" w:eastAsia="仿宋_GB2312" w:cs="仿宋_GB2312"/>
          <w:b/>
          <w:sz w:val="24"/>
          <w:szCs w:val="24"/>
        </w:rPr>
      </w:pPr>
      <w:r>
        <w:rPr>
          <w:rFonts w:ascii="黑体" w:hAnsi="黑体" w:eastAsia="黑体" w:cs="黑体"/>
          <w:bCs/>
          <w:sz w:val="24"/>
          <w:szCs w:val="24"/>
        </w:rPr>
        <w:t>第一条 项目概况</w:t>
      </w:r>
    </w:p>
    <w:p w14:paraId="6B2C4AC6">
      <w:pPr>
        <w:tabs>
          <w:tab w:val="left" w:pos="1260"/>
          <w:tab w:val="left" w:pos="2160"/>
          <w:tab w:val="left" w:pos="7920"/>
        </w:tabs>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1.项目名称：自助售货机投放项目。</w:t>
      </w:r>
    </w:p>
    <w:p w14:paraId="1D3D7BC7">
      <w:pPr>
        <w:tabs>
          <w:tab w:val="left" w:pos="1260"/>
          <w:tab w:val="left" w:pos="2160"/>
          <w:tab w:val="left" w:pos="7920"/>
        </w:tabs>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2.项目地址（下称“场地”）：中山市阜沙镇中心小学侧门、中山市阜沙镇牛角小学侧门、中山市阜沙镇罗松小学侧门。</w:t>
      </w:r>
    </w:p>
    <w:p w14:paraId="5AC23FDB">
      <w:pPr>
        <w:tabs>
          <w:tab w:val="left" w:pos="1260"/>
          <w:tab w:val="left" w:pos="2160"/>
          <w:tab w:val="left" w:pos="7920"/>
        </w:tabs>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3.项目范围及内容：</w:t>
      </w:r>
    </w:p>
    <w:p w14:paraId="6918A819">
      <w:pPr>
        <w:tabs>
          <w:tab w:val="left" w:pos="1260"/>
          <w:tab w:val="left" w:pos="2160"/>
          <w:tab w:val="left" w:pos="7920"/>
        </w:tabs>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乙方负责运营的</w:t>
      </w:r>
      <w:r>
        <w:rPr>
          <w:rFonts w:ascii="仿宋" w:hAnsi="仿宋" w:eastAsia="仿宋" w:cs="仿宋"/>
          <w:sz w:val="24"/>
          <w:szCs w:val="24"/>
        </w:rPr>
        <w:t>自助售货机</w:t>
      </w:r>
      <w:r>
        <w:rPr>
          <w:rFonts w:ascii="仿宋" w:hAnsi="仿宋" w:eastAsia="仿宋" w:cs="仿宋"/>
          <w:color w:val="000000"/>
          <w:sz w:val="24"/>
          <w:szCs w:val="24"/>
        </w:rPr>
        <w:t>投放到甲方指定位置，由乙方供应和销售自助售货机内货物，期间投入的成本由乙方负责投入。摆放数量暂定共3台（可根据实际情况双方协商增减自助售货机投放数量）。乙方投放的每台自助售货机，按其月度营业额的</w:t>
      </w:r>
      <w:r>
        <w:rPr>
          <w:rFonts w:ascii="仿宋" w:hAnsi="仿宋" w:eastAsia="仿宋" w:cs="仿宋"/>
          <w:color w:val="000000"/>
          <w:sz w:val="24"/>
          <w:szCs w:val="24"/>
          <w:u w:val="single"/>
        </w:rPr>
        <w:t xml:space="preserve">    </w:t>
      </w:r>
      <w:r>
        <w:rPr>
          <w:rFonts w:ascii="仿宋" w:hAnsi="仿宋" w:eastAsia="仿宋" w:cs="仿宋"/>
          <w:color w:val="000000"/>
          <w:sz w:val="24"/>
          <w:szCs w:val="24"/>
        </w:rPr>
        <w:t>%（不低于15%）向甲方支付项目管理费。双方确认，本合同所称“营业额”指自助售货机终端消费者通过任何支付方式完成的、不可撤销的商品交易总金额（含增值税），不包括任何退款、退货及第三方支付平台收取的交易手续费。</w:t>
      </w:r>
    </w:p>
    <w:p w14:paraId="71F5A45D">
      <w:pPr>
        <w:tabs>
          <w:tab w:val="left" w:pos="1260"/>
          <w:tab w:val="left" w:pos="2160"/>
          <w:tab w:val="left" w:pos="7920"/>
        </w:tabs>
        <w:spacing w:line="400" w:lineRule="exact"/>
        <w:jc w:val="left"/>
        <w:rPr>
          <w:rFonts w:hint="default" w:ascii="仿宋" w:hAnsi="仿宋" w:eastAsia="仿宋" w:cs="仿宋"/>
          <w:sz w:val="24"/>
          <w:szCs w:val="24"/>
        </w:rPr>
      </w:pPr>
      <w:r>
        <w:rPr>
          <w:rFonts w:ascii="仿宋" w:hAnsi="仿宋" w:eastAsia="仿宋" w:cs="仿宋"/>
          <w:sz w:val="24"/>
          <w:szCs w:val="24"/>
        </w:rPr>
        <w:t xml:space="preserve">    4.产品分类与责任划分：</w:t>
      </w:r>
    </w:p>
    <w:p w14:paraId="77AF8974">
      <w:pPr>
        <w:tabs>
          <w:tab w:val="left" w:pos="1260"/>
          <w:tab w:val="left" w:pos="2160"/>
          <w:tab w:val="left" w:pos="7920"/>
        </w:tabs>
        <w:spacing w:line="400" w:lineRule="exact"/>
        <w:ind w:firstLine="480" w:firstLineChars="200"/>
        <w:jc w:val="left"/>
        <w:rPr>
          <w:rFonts w:hint="default" w:ascii="仿宋" w:hAnsi="仿宋" w:eastAsia="仿宋" w:cs="仿宋"/>
          <w:sz w:val="24"/>
          <w:szCs w:val="24"/>
        </w:rPr>
      </w:pPr>
      <w:r>
        <w:rPr>
          <w:rFonts w:ascii="仿宋" w:hAnsi="仿宋" w:eastAsia="仿宋" w:cs="仿宋"/>
          <w:sz w:val="24"/>
          <w:szCs w:val="24"/>
        </w:rPr>
        <w:t>乙方除支付上述项目管理费外，还应独立承担其设备运营所产生的全部水费、电费、网络通讯费等一切费用。电费、水费计费标准为：用电户当月平均电费*乙方设备当月用电量。</w:t>
      </w:r>
    </w:p>
    <w:p w14:paraId="24392925">
      <w:pPr>
        <w:tabs>
          <w:tab w:val="left" w:pos="1260"/>
          <w:tab w:val="left" w:pos="2160"/>
          <w:tab w:val="left" w:pos="7920"/>
        </w:tabs>
        <w:spacing w:line="400" w:lineRule="exact"/>
        <w:ind w:firstLine="480" w:firstLineChars="200"/>
        <w:jc w:val="left"/>
        <w:rPr>
          <w:rFonts w:hint="default" w:ascii="仿宋" w:hAnsi="仿宋" w:eastAsia="仿宋" w:cs="仿宋"/>
          <w:sz w:val="24"/>
          <w:szCs w:val="24"/>
        </w:rPr>
      </w:pPr>
      <w:r>
        <w:rPr>
          <w:rFonts w:ascii="仿宋" w:hAnsi="仿宋" w:eastAsia="仿宋" w:cs="仿宋"/>
          <w:sz w:val="24"/>
          <w:szCs w:val="24"/>
        </w:rPr>
        <w:t>5.审计条款：</w:t>
      </w:r>
    </w:p>
    <w:p w14:paraId="3FEC299D">
      <w:pPr>
        <w:tabs>
          <w:tab w:val="left" w:pos="1260"/>
          <w:tab w:val="left" w:pos="2160"/>
          <w:tab w:val="left" w:pos="7920"/>
        </w:tabs>
        <w:spacing w:line="400" w:lineRule="exact"/>
        <w:ind w:firstLine="480" w:firstLineChars="200"/>
        <w:jc w:val="left"/>
        <w:rPr>
          <w:rFonts w:ascii="仿宋" w:hAnsi="仿宋" w:eastAsia="仿宋" w:cs="仿宋"/>
          <w:sz w:val="24"/>
          <w:szCs w:val="24"/>
        </w:rPr>
      </w:pPr>
      <w:r>
        <w:rPr>
          <w:rFonts w:ascii="仿宋" w:hAnsi="仿宋" w:eastAsia="仿宋" w:cs="仿宋"/>
          <w:sz w:val="24"/>
          <w:szCs w:val="24"/>
        </w:rPr>
        <w:t>甲方有权每季度或每年对乙方的营业额数据进行一次审计。乙方应保留所有相关的销售记录、财务账目及后台数据，保存期限不少于合同终止后三年，并应在甲方提出书面审计要求后五个工作日内提供。如审计发现乙方提供的营业额数据存在差异（误差超过3%），则乙方除补足差额外，还应承担此次审计的全部费用，并支付差额部分20%的违约金。入数据误差小于3</w:t>
      </w:r>
      <w:r>
        <w:rPr>
          <w:rFonts w:hint="default" w:ascii="仿宋" w:hAnsi="仿宋" w:eastAsia="仿宋" w:cs="仿宋"/>
          <w:sz w:val="24"/>
          <w:szCs w:val="24"/>
        </w:rPr>
        <w:t>%</w:t>
      </w:r>
      <w:r>
        <w:rPr>
          <w:rFonts w:ascii="仿宋" w:hAnsi="仿宋" w:eastAsia="仿宋" w:cs="仿宋"/>
          <w:sz w:val="24"/>
          <w:szCs w:val="24"/>
        </w:rPr>
        <w:t>，则乙方应补足差额部分。</w:t>
      </w:r>
    </w:p>
    <w:p w14:paraId="62053636">
      <w:pPr>
        <w:tabs>
          <w:tab w:val="left" w:pos="1260"/>
          <w:tab w:val="left" w:pos="2160"/>
          <w:tab w:val="left" w:pos="7920"/>
        </w:tabs>
        <w:spacing w:line="400" w:lineRule="exact"/>
        <w:ind w:firstLine="480" w:firstLineChars="200"/>
        <w:jc w:val="left"/>
        <w:rPr>
          <w:rFonts w:hint="default" w:ascii="仿宋" w:hAnsi="仿宋" w:eastAsia="仿宋" w:cs="仿宋"/>
          <w:sz w:val="24"/>
          <w:szCs w:val="24"/>
        </w:rPr>
      </w:pPr>
      <w:r>
        <w:rPr>
          <w:rFonts w:ascii="仿宋" w:hAnsi="仿宋" w:eastAsia="仿宋" w:cs="仿宋"/>
          <w:sz w:val="24"/>
          <w:szCs w:val="24"/>
        </w:rPr>
        <w:t xml:space="preserve">（1）售货机内销售商品形式：  </w:t>
      </w:r>
    </w:p>
    <w:p w14:paraId="7CFDAF13">
      <w:pPr>
        <w:tabs>
          <w:tab w:val="left" w:pos="1260"/>
          <w:tab w:val="left" w:pos="2160"/>
          <w:tab w:val="left" w:pos="7920"/>
        </w:tabs>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乙方供产品：甲乙双方指定销售商品，由乙方直接供应，乙方需提供产品合格证明及质检报告供甲方备案；</w:t>
      </w:r>
    </w:p>
    <w:p w14:paraId="2B32569A">
      <w:pPr>
        <w:tabs>
          <w:tab w:val="left" w:pos="1260"/>
          <w:tab w:val="left" w:pos="2160"/>
          <w:tab w:val="left" w:pos="7920"/>
        </w:tabs>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 xml:space="preserve">乙方自营产品：由乙方自行采购并销售的商品。  </w:t>
      </w:r>
    </w:p>
    <w:p w14:paraId="45311E99">
      <w:pPr>
        <w:tabs>
          <w:tab w:val="left" w:pos="1260"/>
          <w:tab w:val="left" w:pos="2160"/>
          <w:tab w:val="left" w:pos="7920"/>
        </w:tabs>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（2）乙供产品质量责任：</w:t>
      </w:r>
    </w:p>
    <w:p w14:paraId="086FA675">
      <w:pPr>
        <w:tabs>
          <w:tab w:val="left" w:pos="1260"/>
          <w:tab w:val="left" w:pos="2160"/>
          <w:tab w:val="left" w:pos="7920"/>
        </w:tabs>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乙方保证供应产品符合国家质量标准及法律法规，因乙供产品质量问题（如过期、变质、虚假宣传等）引发的投诉、处罚或诉讼，由乙方承担全部赔偿及法律责任，并赔偿因此产生的直接损失（含律师费、垫付款等）；</w:t>
      </w:r>
    </w:p>
    <w:p w14:paraId="3E5185EF">
      <w:pPr>
        <w:tabs>
          <w:tab w:val="left" w:pos="1260"/>
          <w:tab w:val="left" w:pos="2160"/>
          <w:tab w:val="left" w:pos="7920"/>
        </w:tabs>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 xml:space="preserve">甲方有权对乙方供应产品进行抽检，发现问题可拒收并要求乙方更换。  </w:t>
      </w:r>
    </w:p>
    <w:p w14:paraId="588BFAD6">
      <w:pPr>
        <w:tabs>
          <w:tab w:val="left" w:pos="1260"/>
          <w:tab w:val="left" w:pos="2160"/>
          <w:tab w:val="left" w:pos="7920"/>
        </w:tabs>
        <w:spacing w:line="400" w:lineRule="exact"/>
        <w:ind w:firstLine="240" w:firstLineChars="100"/>
        <w:rPr>
          <w:rFonts w:hint="default" w:ascii="仿宋" w:hAnsi="仿宋" w:eastAsia="仿宋" w:cs="仿宋"/>
          <w:sz w:val="24"/>
          <w:szCs w:val="24"/>
        </w:rPr>
      </w:pPr>
      <w:r>
        <w:rPr>
          <w:rFonts w:ascii="仿宋" w:hAnsi="仿宋" w:eastAsia="仿宋" w:cs="仿宋"/>
          <w:sz w:val="24"/>
          <w:szCs w:val="24"/>
        </w:rPr>
        <w:t>（3）追溯义务：</w:t>
      </w:r>
    </w:p>
    <w:p w14:paraId="0D22DBDB">
      <w:pPr>
        <w:tabs>
          <w:tab w:val="left" w:pos="1260"/>
          <w:tab w:val="left" w:pos="2160"/>
          <w:tab w:val="left" w:pos="7920"/>
        </w:tabs>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 xml:space="preserve">双方应保存乙方供应产品供货及验收记录，保存期不少于合同终止后2年。  </w:t>
      </w:r>
    </w:p>
    <w:p w14:paraId="0D591A8E">
      <w:pPr>
        <w:spacing w:line="400" w:lineRule="exact"/>
        <w:ind w:firstLine="480" w:firstLineChars="200"/>
        <w:rPr>
          <w:rFonts w:hint="default" w:ascii="黑体" w:hAnsi="黑体" w:eastAsia="黑体" w:cs="黑体"/>
          <w:bCs/>
          <w:sz w:val="24"/>
          <w:szCs w:val="24"/>
        </w:rPr>
      </w:pPr>
      <w:r>
        <w:rPr>
          <w:rFonts w:ascii="黑体" w:hAnsi="黑体" w:eastAsia="黑体" w:cs="黑体"/>
          <w:bCs/>
          <w:sz w:val="24"/>
          <w:szCs w:val="24"/>
        </w:rPr>
        <w:t>第二条 合同期限</w:t>
      </w:r>
    </w:p>
    <w:p w14:paraId="2E5C83B1">
      <w:pPr>
        <w:spacing w:line="400" w:lineRule="exact"/>
        <w:ind w:firstLine="480" w:firstLineChars="200"/>
        <w:rPr>
          <w:rFonts w:hint="default" w:ascii="仿宋" w:hAnsi="仿宋" w:eastAsia="仿宋" w:cs="仿宋"/>
          <w:b/>
          <w:sz w:val="24"/>
          <w:szCs w:val="24"/>
        </w:rPr>
      </w:pPr>
      <w:r>
        <w:rPr>
          <w:rFonts w:ascii="仿宋" w:hAnsi="仿宋" w:eastAsia="仿宋" w:cs="仿宋"/>
          <w:sz w:val="24"/>
          <w:szCs w:val="24"/>
        </w:rPr>
        <w:t>合同期限：合同期限为</w:t>
      </w:r>
      <w:r>
        <w:rPr>
          <w:rFonts w:ascii="仿宋" w:hAnsi="仿宋" w:eastAsia="仿宋" w:cs="仿宋"/>
          <w:sz w:val="24"/>
          <w:szCs w:val="24"/>
          <w:u w:val="single"/>
        </w:rPr>
        <w:t>贰</w:t>
      </w:r>
      <w:r>
        <w:rPr>
          <w:rFonts w:ascii="仿宋" w:hAnsi="仿宋" w:eastAsia="仿宋" w:cs="仿宋"/>
          <w:sz w:val="24"/>
          <w:szCs w:val="24"/>
        </w:rPr>
        <w:t>年，自</w:t>
      </w:r>
      <w:r>
        <w:rPr>
          <w:rFonts w:ascii="仿宋" w:hAnsi="仿宋" w:eastAsia="仿宋" w:cs="仿宋"/>
          <w:sz w:val="24"/>
          <w:szCs w:val="24"/>
          <w:u w:val="single"/>
        </w:rPr>
        <w:t xml:space="preserve"> 2026 年   月   日</w:t>
      </w:r>
      <w:r>
        <w:rPr>
          <w:rFonts w:ascii="仿宋" w:hAnsi="仿宋" w:eastAsia="仿宋" w:cs="仿宋"/>
          <w:sz w:val="24"/>
          <w:szCs w:val="24"/>
        </w:rPr>
        <w:t>起至</w:t>
      </w:r>
      <w:r>
        <w:rPr>
          <w:rFonts w:ascii="仿宋" w:hAnsi="仿宋" w:eastAsia="仿宋" w:cs="仿宋"/>
          <w:sz w:val="24"/>
          <w:szCs w:val="24"/>
          <w:u w:val="single"/>
        </w:rPr>
        <w:t xml:space="preserve"> 2028年   月   日</w:t>
      </w:r>
      <w:r>
        <w:rPr>
          <w:rFonts w:ascii="仿宋" w:hAnsi="仿宋" w:eastAsia="仿宋" w:cs="仿宋"/>
          <w:sz w:val="24"/>
          <w:szCs w:val="24"/>
        </w:rPr>
        <w:t>止。</w:t>
      </w:r>
    </w:p>
    <w:p w14:paraId="2E34E96E">
      <w:pPr>
        <w:spacing w:line="400" w:lineRule="exact"/>
        <w:ind w:firstLine="480" w:firstLineChars="200"/>
        <w:rPr>
          <w:rFonts w:hint="default" w:ascii="仿宋_GB2312" w:hAnsi="仿宋_GB2312" w:eastAsia="仿宋_GB2312" w:cs="仿宋_GB2312"/>
          <w:b/>
          <w:sz w:val="24"/>
          <w:szCs w:val="24"/>
        </w:rPr>
      </w:pPr>
      <w:r>
        <w:rPr>
          <w:rFonts w:ascii="黑体" w:hAnsi="黑体" w:eastAsia="黑体" w:cs="黑体"/>
          <w:bCs/>
          <w:sz w:val="24"/>
          <w:szCs w:val="24"/>
        </w:rPr>
        <w:t>第三条 支付方式</w:t>
      </w:r>
    </w:p>
    <w:p w14:paraId="3EEBE96B">
      <w:pPr>
        <w:tabs>
          <w:tab w:val="left" w:pos="1260"/>
          <w:tab w:val="left" w:pos="2160"/>
          <w:tab w:val="left" w:pos="7920"/>
        </w:tabs>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1.本合同的所有价格均已含税，每笔款额均以人民币支付。即乙方每月向甲方缴纳项目管理费（水、电费另外结算）为自助售货机营业额*</w:t>
      </w:r>
      <w:r>
        <w:rPr>
          <w:rFonts w:ascii="仿宋" w:hAnsi="仿宋" w:eastAsia="仿宋" w:cs="仿宋"/>
          <w:color w:val="000000"/>
          <w:sz w:val="24"/>
          <w:szCs w:val="24"/>
          <w:u w:val="single"/>
        </w:rPr>
        <w:t xml:space="preserve">    </w:t>
      </w:r>
      <w:r>
        <w:rPr>
          <w:rFonts w:ascii="仿宋" w:hAnsi="仿宋" w:eastAsia="仿宋" w:cs="仿宋"/>
          <w:color w:val="000000"/>
          <w:sz w:val="24"/>
          <w:szCs w:val="24"/>
        </w:rPr>
        <w:t>%（不低于15%）。</w:t>
      </w:r>
    </w:p>
    <w:p w14:paraId="7B667A25">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2.支付周期：项目管理费按月支付。本合同生效后，每月第5个工作日前，乙方应主动向甲方提供经双方确认的上一个月各点位自助售货机的营业额明细及汇总表（需加盖乙方公章）。双方应在3个工作日内完成核对。</w:t>
      </w:r>
    </w:p>
    <w:p w14:paraId="2568DA33">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3.支付流程：双方对营业额核对无误后，乙方应在收到甲方出具的等额、合法有效的增值税普通发票之日起3个工作日内，将当期项目管理费足额支付至本合同约定的甲方账户。</w:t>
      </w:r>
    </w:p>
    <w:p w14:paraId="67443D53">
      <w:pPr>
        <w:spacing w:line="400" w:lineRule="exact"/>
        <w:ind w:firstLine="480" w:firstLineChars="200"/>
        <w:rPr>
          <w:rFonts w:hint="default" w:ascii="仿宋" w:hAnsi="仿宋" w:eastAsia="仿宋" w:cs="仿宋"/>
          <w:color w:val="000000"/>
          <w:sz w:val="24"/>
          <w:szCs w:val="24"/>
        </w:rPr>
      </w:pPr>
      <w:r>
        <w:rPr>
          <w:rFonts w:hint="default" w:ascii="仿宋" w:hAnsi="仿宋" w:eastAsia="仿宋" w:cs="仿宋"/>
          <w:color w:val="000000"/>
          <w:sz w:val="24"/>
          <w:szCs w:val="24"/>
        </w:rPr>
        <w:t>4</w:t>
      </w:r>
      <w:r>
        <w:rPr>
          <w:rFonts w:ascii="仿宋" w:hAnsi="仿宋" w:eastAsia="仿宋" w:cs="仿宋"/>
          <w:color w:val="000000"/>
          <w:sz w:val="24"/>
          <w:szCs w:val="24"/>
        </w:rPr>
        <w:t>.账户及开票信息</w:t>
      </w:r>
    </w:p>
    <w:p w14:paraId="3FF17863">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（1）甲方指定以下账户为唯一收款账户：</w:t>
      </w:r>
    </w:p>
    <w:p w14:paraId="2DA442A3">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账户名称：中山市阜沙镇资产经营管理有限公司</w:t>
      </w:r>
    </w:p>
    <w:p w14:paraId="119D246F">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统一社会信用代码：91442000792909422D</w:t>
      </w:r>
    </w:p>
    <w:p w14:paraId="548B7929">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开户银行：</w:t>
      </w:r>
    </w:p>
    <w:p w14:paraId="05B3F4A3">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银行账号：</w:t>
      </w:r>
    </w:p>
    <w:p w14:paraId="63BCC36A">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（2）甲方向乙方开具发票的信息：</w:t>
      </w:r>
    </w:p>
    <w:p w14:paraId="5BA1AE2B">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单位名称：</w:t>
      </w:r>
    </w:p>
    <w:p w14:paraId="64A3A0B4">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统一社会信用代码：</w:t>
      </w:r>
    </w:p>
    <w:p w14:paraId="7459079B">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地址：</w:t>
      </w:r>
    </w:p>
    <w:p w14:paraId="1685CCEF">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开户行：</w:t>
      </w:r>
    </w:p>
    <w:p w14:paraId="2613979C">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开户行账号：</w:t>
      </w:r>
    </w:p>
    <w:p w14:paraId="58AC0AA5">
      <w:pPr>
        <w:spacing w:line="400" w:lineRule="exact"/>
        <w:ind w:firstLine="480" w:firstLineChars="200"/>
        <w:rPr>
          <w:rFonts w:hint="default" w:ascii="仿宋" w:hAnsi="仿宋" w:eastAsia="仿宋" w:cs="仿宋"/>
          <w:color w:val="000000"/>
          <w:sz w:val="24"/>
          <w:szCs w:val="24"/>
        </w:rPr>
      </w:pPr>
      <w:r>
        <w:rPr>
          <w:rFonts w:hint="default" w:ascii="仿宋" w:hAnsi="仿宋" w:eastAsia="仿宋" w:cs="仿宋"/>
          <w:color w:val="000000"/>
          <w:sz w:val="24"/>
          <w:szCs w:val="24"/>
        </w:rPr>
        <w:t>5</w:t>
      </w:r>
      <w:r>
        <w:rPr>
          <w:rFonts w:ascii="仿宋" w:hAnsi="仿宋" w:eastAsia="仿宋" w:cs="仿宋"/>
          <w:color w:val="000000"/>
          <w:sz w:val="24"/>
          <w:szCs w:val="24"/>
        </w:rPr>
        <w:t>.</w:t>
      </w:r>
      <w:r>
        <w:rPr>
          <w:rFonts w:ascii="仿宋" w:hAnsi="仿宋" w:eastAsia="仿宋" w:cs="仿宋"/>
          <w:spacing w:val="6"/>
          <w:sz w:val="24"/>
        </w:rPr>
        <w:t>在合作期内产生的包括但不限于</w:t>
      </w:r>
      <w:r>
        <w:rPr>
          <w:rFonts w:ascii="仿宋" w:hAnsi="仿宋" w:eastAsia="仿宋" w:cs="仿宋"/>
          <w:spacing w:val="6"/>
          <w:sz w:val="24"/>
          <w:u w:val="single"/>
        </w:rPr>
        <w:t xml:space="preserve"> 水费</w:t>
      </w:r>
      <w:r>
        <w:rPr>
          <w:rFonts w:ascii="仿宋" w:hAnsi="仿宋" w:eastAsia="仿宋" w:cs="仿宋"/>
          <w:spacing w:val="6"/>
          <w:sz w:val="24"/>
        </w:rPr>
        <w:t>、</w:t>
      </w:r>
      <w:r>
        <w:rPr>
          <w:rFonts w:ascii="仿宋" w:hAnsi="仿宋" w:eastAsia="仿宋" w:cs="仿宋"/>
          <w:spacing w:val="6"/>
          <w:sz w:val="24"/>
          <w:u w:val="single"/>
        </w:rPr>
        <w:t xml:space="preserve"> 电费 </w:t>
      </w:r>
      <w:r>
        <w:rPr>
          <w:rFonts w:ascii="仿宋" w:hAnsi="仿宋" w:eastAsia="仿宋" w:cs="仿宋"/>
          <w:spacing w:val="6"/>
          <w:sz w:val="24"/>
        </w:rPr>
        <w:t>等费用由</w:t>
      </w:r>
      <w:r>
        <w:rPr>
          <w:rFonts w:ascii="仿宋" w:hAnsi="仿宋" w:eastAsia="仿宋" w:cs="仿宋"/>
          <w:spacing w:val="6"/>
          <w:sz w:val="24"/>
          <w:u w:val="single"/>
        </w:rPr>
        <w:t>乙方</w:t>
      </w:r>
      <w:r>
        <w:rPr>
          <w:rFonts w:ascii="仿宋" w:hAnsi="仿宋" w:eastAsia="仿宋" w:cs="仿宋"/>
          <w:spacing w:val="6"/>
          <w:sz w:val="24"/>
        </w:rPr>
        <w:t>负担，所涉及的水、电费等费用由乙方直接向场地所属单位的用水、用电结算账户（详见附件）支付，与甲方无关。</w:t>
      </w:r>
    </w:p>
    <w:bookmarkEnd w:id="0"/>
    <w:p w14:paraId="5B214703">
      <w:pPr>
        <w:spacing w:line="400" w:lineRule="exact"/>
        <w:ind w:firstLine="480" w:firstLineChars="200"/>
        <w:rPr>
          <w:rFonts w:hint="default" w:ascii="黑体" w:hAnsi="黑体" w:eastAsia="黑体" w:cs="黑体"/>
          <w:bCs/>
          <w:sz w:val="24"/>
          <w:szCs w:val="24"/>
        </w:rPr>
      </w:pPr>
      <w:r>
        <w:rPr>
          <w:rFonts w:ascii="黑体" w:hAnsi="黑体" w:eastAsia="黑体" w:cs="黑体"/>
          <w:bCs/>
          <w:sz w:val="24"/>
          <w:szCs w:val="24"/>
        </w:rPr>
        <w:t>第四条 甲方的权利与义务</w:t>
      </w:r>
    </w:p>
    <w:p w14:paraId="26AE2D96">
      <w:pPr>
        <w:spacing w:line="400" w:lineRule="exact"/>
        <w:ind w:firstLine="480" w:firstLineChars="200"/>
        <w:rPr>
          <w:rFonts w:hint="default" w:ascii="仿宋" w:hAnsi="仿宋" w:eastAsia="仿宋" w:cs="仿宋"/>
          <w:kern w:val="0"/>
          <w:sz w:val="24"/>
          <w:szCs w:val="24"/>
        </w:rPr>
      </w:pPr>
      <w:bookmarkStart w:id="1" w:name="_Hlk520363398"/>
      <w:r>
        <w:rPr>
          <w:rFonts w:ascii="仿宋" w:hAnsi="仿宋" w:eastAsia="仿宋" w:cs="仿宋"/>
          <w:kern w:val="0"/>
          <w:sz w:val="24"/>
          <w:szCs w:val="24"/>
        </w:rPr>
        <w:t xml:space="preserve">1.甲方提供场地，乙方免费提供自助售货机及服务，并负责设备安装和上线。 </w:t>
      </w:r>
    </w:p>
    <w:p w14:paraId="031791C3">
      <w:pPr>
        <w:widowControl/>
        <w:spacing w:line="400" w:lineRule="exact"/>
        <w:ind w:left="7" w:firstLine="470" w:firstLineChars="196"/>
        <w:jc w:val="left"/>
        <w:rPr>
          <w:rFonts w:hint="default" w:ascii="仿宋" w:hAnsi="仿宋" w:eastAsia="仿宋" w:cs="仿宋"/>
          <w:kern w:val="0"/>
          <w:sz w:val="24"/>
          <w:szCs w:val="24"/>
        </w:rPr>
      </w:pPr>
      <w:bookmarkStart w:id="2" w:name="_Hlk520368354"/>
      <w:r>
        <w:rPr>
          <w:rFonts w:ascii="仿宋" w:hAnsi="仿宋" w:eastAsia="仿宋" w:cs="仿宋"/>
          <w:kern w:val="0"/>
          <w:sz w:val="24"/>
          <w:szCs w:val="24"/>
        </w:rPr>
        <w:t>2.双方应在甲</w:t>
      </w:r>
      <w:r>
        <w:rPr>
          <w:rFonts w:ascii="仿宋" w:hAnsi="仿宋" w:eastAsia="仿宋" w:cs="仿宋"/>
          <w:sz w:val="24"/>
          <w:szCs w:val="24"/>
        </w:rPr>
        <w:t>方场地内协商确定自</w:t>
      </w:r>
      <w:r>
        <w:rPr>
          <w:rFonts w:ascii="仿宋" w:hAnsi="仿宋" w:eastAsia="仿宋" w:cs="仿宋"/>
          <w:kern w:val="0"/>
          <w:sz w:val="24"/>
          <w:szCs w:val="24"/>
        </w:rPr>
        <w:t>动售货机的具体摆放位置，甲方应提供摆放位置24小时电源供给。若发生与场地有关的权属纠纷，由甲方协调处理。</w:t>
      </w:r>
      <w:bookmarkEnd w:id="2"/>
    </w:p>
    <w:p w14:paraId="3A3F9725">
      <w:pPr>
        <w:widowControl/>
        <w:spacing w:line="400" w:lineRule="exact"/>
        <w:ind w:left="7" w:firstLine="470" w:firstLineChars="196"/>
        <w:jc w:val="left"/>
        <w:rPr>
          <w:rFonts w:hint="default" w:ascii="仿宋" w:hAnsi="仿宋" w:eastAsia="仿宋" w:cs="仿宋"/>
          <w:kern w:val="0"/>
          <w:sz w:val="24"/>
          <w:szCs w:val="24"/>
        </w:rPr>
      </w:pPr>
      <w:r>
        <w:rPr>
          <w:rFonts w:ascii="仿宋" w:hAnsi="仿宋" w:eastAsia="仿宋" w:cs="仿宋"/>
          <w:kern w:val="0"/>
          <w:sz w:val="24"/>
          <w:szCs w:val="24"/>
        </w:rPr>
        <w:t>3.甲方无义务对乙方设备及商品进行保管或看守。若甲方工作人员发现设备遭受人为损坏、被盗或其他异常情况，应及时通知乙方指定联系人。乙方应自行负责其设备及商品的全部安全，包括但不限于购买足额财产保险。因任何原因（包括但不限于第三人盗窃、损坏、火灾、水灾等）导致的设备或商品损失，均由乙方自行承担，甲方不承担任何赔偿责任，但法律明确规定应由甲方承担责任的除外。</w:t>
      </w:r>
    </w:p>
    <w:p w14:paraId="34962DDA">
      <w:pPr>
        <w:widowControl/>
        <w:spacing w:line="400" w:lineRule="exact"/>
        <w:ind w:left="7" w:firstLine="470" w:firstLineChars="196"/>
        <w:jc w:val="left"/>
        <w:rPr>
          <w:rFonts w:hint="default" w:ascii="仿宋" w:hAnsi="仿宋" w:eastAsia="仿宋" w:cs="仿宋"/>
          <w:sz w:val="24"/>
          <w:szCs w:val="24"/>
        </w:rPr>
      </w:pPr>
      <w:r>
        <w:rPr>
          <w:rFonts w:ascii="仿宋" w:hAnsi="仿宋" w:eastAsia="仿宋" w:cs="仿宋"/>
          <w:sz w:val="24"/>
          <w:szCs w:val="24"/>
        </w:rPr>
        <w:t>4.甲方在发现机器故障时，有责任及时通知乙方，并为维护人员进出甲方场所提供方便。</w:t>
      </w:r>
    </w:p>
    <w:p w14:paraId="0069D2A6">
      <w:pPr>
        <w:widowControl/>
        <w:spacing w:line="400" w:lineRule="exact"/>
        <w:ind w:left="7" w:firstLine="470" w:firstLineChars="196"/>
        <w:jc w:val="left"/>
        <w:rPr>
          <w:rFonts w:hint="default" w:ascii="仿宋" w:hAnsi="仿宋" w:eastAsia="仿宋" w:cs="仿宋"/>
          <w:b/>
          <w:sz w:val="24"/>
          <w:szCs w:val="24"/>
        </w:rPr>
      </w:pPr>
      <w:r>
        <w:rPr>
          <w:rFonts w:ascii="仿宋" w:hAnsi="仿宋" w:eastAsia="仿宋" w:cs="仿宋"/>
          <w:sz w:val="24"/>
          <w:szCs w:val="24"/>
        </w:rPr>
        <w:t>5.本协议期有效期内，甲方不得同意第三方在同一场地经营与乙方同样或类似种类的自动售货机项目。</w:t>
      </w:r>
    </w:p>
    <w:p w14:paraId="76C2E499">
      <w:pPr>
        <w:widowControl/>
        <w:spacing w:line="400" w:lineRule="exact"/>
        <w:ind w:left="7" w:firstLine="470" w:firstLineChars="196"/>
        <w:jc w:val="left"/>
        <w:rPr>
          <w:rFonts w:hint="default" w:ascii="仿宋" w:hAnsi="仿宋" w:eastAsia="仿宋" w:cs="仿宋"/>
          <w:sz w:val="24"/>
          <w:szCs w:val="24"/>
        </w:rPr>
      </w:pPr>
      <w:r>
        <w:rPr>
          <w:rFonts w:ascii="仿宋" w:hAnsi="仿宋" w:eastAsia="仿宋" w:cs="仿宋"/>
          <w:sz w:val="24"/>
          <w:szCs w:val="24"/>
        </w:rPr>
        <w:t>6.</w:t>
      </w:r>
      <w:bookmarkEnd w:id="1"/>
      <w:r>
        <w:rPr>
          <w:rFonts w:ascii="仿宋" w:hAnsi="仿宋" w:eastAsia="仿宋" w:cs="仿宋"/>
          <w:sz w:val="24"/>
          <w:szCs w:val="24"/>
        </w:rPr>
        <w:t>甲方因特殊情况需要移动自助售卖机位置的，须事先通知乙方，由乙方工作人员在 3 个工作日内负责迁移。若乙方因经营原因需要调整自助售卖机摆放位置，甲方应在确认符合其管辖场所区域安排的前提下予以配合；在撤机或机器移动过程中对于场地或机器方面的损失，双方互不补偿。</w:t>
      </w:r>
    </w:p>
    <w:p w14:paraId="2DC8A790">
      <w:pPr>
        <w:spacing w:line="400" w:lineRule="exact"/>
        <w:ind w:firstLine="480" w:firstLineChars="200"/>
        <w:rPr>
          <w:rFonts w:hint="default" w:ascii="仿宋_GB2312" w:hAnsi="仿宋_GB2312" w:eastAsia="仿宋_GB2312" w:cs="仿宋_GB2312"/>
          <w:b/>
          <w:sz w:val="24"/>
          <w:szCs w:val="24"/>
        </w:rPr>
      </w:pPr>
      <w:r>
        <w:rPr>
          <w:rFonts w:ascii="黑体" w:hAnsi="黑体" w:eastAsia="黑体" w:cs="黑体"/>
          <w:bCs/>
          <w:sz w:val="24"/>
          <w:szCs w:val="24"/>
        </w:rPr>
        <w:t>第五条 乙方的权利与义务</w:t>
      </w:r>
    </w:p>
    <w:p w14:paraId="05D1096C">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1.乙方拥有自动售货机及其附属设施的所有权及获取自动售货机全部收益的权益。</w:t>
      </w:r>
    </w:p>
    <w:p w14:paraId="3F631A00">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2.乙方在自助售卖机上发布的广告及其他文字、视频内容，应当符合相关法律法规，并经过甲方认可同意后方可发布，不得发布与甲方经营项目相抵触的内容；不得通过付款码及其他渠道设置广告推送，因广告产生的一切问题纠纷均由乙方承担。</w:t>
      </w:r>
    </w:p>
    <w:p w14:paraId="57E93A74">
      <w:pPr>
        <w:widowControl/>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3.乙方承诺守法经营，保证自助售卖机所配送自营商品的品质，保证自助售卖机符合保存其供货自营商品的质量及功能要求。因自营产品质量、过期或变质造成的顾客投诉等，由乙方负责处理投诉并由乙方承担偿付责任。</w:t>
      </w:r>
    </w:p>
    <w:p w14:paraId="297466C8">
      <w:pPr>
        <w:widowControl/>
        <w:spacing w:line="400" w:lineRule="exact"/>
        <w:ind w:firstLine="480" w:firstLineChars="200"/>
        <w:rPr>
          <w:rFonts w:hint="default" w:ascii="仿宋" w:hAnsi="仿宋" w:eastAsia="仿宋" w:cs="仿宋"/>
          <w:kern w:val="0"/>
          <w:sz w:val="24"/>
          <w:szCs w:val="24"/>
        </w:rPr>
      </w:pPr>
      <w:r>
        <w:rPr>
          <w:rFonts w:ascii="仿宋" w:hAnsi="仿宋" w:eastAsia="仿宋" w:cs="仿宋"/>
          <w:kern w:val="0"/>
          <w:sz w:val="24"/>
          <w:szCs w:val="24"/>
        </w:rPr>
        <w:t>4.乙方负责机器外观维护，定期或不定期地对机器外观画面进行更换或更新，在机器上张贴维护联系人及联系电话，出现故障后需在24小时内解决故障。甲方需为乙方的维护工作提供方便。若乙方工作人员进入甲方所辖场地，需服从甲方指定负责人的管理和要求。</w:t>
      </w:r>
    </w:p>
    <w:p w14:paraId="7197DD0C">
      <w:pPr>
        <w:widowControl/>
        <w:spacing w:line="400" w:lineRule="exact"/>
        <w:ind w:firstLine="480" w:firstLineChars="200"/>
        <w:jc w:val="left"/>
        <w:rPr>
          <w:rFonts w:hint="default" w:ascii="仿宋" w:hAnsi="仿宋" w:eastAsia="仿宋" w:cs="仿宋"/>
          <w:kern w:val="0"/>
          <w:sz w:val="24"/>
          <w:szCs w:val="24"/>
        </w:rPr>
      </w:pPr>
      <w:r>
        <w:rPr>
          <w:rFonts w:ascii="仿宋" w:hAnsi="仿宋" w:eastAsia="仿宋" w:cs="仿宋"/>
          <w:kern w:val="0"/>
          <w:sz w:val="24"/>
          <w:szCs w:val="24"/>
        </w:rPr>
        <w:t>5.乙方应设消费者投诉专线，除天气恶劣及其他自然灾害乙方工作人员难以到达现场立即处理外，正常情况下若出现消费者投诉事项的，乙方应及时予以解决。</w:t>
      </w:r>
    </w:p>
    <w:p w14:paraId="6A07FFC1">
      <w:pPr>
        <w:spacing w:line="400" w:lineRule="exact"/>
        <w:ind w:firstLine="480" w:firstLineChars="200"/>
        <w:rPr>
          <w:rFonts w:hint="default" w:ascii="仿宋_GB2312" w:hAnsi="仿宋_GB2312" w:eastAsia="仿宋_GB2312" w:cs="仿宋_GB2312"/>
          <w:b/>
          <w:sz w:val="24"/>
          <w:szCs w:val="24"/>
        </w:rPr>
      </w:pPr>
      <w:r>
        <w:rPr>
          <w:rFonts w:ascii="黑体" w:hAnsi="黑体" w:eastAsia="黑体" w:cs="黑体"/>
          <w:bCs/>
          <w:sz w:val="24"/>
          <w:szCs w:val="24"/>
        </w:rPr>
        <w:t>第六条 保证条款</w:t>
      </w:r>
      <w:r>
        <w:rPr>
          <w:rFonts w:ascii="仿宋_GB2312" w:hAnsi="仿宋_GB2312" w:eastAsia="仿宋_GB2312" w:cs="仿宋_GB2312"/>
          <w:b/>
          <w:sz w:val="24"/>
          <w:szCs w:val="24"/>
        </w:rPr>
        <w:t xml:space="preserve"> </w:t>
      </w:r>
      <w:bookmarkStart w:id="13" w:name="_GoBack"/>
      <w:bookmarkEnd w:id="13"/>
    </w:p>
    <w:p w14:paraId="4FEB8C9E">
      <w:pPr>
        <w:spacing w:line="400" w:lineRule="exact"/>
        <w:ind w:firstLine="480" w:firstLineChars="200"/>
        <w:rPr>
          <w:rFonts w:hint="default" w:ascii="仿宋" w:hAnsi="仿宋" w:eastAsia="仿宋" w:cs="仿宋"/>
          <w:color w:val="000000"/>
          <w:kern w:val="10"/>
          <w:sz w:val="24"/>
          <w:szCs w:val="24"/>
        </w:rPr>
      </w:pPr>
      <w:r>
        <w:rPr>
          <w:rFonts w:ascii="仿宋" w:hAnsi="仿宋" w:eastAsia="仿宋" w:cs="仿宋"/>
          <w:color w:val="000000"/>
          <w:kern w:val="10"/>
          <w:sz w:val="24"/>
          <w:szCs w:val="24"/>
        </w:rPr>
        <w:t>1.甲乙双方均承诺其已向对方出示的各自的营业执照及其他有关证明文件是依法取得的并且是真实有效的；</w:t>
      </w:r>
    </w:p>
    <w:p w14:paraId="1A7E6CC2">
      <w:pPr>
        <w:spacing w:line="400" w:lineRule="exact"/>
        <w:ind w:firstLine="480" w:firstLineChars="200"/>
        <w:rPr>
          <w:rFonts w:hint="default" w:ascii="仿宋" w:hAnsi="仿宋" w:eastAsia="仿宋" w:cs="仿宋"/>
          <w:color w:val="000000"/>
          <w:kern w:val="10"/>
          <w:sz w:val="24"/>
          <w:szCs w:val="24"/>
        </w:rPr>
      </w:pPr>
      <w:r>
        <w:rPr>
          <w:rFonts w:ascii="仿宋" w:hAnsi="仿宋" w:eastAsia="仿宋" w:cs="仿宋"/>
          <w:color w:val="000000"/>
          <w:kern w:val="10"/>
          <w:sz w:val="24"/>
          <w:szCs w:val="24"/>
        </w:rPr>
        <w:t>2.</w:t>
      </w:r>
      <w:r>
        <w:rPr>
          <w:rFonts w:ascii="仿宋" w:hAnsi="仿宋" w:eastAsia="仿宋" w:cs="仿宋"/>
          <w:sz w:val="24"/>
          <w:szCs w:val="24"/>
        </w:rPr>
        <w:t>甲乙双方均向对方承诺其具有签订及履行本协议的全部权利和资格。</w:t>
      </w:r>
    </w:p>
    <w:p w14:paraId="7F1EFC67">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3.乙方在甲方指定场地经营自动售货机期间，与第三方发生的任何纠纷与甲方无关，乙方应妥善处理。</w:t>
      </w:r>
    </w:p>
    <w:p w14:paraId="62C608E1">
      <w:pPr>
        <w:spacing w:line="400" w:lineRule="exact"/>
        <w:ind w:firstLine="480" w:firstLineChars="200"/>
        <w:rPr>
          <w:rFonts w:hint="default" w:ascii="仿宋_GB2312" w:hAnsi="仿宋_GB2312" w:eastAsia="仿宋_GB2312" w:cs="仿宋_GB2312"/>
          <w:b/>
          <w:sz w:val="24"/>
          <w:szCs w:val="24"/>
        </w:rPr>
      </w:pPr>
      <w:r>
        <w:rPr>
          <w:rFonts w:ascii="黑体" w:hAnsi="黑体" w:eastAsia="黑体" w:cs="黑体"/>
          <w:bCs/>
          <w:sz w:val="24"/>
          <w:szCs w:val="24"/>
        </w:rPr>
        <w:t>第七条 违约责任</w:t>
      </w:r>
      <w:r>
        <w:rPr>
          <w:rFonts w:ascii="仿宋_GB2312" w:hAnsi="仿宋_GB2312" w:eastAsia="仿宋_GB2312" w:cs="仿宋_GB2312"/>
          <w:b/>
          <w:sz w:val="24"/>
          <w:szCs w:val="24"/>
        </w:rPr>
        <w:t xml:space="preserve"> </w:t>
      </w:r>
    </w:p>
    <w:p w14:paraId="624F9D8B">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1.乙方逾期支付任何一期项目管理费的，每逾期一日，应按当期应付未付管理费的千分之五向甲方支付违约金。逾期超过15日的，甲方有权单方解除本合同，要求乙方限期撤走设备，并有权要求乙方支付人民币【20,000元】的违约金，且不免除乙方结清所有欠款的义务。</w:t>
      </w:r>
    </w:p>
    <w:p w14:paraId="235BB65D">
      <w:pPr>
        <w:spacing w:line="400" w:lineRule="exact"/>
        <w:ind w:firstLine="480" w:firstLineChars="200"/>
        <w:jc w:val="left"/>
        <w:textAlignment w:val="baseline"/>
        <w:rPr>
          <w:rFonts w:hint="default" w:ascii="仿宋" w:hAnsi="仿宋" w:eastAsia="仿宋" w:cs="仿宋"/>
          <w:sz w:val="24"/>
          <w:szCs w:val="24"/>
        </w:rPr>
      </w:pPr>
      <w:r>
        <w:rPr>
          <w:rFonts w:ascii="仿宋" w:hAnsi="仿宋" w:eastAsia="仿宋" w:cs="仿宋"/>
          <w:sz w:val="24"/>
          <w:szCs w:val="24"/>
        </w:rPr>
        <w:t>2.除支付义务外，任何一方违反本合同其他约定，经守约方书面催告后15日内仍未纠正的，守约方有权解除合同。违约方应赔偿因此给守约方造成的全部实际损失。若该等损失难以计算，双方确认违约方应向守约方支付人民币【20,000元】作为违约金。</w:t>
      </w:r>
    </w:p>
    <w:p w14:paraId="106FD199">
      <w:pPr>
        <w:spacing w:line="400" w:lineRule="exact"/>
        <w:ind w:firstLine="480" w:firstLineChars="200"/>
        <w:rPr>
          <w:rFonts w:hint="default" w:ascii="黑体" w:hAnsi="黑体" w:eastAsia="黑体" w:cs="黑体"/>
          <w:bCs/>
          <w:sz w:val="24"/>
          <w:szCs w:val="24"/>
        </w:rPr>
      </w:pPr>
      <w:r>
        <w:rPr>
          <w:rFonts w:ascii="黑体" w:hAnsi="黑体" w:eastAsia="黑体" w:cs="黑体"/>
          <w:bCs/>
          <w:sz w:val="24"/>
          <w:szCs w:val="24"/>
        </w:rPr>
        <w:t>第八条 保密义务</w:t>
      </w:r>
    </w:p>
    <w:p w14:paraId="2CC89CD2">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甲乙双方应对其通过订立和履行本协议而获悉的对方的保密信息（包括但不限于商业秘密、技术诀窍、研究成果、商业计划、客户信息、财务数据、文档</w:t>
      </w:r>
      <w:r>
        <w:rPr>
          <w:rFonts w:hint="eastAsia" w:ascii="仿宋" w:hAnsi="仿宋" w:eastAsia="仿宋" w:cs="仿宋"/>
          <w:sz w:val="24"/>
          <w:szCs w:val="24"/>
          <w:lang w:eastAsia="zh-CN"/>
        </w:rPr>
        <w:t>模板</w:t>
      </w:r>
      <w:r>
        <w:rPr>
          <w:rFonts w:ascii="仿宋" w:hAnsi="仿宋" w:eastAsia="仿宋" w:cs="仿宋"/>
          <w:sz w:val="24"/>
          <w:szCs w:val="24"/>
        </w:rPr>
        <w:t>、编程规范、开发流程、质量标准以及上述信息的衍生信息在内的所有信息）严格保密，不得以任何方式利用所获取的商业秘密谋取非法利益，未经对方许可，任何一方不得向第三方（有关法律、法规、政府部门、证券交易所或其他监管机构要求和双方的投资者、法律、会计、商业及其他顾问、雇员除外）泄露前述保密信息及本协议条款的任何内容，本协议的签订及履行情况，以及通过签订和履行本协议而获知的对方及对方关联公司的任何信息。</w:t>
      </w:r>
    </w:p>
    <w:p w14:paraId="2734EDA5">
      <w:pPr>
        <w:spacing w:line="400" w:lineRule="exact"/>
        <w:ind w:firstLine="480" w:firstLineChars="200"/>
        <w:rPr>
          <w:rFonts w:hint="default" w:ascii="仿宋_GB2312" w:hAnsi="仿宋_GB2312" w:eastAsia="仿宋_GB2312" w:cs="仿宋_GB2312"/>
          <w:b/>
          <w:sz w:val="24"/>
          <w:szCs w:val="24"/>
        </w:rPr>
      </w:pPr>
      <w:r>
        <w:rPr>
          <w:rFonts w:ascii="黑体" w:hAnsi="黑体" w:eastAsia="黑体" w:cs="黑体"/>
          <w:bCs/>
          <w:sz w:val="24"/>
          <w:szCs w:val="24"/>
        </w:rPr>
        <w:t>第九条 争议解决方式</w:t>
      </w:r>
    </w:p>
    <w:p w14:paraId="348DA61D">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1.除本协议另有约定外因不可抗力造成一方不能正常履行协议，应在不可抗力发生之日起七日内通知对方，发生不可抗力的一方不须承担责任。不可抗力解除后应继续履行本协议。</w:t>
      </w:r>
    </w:p>
    <w:p w14:paraId="392A71D7">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2.本协议未尽事宜，由甲、乙双方另行协商解决。</w:t>
      </w:r>
    </w:p>
    <w:p w14:paraId="2C5E0DA3">
      <w:pPr>
        <w:spacing w:line="400" w:lineRule="exact"/>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3.本协议执行过程中发生争议，甲、乙双方协商不成，任何一方均可向甲方所在地的人民法院起诉。</w:t>
      </w:r>
    </w:p>
    <w:p w14:paraId="2F3DF976">
      <w:pPr>
        <w:spacing w:line="400" w:lineRule="exact"/>
        <w:ind w:firstLine="480" w:firstLineChars="200"/>
        <w:rPr>
          <w:rFonts w:hint="default" w:ascii="仿宋_GB2312" w:hAnsi="仿宋_GB2312" w:eastAsia="仿宋_GB2312" w:cs="仿宋_GB2312"/>
          <w:b/>
          <w:sz w:val="24"/>
          <w:szCs w:val="24"/>
        </w:rPr>
      </w:pPr>
      <w:r>
        <w:rPr>
          <w:rFonts w:ascii="黑体" w:hAnsi="黑体" w:eastAsia="黑体" w:cs="黑体"/>
          <w:bCs/>
          <w:sz w:val="24"/>
          <w:szCs w:val="24"/>
        </w:rPr>
        <w:t>第十条 其他事项</w:t>
      </w:r>
      <w:r>
        <w:rPr>
          <w:rFonts w:ascii="仿宋_GB2312" w:hAnsi="仿宋_GB2312" w:eastAsia="仿宋_GB2312" w:cs="仿宋_GB2312"/>
          <w:b/>
          <w:sz w:val="24"/>
          <w:szCs w:val="24"/>
        </w:rPr>
        <w:t xml:space="preserve"> </w:t>
      </w:r>
    </w:p>
    <w:p w14:paraId="7797F623">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除非双方达成书面一致同意，任何一方均不得转让本合同项下的任何权利或义务。</w:t>
      </w:r>
    </w:p>
    <w:p w14:paraId="1BCA877D">
      <w:pPr>
        <w:spacing w:line="400" w:lineRule="exact"/>
        <w:ind w:firstLine="480" w:firstLineChars="200"/>
        <w:rPr>
          <w:rFonts w:hint="default" w:ascii="黑体" w:hAnsi="黑体" w:eastAsia="黑体" w:cs="黑体"/>
          <w:bCs/>
          <w:sz w:val="24"/>
          <w:szCs w:val="24"/>
        </w:rPr>
      </w:pPr>
      <w:r>
        <w:rPr>
          <w:rFonts w:ascii="黑体" w:hAnsi="黑体" w:eastAsia="黑体" w:cs="黑体"/>
          <w:bCs/>
          <w:sz w:val="24"/>
          <w:szCs w:val="24"/>
        </w:rPr>
        <w:t>第十一条 合同的补充</w:t>
      </w:r>
    </w:p>
    <w:p w14:paraId="43BC9A1B">
      <w:pPr>
        <w:spacing w:line="400" w:lineRule="exact"/>
        <w:ind w:left="420" w:leftChars="200"/>
        <w:rPr>
          <w:rFonts w:hint="default" w:ascii="仿宋" w:hAnsi="仿宋" w:eastAsia="仿宋" w:cs="仿宋"/>
          <w:sz w:val="24"/>
          <w:szCs w:val="24"/>
        </w:rPr>
      </w:pPr>
      <w:r>
        <w:rPr>
          <w:rFonts w:ascii="仿宋" w:hAnsi="仿宋" w:eastAsia="仿宋" w:cs="仿宋"/>
          <w:sz w:val="24"/>
          <w:szCs w:val="24"/>
        </w:rPr>
        <w:t>1.本合同的任何修改、补充、变更应经双方协商一致，并签署书面协议。</w:t>
      </w:r>
    </w:p>
    <w:p w14:paraId="3570D387">
      <w:pPr>
        <w:spacing w:line="400" w:lineRule="exact"/>
        <w:ind w:left="0" w:leftChars="0" w:firstLine="480" w:firstLineChars="200"/>
        <w:rPr>
          <w:rFonts w:hint="default" w:ascii="仿宋" w:hAnsi="仿宋" w:eastAsia="仿宋" w:cs="仿宋"/>
          <w:sz w:val="24"/>
          <w:szCs w:val="24"/>
        </w:rPr>
      </w:pPr>
      <w:r>
        <w:rPr>
          <w:rFonts w:ascii="仿宋" w:hAnsi="仿宋" w:eastAsia="仿宋" w:cs="仿宋"/>
          <w:sz w:val="24"/>
          <w:szCs w:val="24"/>
        </w:rPr>
        <w:t>2.本合同生效后，双方以前达成的其他任何方案、口头协议或书面协议、有关函电等，均以本合同为准。</w:t>
      </w:r>
    </w:p>
    <w:p w14:paraId="446FB417">
      <w:pPr>
        <w:spacing w:line="400" w:lineRule="exact"/>
        <w:ind w:firstLine="480" w:firstLineChars="200"/>
        <w:rPr>
          <w:rFonts w:hint="default" w:ascii="仿宋_GB2312" w:hAnsi="仿宋_GB2312" w:eastAsia="仿宋_GB2312" w:cs="仿宋_GB2312"/>
          <w:color w:val="000000"/>
          <w:sz w:val="24"/>
          <w:szCs w:val="24"/>
        </w:rPr>
      </w:pPr>
      <w:r>
        <w:rPr>
          <w:rFonts w:ascii="黑体" w:hAnsi="黑体" w:eastAsia="黑体" w:cs="黑体"/>
          <w:bCs/>
          <w:sz w:val="24"/>
          <w:szCs w:val="24"/>
        </w:rPr>
        <w:t>第十二条 合同的生效及终止</w:t>
      </w:r>
    </w:p>
    <w:p w14:paraId="0C5CAC3A">
      <w:pPr>
        <w:spacing w:line="400" w:lineRule="exact"/>
        <w:ind w:firstLine="480" w:firstLineChars="200"/>
        <w:rPr>
          <w:rFonts w:hint="default" w:ascii="仿宋" w:hAnsi="仿宋" w:eastAsia="仿宋" w:cs="仿宋"/>
          <w:sz w:val="24"/>
          <w:szCs w:val="24"/>
        </w:rPr>
      </w:pPr>
      <w:r>
        <w:rPr>
          <w:rFonts w:ascii="仿宋" w:hAnsi="仿宋" w:eastAsia="仿宋" w:cs="仿宋"/>
          <w:sz w:val="24"/>
          <w:szCs w:val="24"/>
        </w:rPr>
        <w:t>1.本合同以及附件自双方盖章且各自法定代表人负责人(或其授权代理人)签字之日生效，至双方约定的合同期届满时终止。</w:t>
      </w:r>
    </w:p>
    <w:p w14:paraId="5A47E6B0">
      <w:pPr>
        <w:spacing w:line="400" w:lineRule="exact"/>
        <w:ind w:firstLine="480" w:firstLineChars="200"/>
        <w:rPr>
          <w:rFonts w:hint="default" w:ascii="仿宋" w:hAnsi="仿宋" w:eastAsia="仿宋" w:cs="仿宋"/>
          <w:color w:val="000000"/>
          <w:sz w:val="24"/>
          <w:szCs w:val="24"/>
        </w:rPr>
      </w:pPr>
      <w:r>
        <w:rPr>
          <w:rFonts w:ascii="仿宋" w:hAnsi="仿宋" w:eastAsia="仿宋" w:cs="仿宋"/>
          <w:sz w:val="24"/>
          <w:szCs w:val="24"/>
        </w:rPr>
        <w:t>2.本合同一式叁份(甲方执贰份，乙方执壹份)，均为正本，具有同等法律效力。</w:t>
      </w:r>
    </w:p>
    <w:p w14:paraId="1369E1EE">
      <w:pPr>
        <w:widowControl/>
        <w:spacing w:line="400" w:lineRule="exact"/>
        <w:jc w:val="left"/>
        <w:rPr>
          <w:rFonts w:hint="default" w:ascii="仿宋" w:hAnsi="仿宋" w:eastAsia="仿宋" w:cs="仿宋"/>
          <w:sz w:val="24"/>
          <w:szCs w:val="24"/>
        </w:rPr>
      </w:pPr>
      <w:r>
        <w:rPr>
          <w:rFonts w:ascii="仿宋" w:hAnsi="仿宋" w:eastAsia="仿宋" w:cs="仿宋"/>
          <w:sz w:val="24"/>
          <w:szCs w:val="24"/>
        </w:rPr>
        <w:t xml:space="preserve">  </w:t>
      </w:r>
    </w:p>
    <w:p w14:paraId="600D21D4">
      <w:pPr>
        <w:spacing w:line="400" w:lineRule="exact"/>
        <w:ind w:firstLine="504" w:firstLineChars="200"/>
        <w:rPr>
          <w:rFonts w:hint="default" w:ascii="仿宋" w:hAnsi="仿宋" w:eastAsia="仿宋" w:cs="仿宋"/>
          <w:spacing w:val="6"/>
          <w:sz w:val="24"/>
        </w:rPr>
      </w:pPr>
    </w:p>
    <w:tbl>
      <w:tblPr>
        <w:tblStyle w:val="9"/>
        <w:tblW w:w="9198" w:type="dxa"/>
        <w:tblInd w:w="0" w:type="dxa"/>
        <w:tblLayout w:type="fixed"/>
        <w:tblCellMar>
          <w:top w:w="0" w:type="dxa"/>
          <w:left w:w="108" w:type="dxa"/>
          <w:bottom w:w="0" w:type="dxa"/>
          <w:right w:w="108" w:type="dxa"/>
        </w:tblCellMar>
      </w:tblPr>
      <w:tblGrid>
        <w:gridCol w:w="4595"/>
        <w:gridCol w:w="4603"/>
      </w:tblGrid>
      <w:tr w14:paraId="16B71505">
        <w:tblPrEx>
          <w:tblCellMar>
            <w:top w:w="0" w:type="dxa"/>
            <w:left w:w="108" w:type="dxa"/>
            <w:bottom w:w="0" w:type="dxa"/>
            <w:right w:w="108" w:type="dxa"/>
          </w:tblCellMar>
        </w:tblPrEx>
        <w:trPr>
          <w:cantSplit/>
        </w:trPr>
        <w:tc>
          <w:tcPr>
            <w:tcW w:w="4595" w:type="dxa"/>
            <w:vAlign w:val="center"/>
          </w:tcPr>
          <w:p w14:paraId="72D7AEF5">
            <w:pPr>
              <w:spacing w:line="400" w:lineRule="exact"/>
              <w:rPr>
                <w:rFonts w:hint="default" w:ascii="仿宋" w:hAnsi="仿宋" w:eastAsia="仿宋" w:cs="仿宋"/>
                <w:spacing w:val="6"/>
                <w:sz w:val="24"/>
              </w:rPr>
            </w:pPr>
            <w:bookmarkStart w:id="3" w:name="_Toc30207"/>
            <w:bookmarkStart w:id="4" w:name="_Toc28565"/>
            <w:bookmarkStart w:id="5" w:name="_Toc3377"/>
            <w:bookmarkStart w:id="6" w:name="_Toc22226"/>
            <w:bookmarkStart w:id="7" w:name="_Toc7069"/>
            <w:r>
              <w:rPr>
                <w:rFonts w:ascii="仿宋" w:hAnsi="仿宋" w:eastAsia="仿宋" w:cs="仿宋"/>
                <w:spacing w:val="6"/>
                <w:sz w:val="24"/>
              </w:rPr>
              <w:t>甲方（盖章）：</w:t>
            </w:r>
            <w:bookmarkEnd w:id="3"/>
            <w:bookmarkEnd w:id="4"/>
            <w:bookmarkEnd w:id="5"/>
            <w:bookmarkEnd w:id="6"/>
            <w:bookmarkEnd w:id="7"/>
            <w:r>
              <w:rPr>
                <w:rFonts w:ascii="仿宋" w:hAnsi="仿宋" w:eastAsia="仿宋" w:cs="仿宋"/>
                <w:spacing w:val="6"/>
                <w:sz w:val="24"/>
              </w:rPr>
              <w:t>中山市阜沙镇资产经营管理有限公司</w:t>
            </w:r>
          </w:p>
        </w:tc>
        <w:tc>
          <w:tcPr>
            <w:tcW w:w="4603" w:type="dxa"/>
          </w:tcPr>
          <w:p w14:paraId="575FF140">
            <w:pPr>
              <w:spacing w:line="400" w:lineRule="exact"/>
              <w:rPr>
                <w:rFonts w:hint="default" w:ascii="仿宋" w:hAnsi="仿宋" w:eastAsia="仿宋" w:cs="仿宋"/>
                <w:spacing w:val="6"/>
                <w:sz w:val="24"/>
              </w:rPr>
            </w:pPr>
            <w:bookmarkStart w:id="8" w:name="_Toc16146"/>
            <w:bookmarkStart w:id="9" w:name="_Toc2221"/>
            <w:bookmarkStart w:id="10" w:name="_Toc14147"/>
            <w:bookmarkStart w:id="11" w:name="_Toc30661"/>
            <w:bookmarkStart w:id="12" w:name="_Toc10782"/>
            <w:r>
              <w:rPr>
                <w:rFonts w:ascii="仿宋" w:hAnsi="仿宋" w:eastAsia="仿宋" w:cs="仿宋"/>
                <w:spacing w:val="6"/>
                <w:sz w:val="24"/>
              </w:rPr>
              <w:t>乙方（盖章）：</w:t>
            </w:r>
            <w:bookmarkEnd w:id="8"/>
            <w:bookmarkEnd w:id="9"/>
            <w:bookmarkEnd w:id="10"/>
            <w:bookmarkEnd w:id="11"/>
            <w:bookmarkEnd w:id="12"/>
          </w:p>
        </w:tc>
      </w:tr>
      <w:tr w14:paraId="5C3C0DAB">
        <w:tblPrEx>
          <w:tblCellMar>
            <w:top w:w="0" w:type="dxa"/>
            <w:left w:w="108" w:type="dxa"/>
            <w:bottom w:w="0" w:type="dxa"/>
            <w:right w:w="108" w:type="dxa"/>
          </w:tblCellMar>
        </w:tblPrEx>
        <w:trPr>
          <w:cantSplit/>
        </w:trPr>
        <w:tc>
          <w:tcPr>
            <w:tcW w:w="4595" w:type="dxa"/>
            <w:vAlign w:val="center"/>
          </w:tcPr>
          <w:p w14:paraId="08AE2275">
            <w:pPr>
              <w:spacing w:line="400" w:lineRule="exact"/>
              <w:rPr>
                <w:rFonts w:hint="default" w:ascii="仿宋" w:hAnsi="仿宋" w:eastAsia="仿宋" w:cs="仿宋"/>
                <w:spacing w:val="6"/>
                <w:sz w:val="24"/>
              </w:rPr>
            </w:pPr>
            <w:r>
              <w:rPr>
                <w:rFonts w:ascii="仿宋" w:hAnsi="仿宋" w:eastAsia="仿宋" w:cs="仿宋"/>
                <w:spacing w:val="6"/>
                <w:sz w:val="24"/>
              </w:rPr>
              <w:t>法定代表人（负责人）或</w:t>
            </w:r>
          </w:p>
          <w:p w14:paraId="1B6C9A7A">
            <w:pPr>
              <w:spacing w:line="400" w:lineRule="exact"/>
              <w:rPr>
                <w:rFonts w:hint="default" w:ascii="仿宋" w:hAnsi="仿宋" w:eastAsia="仿宋" w:cs="仿宋"/>
                <w:spacing w:val="6"/>
                <w:sz w:val="24"/>
              </w:rPr>
            </w:pPr>
            <w:r>
              <w:rPr>
                <w:rFonts w:ascii="仿宋" w:hAnsi="仿宋" w:eastAsia="仿宋" w:cs="仿宋"/>
                <w:spacing w:val="6"/>
                <w:sz w:val="24"/>
              </w:rPr>
              <w:t>授权代表（签字）：</w:t>
            </w:r>
          </w:p>
        </w:tc>
        <w:tc>
          <w:tcPr>
            <w:tcW w:w="4603" w:type="dxa"/>
            <w:vAlign w:val="center"/>
          </w:tcPr>
          <w:p w14:paraId="306F0819">
            <w:pPr>
              <w:spacing w:line="400" w:lineRule="exact"/>
              <w:rPr>
                <w:rFonts w:hint="default" w:ascii="仿宋" w:hAnsi="仿宋" w:eastAsia="仿宋" w:cs="仿宋"/>
                <w:spacing w:val="6"/>
                <w:sz w:val="24"/>
              </w:rPr>
            </w:pPr>
            <w:r>
              <w:rPr>
                <w:rFonts w:ascii="仿宋" w:hAnsi="仿宋" w:eastAsia="仿宋" w:cs="仿宋"/>
                <w:spacing w:val="6"/>
                <w:sz w:val="24"/>
              </w:rPr>
              <w:t>法定代表人（负责人）或</w:t>
            </w:r>
          </w:p>
          <w:p w14:paraId="2E966F64">
            <w:pPr>
              <w:spacing w:line="400" w:lineRule="exact"/>
              <w:rPr>
                <w:rFonts w:hint="default" w:ascii="仿宋" w:hAnsi="仿宋" w:eastAsia="仿宋" w:cs="仿宋"/>
                <w:spacing w:val="6"/>
                <w:sz w:val="24"/>
              </w:rPr>
            </w:pPr>
            <w:r>
              <w:rPr>
                <w:rFonts w:ascii="仿宋" w:hAnsi="仿宋" w:eastAsia="仿宋" w:cs="仿宋"/>
                <w:spacing w:val="6"/>
                <w:sz w:val="24"/>
              </w:rPr>
              <w:t>授权代表（签字）：</w:t>
            </w:r>
          </w:p>
        </w:tc>
      </w:tr>
      <w:tr w14:paraId="43BD84C2">
        <w:tblPrEx>
          <w:tblCellMar>
            <w:top w:w="0" w:type="dxa"/>
            <w:left w:w="108" w:type="dxa"/>
            <w:bottom w:w="0" w:type="dxa"/>
            <w:right w:w="108" w:type="dxa"/>
          </w:tblCellMar>
        </w:tblPrEx>
        <w:trPr>
          <w:cantSplit/>
          <w:trHeight w:val="1344" w:hRule="atLeast"/>
        </w:trPr>
        <w:tc>
          <w:tcPr>
            <w:tcW w:w="9198" w:type="dxa"/>
            <w:gridSpan w:val="2"/>
          </w:tcPr>
          <w:p w14:paraId="06E537C2">
            <w:pPr>
              <w:spacing w:line="400" w:lineRule="exact"/>
              <w:rPr>
                <w:rFonts w:hint="default" w:ascii="仿宋" w:hAnsi="仿宋" w:eastAsia="仿宋" w:cs="仿宋"/>
                <w:spacing w:val="6"/>
                <w:sz w:val="24"/>
              </w:rPr>
            </w:pPr>
          </w:p>
          <w:p w14:paraId="2298D0C4">
            <w:pPr>
              <w:spacing w:line="400" w:lineRule="exact"/>
              <w:rPr>
                <w:rFonts w:hint="default" w:ascii="仿宋" w:hAnsi="仿宋" w:eastAsia="仿宋" w:cs="仿宋"/>
              </w:rPr>
            </w:pPr>
            <w:r>
              <w:rPr>
                <w:rFonts w:ascii="仿宋" w:hAnsi="仿宋" w:eastAsia="仿宋" w:cs="仿宋"/>
                <w:spacing w:val="6"/>
                <w:sz w:val="24"/>
              </w:rPr>
              <w:t>签订日期：    年  月  日</w:t>
            </w:r>
          </w:p>
          <w:p w14:paraId="5B8DA706">
            <w:pPr>
              <w:spacing w:line="400" w:lineRule="exact"/>
              <w:rPr>
                <w:rFonts w:hint="default" w:ascii="仿宋" w:hAnsi="仿宋" w:eastAsia="仿宋" w:cs="仿宋"/>
                <w:spacing w:val="6"/>
                <w:sz w:val="24"/>
              </w:rPr>
            </w:pPr>
            <w:r>
              <w:rPr>
                <w:rFonts w:ascii="仿宋" w:hAnsi="仿宋" w:eastAsia="仿宋" w:cs="仿宋"/>
                <w:spacing w:val="6"/>
                <w:sz w:val="24"/>
              </w:rPr>
              <w:t>签订地点：中山市阜沙镇</w:t>
            </w:r>
          </w:p>
          <w:p w14:paraId="644D7761">
            <w:pPr>
              <w:spacing w:line="400" w:lineRule="exact"/>
              <w:rPr>
                <w:rFonts w:hint="default" w:ascii="仿宋" w:hAnsi="仿宋" w:eastAsia="仿宋" w:cs="仿宋"/>
              </w:rPr>
            </w:pPr>
          </w:p>
          <w:p w14:paraId="0AE9BB27">
            <w:pPr>
              <w:spacing w:line="400" w:lineRule="exact"/>
              <w:rPr>
                <w:rFonts w:hint="default" w:ascii="仿宋" w:hAnsi="仿宋" w:eastAsia="仿宋" w:cs="仿宋"/>
                <w:spacing w:val="6"/>
                <w:sz w:val="24"/>
              </w:rPr>
            </w:pPr>
          </w:p>
        </w:tc>
      </w:tr>
    </w:tbl>
    <w:p w14:paraId="589AEC27">
      <w:pPr>
        <w:spacing w:line="400" w:lineRule="exact"/>
        <w:ind w:firstLine="720" w:firstLineChars="300"/>
        <w:rPr>
          <w:rFonts w:hint="default" w:ascii="仿宋" w:hAnsi="仿宋" w:eastAsia="仿宋" w:cs="仿宋"/>
          <w:sz w:val="24"/>
          <w:szCs w:val="24"/>
        </w:rPr>
      </w:pPr>
    </w:p>
    <w:sectPr>
      <w:footerReference r:id="rId3" w:type="default"/>
      <w:pgSz w:w="11906" w:h="16838"/>
      <w:pgMar w:top="158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4821EF-8B14-4B42-82AF-87C363231B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9961451-977A-4035-9877-E5E1E8DE777A}"/>
  </w:font>
  <w:font w:name="Times New Roman Bold">
    <w:altName w:val="Times New Roman"/>
    <w:panose1 w:val="02020803070505020304"/>
    <w:charset w:val="00"/>
    <w:family w:val="roman"/>
    <w:pitch w:val="default"/>
    <w:sig w:usb0="00000000" w:usb1="00000000" w:usb2="00000001" w:usb3="00000000" w:csb0="400001BF" w:csb1="DFF70000"/>
  </w:font>
  <w:font w:name="CG Times">
    <w:altName w:val="Times New Roman"/>
    <w:panose1 w:val="00000000000000000000"/>
    <w:charset w:val="00"/>
    <w:family w:val="roman"/>
    <w:pitch w:val="default"/>
    <w:sig w:usb0="00000000" w:usb1="00000000" w:usb2="00000000" w:usb3="00000000" w:csb0="00000001" w:csb1="00000000"/>
  </w:font>
  <w:font w:name="CG Times Bold">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3" w:fontKey="{4A530E09-0345-4C7A-93C8-0553520E4BED}"/>
  </w:font>
  <w:font w:name="微软雅黑">
    <w:panose1 w:val="020B0503020204020204"/>
    <w:charset w:val="86"/>
    <w:family w:val="auto"/>
    <w:pitch w:val="default"/>
    <w:sig w:usb0="80000287" w:usb1="280F3C52" w:usb2="00000016" w:usb3="00000000" w:csb0="0004001F" w:csb1="00000000"/>
    <w:embedRegular r:id="rId4" w:fontKey="{B590603D-69AF-467C-9921-EFD6584B3EE9}"/>
  </w:font>
  <w:font w:name="仿宋_GB2312">
    <w:panose1 w:val="02010609030101010101"/>
    <w:charset w:val="86"/>
    <w:family w:val="auto"/>
    <w:pitch w:val="default"/>
    <w:sig w:usb0="00000001" w:usb1="080E0000" w:usb2="00000000" w:usb3="00000000" w:csb0="00040000" w:csb1="00000000"/>
    <w:embedRegular r:id="rId5" w:fontKey="{9B3F0F17-B007-497F-A9D7-C8D27C8C3B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2757">
    <w:pPr>
      <w:pStyle w:val="6"/>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0AE9D">
                          <w:pPr>
                            <w:pStyle w:val="6"/>
                            <w:rPr>
                              <w:rFonts w:hint="default"/>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C0AE9D">
                    <w:pPr>
                      <w:pStyle w:val="6"/>
                      <w:rPr>
                        <w:rFonts w:hint="default"/>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A0E34"/>
    <w:multiLevelType w:val="multilevel"/>
    <w:tmpl w:val="085A0E34"/>
    <w:lvl w:ilvl="0" w:tentative="0">
      <w:start w:val="1"/>
      <w:numFmt w:val="decimal"/>
      <w:suff w:val="space"/>
      <w:lvlText w:val="Article %1"/>
      <w:lvlJc w:val="left"/>
      <w:pPr>
        <w:ind w:left="624" w:hanging="624"/>
      </w:pPr>
      <w:rPr>
        <w:rFonts w:hint="default" w:ascii="Times New Roman Bold" w:hAnsi="Times New Roman Bold"/>
        <w:b/>
        <w:i w:val="0"/>
        <w:caps w:val="0"/>
        <w:color w:val="auto"/>
        <w:sz w:val="24"/>
        <w:szCs w:val="24"/>
        <w:u w:val="none"/>
      </w:rPr>
    </w:lvl>
    <w:lvl w:ilvl="1" w:tentative="0">
      <w:start w:val="1"/>
      <w:numFmt w:val="decimal"/>
      <w:pStyle w:val="2"/>
      <w:lvlText w:val="%1.%2"/>
      <w:lvlJc w:val="left"/>
      <w:pPr>
        <w:tabs>
          <w:tab w:val="left" w:pos="0"/>
        </w:tabs>
        <w:ind w:left="0" w:firstLine="0"/>
      </w:pPr>
      <w:rPr>
        <w:rFonts w:hint="default" w:ascii="Times New Roman" w:hAnsi="Times New Roman"/>
        <w:b w:val="0"/>
        <w:i w:val="0"/>
        <w:caps w:val="0"/>
        <w:color w:val="auto"/>
        <w:sz w:val="24"/>
        <w:szCs w:val="24"/>
        <w:u w:val="none"/>
        <w:lang w:val="en-US"/>
      </w:rPr>
    </w:lvl>
    <w:lvl w:ilvl="2" w:tentative="0">
      <w:start w:val="1"/>
      <w:numFmt w:val="decimal"/>
      <w:lvlText w:val="%1.%2.%3"/>
      <w:lvlJc w:val="left"/>
      <w:pPr>
        <w:tabs>
          <w:tab w:val="left" w:pos="0"/>
        </w:tabs>
        <w:ind w:left="0" w:firstLine="0"/>
      </w:pPr>
      <w:rPr>
        <w:rFonts w:hint="default" w:ascii="Times New Roman" w:hAnsi="Times New Roman"/>
        <w:b w:val="0"/>
        <w:i w:val="0"/>
        <w:caps w:val="0"/>
        <w:color w:val="auto"/>
        <w:sz w:val="24"/>
        <w:szCs w:val="24"/>
        <w:u w:val="none"/>
      </w:rPr>
    </w:lvl>
    <w:lvl w:ilvl="3" w:tentative="0">
      <w:start w:val="1"/>
      <w:numFmt w:val="lowerLetter"/>
      <w:lvlText w:val="(%4)"/>
      <w:lvlJc w:val="left"/>
      <w:pPr>
        <w:tabs>
          <w:tab w:val="left" w:pos="1928"/>
        </w:tabs>
        <w:ind w:left="1928" w:hanging="510"/>
      </w:pPr>
      <w:rPr>
        <w:rFonts w:hint="default" w:ascii="CG Times" w:hAnsi="CG Times"/>
        <w:b w:val="0"/>
        <w:i w:val="0"/>
        <w:caps w:val="0"/>
        <w:color w:val="auto"/>
        <w:sz w:val="20"/>
        <w:u w:val="none"/>
      </w:rPr>
    </w:lvl>
    <w:lvl w:ilvl="4" w:tentative="0">
      <w:start w:val="1"/>
      <w:numFmt w:val="upperRoman"/>
      <w:lvlText w:val="(%5)"/>
      <w:lvlJc w:val="right"/>
      <w:pPr>
        <w:tabs>
          <w:tab w:val="left" w:pos="2767"/>
        </w:tabs>
        <w:ind w:left="2767" w:hanging="216"/>
      </w:pPr>
      <w:rPr>
        <w:rFonts w:hint="eastAsia" w:ascii="Times New Roman" w:hAnsi="Times New Roman"/>
        <w:b w:val="0"/>
        <w:i w:val="0"/>
        <w:caps w:val="0"/>
        <w:color w:val="auto"/>
        <w:u w:val="none"/>
      </w:rPr>
    </w:lvl>
    <w:lvl w:ilvl="5" w:tentative="0">
      <w:start w:val="27"/>
      <w:numFmt w:val="lowerLetter"/>
      <w:lvlText w:val="(%6)"/>
      <w:lvlJc w:val="left"/>
      <w:pPr>
        <w:tabs>
          <w:tab w:val="left" w:pos="3487"/>
        </w:tabs>
        <w:ind w:left="3487" w:hanging="720"/>
      </w:pPr>
      <w:rPr>
        <w:rFonts w:hint="eastAsia" w:ascii="Times New Roman" w:hAnsi="Times New Roman"/>
        <w:b w:val="0"/>
        <w:i w:val="0"/>
        <w:caps w:val="0"/>
        <w:color w:val="auto"/>
        <w:u w:val="none"/>
      </w:rPr>
    </w:lvl>
    <w:lvl w:ilvl="6" w:tentative="0">
      <w:start w:val="1"/>
      <w:numFmt w:val="decimal"/>
      <w:lvlText w:val="(%7)"/>
      <w:lvlJc w:val="left"/>
      <w:pPr>
        <w:tabs>
          <w:tab w:val="left" w:pos="4207"/>
        </w:tabs>
        <w:ind w:left="4207" w:hanging="720"/>
      </w:pPr>
      <w:rPr>
        <w:rFonts w:hint="eastAsia" w:ascii="Times New Roman" w:hAnsi="Times New Roman"/>
        <w:b w:val="0"/>
        <w:i w:val="0"/>
        <w:caps w:val="0"/>
        <w:color w:val="auto"/>
        <w:u w:val="none"/>
      </w:rPr>
    </w:lvl>
    <w:lvl w:ilvl="7" w:tentative="0">
      <w:start w:val="1"/>
      <w:numFmt w:val="lowerRoman"/>
      <w:lvlText w:val="%8."/>
      <w:lvlJc w:val="left"/>
      <w:pPr>
        <w:tabs>
          <w:tab w:val="left" w:pos="5647"/>
        </w:tabs>
        <w:ind w:left="-113" w:firstLine="5040"/>
      </w:pPr>
      <w:rPr>
        <w:rFonts w:hint="eastAsia" w:ascii="Times New Roman" w:hAnsi="Times New Roman"/>
        <w:b w:val="0"/>
        <w:i w:val="0"/>
        <w:caps w:val="0"/>
        <w:color w:val="auto"/>
        <w:u w:val="none"/>
      </w:rPr>
    </w:lvl>
    <w:lvl w:ilvl="8" w:tentative="0">
      <w:start w:val="1"/>
      <w:numFmt w:val="decimal"/>
      <w:suff w:val="nothing"/>
      <w:lvlText w:val="SCHEDULE %9"/>
      <w:lvlJc w:val="left"/>
      <w:pPr>
        <w:ind w:left="0" w:firstLine="0"/>
      </w:pPr>
      <w:rPr>
        <w:rFonts w:hint="default" w:ascii="CG Times Bold" w:hAnsi="CG Times Bold"/>
        <w:b/>
        <w:i w:val="0"/>
        <w:caps w:val="0"/>
        <w:color w:val="auto"/>
        <w:sz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5F"/>
    <w:rsid w:val="000B21F4"/>
    <w:rsid w:val="001033FE"/>
    <w:rsid w:val="001518C4"/>
    <w:rsid w:val="00191D48"/>
    <w:rsid w:val="00301F5B"/>
    <w:rsid w:val="00367173"/>
    <w:rsid w:val="003B7205"/>
    <w:rsid w:val="003D6963"/>
    <w:rsid w:val="004D1D59"/>
    <w:rsid w:val="004F6440"/>
    <w:rsid w:val="00543174"/>
    <w:rsid w:val="00613FAD"/>
    <w:rsid w:val="00653061"/>
    <w:rsid w:val="00715263"/>
    <w:rsid w:val="00747C5F"/>
    <w:rsid w:val="007B265F"/>
    <w:rsid w:val="00974924"/>
    <w:rsid w:val="00A60C99"/>
    <w:rsid w:val="00BD59C8"/>
    <w:rsid w:val="00D533E8"/>
    <w:rsid w:val="00D75A69"/>
    <w:rsid w:val="00EB79C8"/>
    <w:rsid w:val="00F222C5"/>
    <w:rsid w:val="00F54E13"/>
    <w:rsid w:val="02022EBD"/>
    <w:rsid w:val="021C405C"/>
    <w:rsid w:val="04512A76"/>
    <w:rsid w:val="04CD1DAD"/>
    <w:rsid w:val="06D2293F"/>
    <w:rsid w:val="09011381"/>
    <w:rsid w:val="0E810F97"/>
    <w:rsid w:val="0F5D12CD"/>
    <w:rsid w:val="10A362D1"/>
    <w:rsid w:val="10F02214"/>
    <w:rsid w:val="148A054E"/>
    <w:rsid w:val="18F97167"/>
    <w:rsid w:val="19440115"/>
    <w:rsid w:val="1C6C7C4F"/>
    <w:rsid w:val="1F69532E"/>
    <w:rsid w:val="20414130"/>
    <w:rsid w:val="21BA43FC"/>
    <w:rsid w:val="259F4BF2"/>
    <w:rsid w:val="29137087"/>
    <w:rsid w:val="2BC31156"/>
    <w:rsid w:val="3002681D"/>
    <w:rsid w:val="308615A3"/>
    <w:rsid w:val="32C61435"/>
    <w:rsid w:val="34EE16F2"/>
    <w:rsid w:val="35AC50F2"/>
    <w:rsid w:val="361E7FCE"/>
    <w:rsid w:val="37DF644D"/>
    <w:rsid w:val="3F552D35"/>
    <w:rsid w:val="405E7E2A"/>
    <w:rsid w:val="441E651F"/>
    <w:rsid w:val="444335BE"/>
    <w:rsid w:val="44A27E03"/>
    <w:rsid w:val="45ED6171"/>
    <w:rsid w:val="46651C55"/>
    <w:rsid w:val="47B71229"/>
    <w:rsid w:val="4CC86174"/>
    <w:rsid w:val="4E347D1E"/>
    <w:rsid w:val="4F806F93"/>
    <w:rsid w:val="4FAC7D88"/>
    <w:rsid w:val="534B48D7"/>
    <w:rsid w:val="534C7D3B"/>
    <w:rsid w:val="546E385E"/>
    <w:rsid w:val="55A71A02"/>
    <w:rsid w:val="569265A2"/>
    <w:rsid w:val="59FA5011"/>
    <w:rsid w:val="60BA798A"/>
    <w:rsid w:val="61CD6067"/>
    <w:rsid w:val="61FD633D"/>
    <w:rsid w:val="62B6115B"/>
    <w:rsid w:val="64C00105"/>
    <w:rsid w:val="64E13556"/>
    <w:rsid w:val="656A56DE"/>
    <w:rsid w:val="67086889"/>
    <w:rsid w:val="6B5C61BC"/>
    <w:rsid w:val="6B95391D"/>
    <w:rsid w:val="6DEC1F6B"/>
    <w:rsid w:val="6EBB47AF"/>
    <w:rsid w:val="6FA26D85"/>
    <w:rsid w:val="6FE05885"/>
    <w:rsid w:val="70221C74"/>
    <w:rsid w:val="72B56DCF"/>
    <w:rsid w:val="759E7FEF"/>
    <w:rsid w:val="7989747E"/>
    <w:rsid w:val="7A7F02F6"/>
    <w:rsid w:val="7DD5117F"/>
    <w:rsid w:val="7F25708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Calibri" w:hAnsi="Calibri" w:eastAsia="宋体" w:cs="宋体"/>
      <w:kern w:val="2"/>
      <w:sz w:val="21"/>
      <w:szCs w:val="22"/>
      <w:lang w:val="en-US" w:eastAsia="zh-CN" w:bidi="ar-SA"/>
    </w:rPr>
  </w:style>
  <w:style w:type="paragraph" w:styleId="2">
    <w:name w:val="heading 2"/>
    <w:basedOn w:val="1"/>
    <w:next w:val="1"/>
    <w:qFormat/>
    <w:uiPriority w:val="0"/>
    <w:pPr>
      <w:widowControl/>
      <w:numPr>
        <w:ilvl w:val="1"/>
        <w:numId w:val="1"/>
      </w:numPr>
      <w:tabs>
        <w:tab w:val="left" w:pos="720"/>
      </w:tabs>
      <w:spacing w:after="240" w:line="240" w:lineRule="atLeast"/>
      <w:outlineLvl w:val="1"/>
    </w:pPr>
    <w:rPr>
      <w:rFonts w:hint="default" w:ascii="Times New Roman" w:hAnsi="Times New Roman" w:cs="Times New Roman"/>
      <w:bCs/>
      <w:iCs/>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semiHidden/>
    <w:qFormat/>
    <w:uiPriority w:val="0"/>
    <w:rPr>
      <w:rFonts w:ascii="宋体" w:hAnsi="宋体"/>
      <w:sz w:val="20"/>
      <w:szCs w:val="20"/>
      <w:lang w:eastAsia="en-US"/>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19"/>
    <w:qFormat/>
    <w:uiPriority w:val="0"/>
    <w:rPr>
      <w:b/>
      <w:bCs/>
    </w:rPr>
  </w:style>
  <w:style w:type="character" w:styleId="11">
    <w:name w:val="annotation reference"/>
    <w:basedOn w:val="10"/>
    <w:qFormat/>
    <w:uiPriority w:val="0"/>
    <w:rPr>
      <w:sz w:val="21"/>
      <w:szCs w:val="21"/>
    </w:rPr>
  </w:style>
  <w:style w:type="paragraph" w:customStyle="1" w:styleId="12">
    <w:name w:val="Table Text"/>
    <w:basedOn w:val="1"/>
    <w:semiHidden/>
    <w:qFormat/>
    <w:uiPriority w:val="0"/>
    <w:rPr>
      <w:rFonts w:ascii="仿宋" w:hAnsi="仿宋" w:eastAsia="仿宋" w:cs="仿宋"/>
      <w:sz w:val="28"/>
      <w:szCs w:val="28"/>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table" w:customStyle="1" w:styleId="14">
    <w:name w:val="网格型1"/>
    <w:basedOn w:val="15"/>
    <w:qFormat/>
    <w:uiPriority w:val="0"/>
    <w:pPr>
      <w:widowControl w:val="0"/>
      <w:jc w:val="both"/>
    </w:pPr>
    <w:tblPr>
      <w:tblCellMar>
        <w:top w:w="0" w:type="dxa"/>
        <w:left w:w="0" w:type="dxa"/>
        <w:bottom w:w="0" w:type="dxa"/>
        <w:right w:w="0" w:type="dxa"/>
      </w:tblCellMar>
    </w:tblPr>
  </w:style>
  <w:style w:type="table" w:customStyle="1" w:styleId="15">
    <w:name w:val="普通表格1"/>
    <w:semiHidden/>
    <w:qFormat/>
    <w:uiPriority w:val="0"/>
    <w:tblPr>
      <w:tblCellMar>
        <w:top w:w="0" w:type="dxa"/>
        <w:left w:w="0" w:type="dxa"/>
        <w:bottom w:w="0" w:type="dxa"/>
        <w:right w:w="0" w:type="dxa"/>
      </w:tblCellMar>
    </w:tblPr>
  </w:style>
  <w:style w:type="paragraph" w:customStyle="1" w:styleId="16">
    <w:name w:val="正文缩进1"/>
    <w:basedOn w:val="1"/>
    <w:qFormat/>
    <w:uiPriority w:val="0"/>
    <w:pPr>
      <w:ind w:firstLine="420"/>
    </w:pPr>
    <w:rPr>
      <w:szCs w:val="20"/>
    </w:rPr>
  </w:style>
  <w:style w:type="character" w:customStyle="1" w:styleId="17">
    <w:name w:val="批注框文本 字符"/>
    <w:basedOn w:val="10"/>
    <w:link w:val="5"/>
    <w:qFormat/>
    <w:uiPriority w:val="0"/>
    <w:rPr>
      <w:rFonts w:ascii="Calibri" w:hAnsi="Calibri" w:eastAsia="宋体" w:cs="宋体"/>
      <w:kern w:val="2"/>
      <w:sz w:val="18"/>
      <w:szCs w:val="18"/>
    </w:rPr>
  </w:style>
  <w:style w:type="character" w:customStyle="1" w:styleId="18">
    <w:name w:val="批注文字 字符"/>
    <w:basedOn w:val="10"/>
    <w:link w:val="3"/>
    <w:qFormat/>
    <w:uiPriority w:val="0"/>
    <w:rPr>
      <w:rFonts w:ascii="Calibri" w:hAnsi="Calibri" w:eastAsia="宋体" w:cs="宋体"/>
      <w:kern w:val="2"/>
      <w:sz w:val="21"/>
      <w:szCs w:val="22"/>
    </w:rPr>
  </w:style>
  <w:style w:type="character" w:customStyle="1" w:styleId="19">
    <w:name w:val="批注主题 字符"/>
    <w:basedOn w:val="18"/>
    <w:link w:val="8"/>
    <w:qFormat/>
    <w:uiPriority w:val="0"/>
    <w:rPr>
      <w:rFonts w:ascii="Calibri" w:hAnsi="Calibri" w:eastAsia="宋体" w:cs="宋体"/>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2376</Words>
  <Characters>2446</Characters>
  <Lines>28</Lines>
  <Paragraphs>7</Paragraphs>
  <TotalTime>28</TotalTime>
  <ScaleCrop>false</ScaleCrop>
  <LinksUpToDate>false</LinksUpToDate>
  <CharactersWithSpaces>2496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2026-02-26T04:00:00Z</dcterms:created>
  <dc:creator>luyan</dc:creator>
  <cp:lastModifiedBy>李萍福</cp:lastModifiedBy>
  <dcterms:modified xsi:type="dcterms:W3CDTF">2026-03-09T07:42:09Z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KSOTemplateDocerSaveRecord">
    <vt:lpwstr>eyJoZGlkIjoiOWQ0OTQzOGM0Y2U2M2YwNDgzNzgwNWM5ZDY0ODY4YTgiLCJ1c2VySWQiOiIyMDQzMzc5MzkifQ==</vt:lpwstr>
  </property>
  <property fmtid="{D5CDD505-2E9C-101B-9397-08002B2CF9AE}" pid="4" name="ICV">
    <vt:lpwstr>EBC0259094194357B36553B4292EE5F2_13</vt:lpwstr>
  </property>
</Properties>
</file>