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caps w:val="0"/>
          <w:color w:val="auto"/>
          <w:spacing w:val="0"/>
          <w:sz w:val="44"/>
          <w:szCs w:val="44"/>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caps w:val="0"/>
          <w:color w:val="auto"/>
          <w:spacing w:val="0"/>
          <w:sz w:val="44"/>
          <w:szCs w:val="44"/>
          <w:lang w:eastAsia="zh-CN"/>
        </w:rPr>
      </w:pPr>
      <w:r>
        <w:rPr>
          <w:rFonts w:hint="eastAsia" w:ascii="方正小标宋简体" w:hAnsi="方正小标宋简体" w:eastAsia="方正小标宋简体" w:cs="方正小标宋简体"/>
          <w:b w:val="0"/>
          <w:bCs/>
          <w:caps w:val="0"/>
          <w:color w:val="auto"/>
          <w:spacing w:val="0"/>
          <w:sz w:val="44"/>
          <w:szCs w:val="44"/>
          <w:lang w:eastAsia="zh-CN"/>
        </w:rPr>
        <w:t>《</w:t>
      </w:r>
      <w:r>
        <w:rPr>
          <w:rFonts w:hint="eastAsia" w:ascii="方正小标宋简体" w:hAnsi="方正小标宋简体" w:eastAsia="方正小标宋简体" w:cs="方正小标宋简体"/>
          <w:b w:val="0"/>
          <w:bCs/>
          <w:caps w:val="0"/>
          <w:color w:val="auto"/>
          <w:spacing w:val="0"/>
          <w:sz w:val="44"/>
          <w:szCs w:val="44"/>
        </w:rPr>
        <w:t>广东省发展改革委 广东省</w:t>
      </w:r>
      <w:r>
        <w:rPr>
          <w:rFonts w:hint="eastAsia" w:ascii="方正小标宋简体" w:hAnsi="方正小标宋简体" w:eastAsia="方正小标宋简体" w:cs="方正小标宋简体"/>
          <w:b w:val="0"/>
          <w:bCs/>
          <w:caps w:val="0"/>
          <w:color w:val="auto"/>
          <w:spacing w:val="0"/>
          <w:sz w:val="44"/>
          <w:szCs w:val="44"/>
          <w:lang w:eastAsia="zh-CN"/>
        </w:rPr>
        <w:t>民政厅</w:t>
      </w:r>
      <w:r>
        <w:rPr>
          <w:rFonts w:hint="eastAsia" w:ascii="方正小标宋简体" w:hAnsi="方正小标宋简体" w:eastAsia="方正小标宋简体" w:cs="方正小标宋简体"/>
          <w:b w:val="0"/>
          <w:bCs/>
          <w:caps w:val="0"/>
          <w:color w:val="auto"/>
          <w:spacing w:val="0"/>
          <w:sz w:val="44"/>
          <w:szCs w:val="44"/>
        </w:rPr>
        <w:t>关于</w:t>
      </w:r>
      <w:r>
        <w:rPr>
          <w:rFonts w:hint="eastAsia" w:ascii="方正小标宋简体" w:hAnsi="方正小标宋简体" w:eastAsia="方正小标宋简体" w:cs="方正小标宋简体"/>
          <w:b w:val="0"/>
          <w:bCs/>
          <w:caps w:val="0"/>
          <w:color w:val="auto"/>
          <w:spacing w:val="0"/>
          <w:sz w:val="44"/>
          <w:szCs w:val="44"/>
          <w:lang w:eastAsia="zh-CN"/>
        </w:rPr>
        <w:t>进一步加强殡葬服务价格管理及有关问题的通知》</w:t>
      </w:r>
    </w:p>
    <w:p>
      <w:pPr>
        <w:rPr>
          <w:rFonts w:hint="eastAsia" w:asciiTheme="majorEastAsia" w:hAnsiTheme="majorEastAsia" w:eastAsiaTheme="majorEastAsia" w:cstheme="majorEastAsi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exact"/>
        <w:ind w:left="0" w:right="0" w:firstLine="0"/>
        <w:jc w:val="right"/>
        <w:rPr>
          <w:rFonts w:hint="eastAsia" w:ascii="微软雅黑" w:hAnsi="微软雅黑" w:eastAsia="微软雅黑" w:cs="微软雅黑"/>
          <w:caps w:val="0"/>
          <w:color w:val="auto"/>
          <w:spacing w:val="0"/>
          <w:sz w:val="24"/>
          <w:szCs w:val="24"/>
        </w:rPr>
      </w:pPr>
      <w:r>
        <w:rPr>
          <w:rFonts w:hint="eastAsia" w:ascii="仿宋_GB2312" w:hAnsi="仿宋_GB2312" w:eastAsia="仿宋_GB2312" w:cs="仿宋_GB2312"/>
          <w:b/>
          <w:bCs/>
          <w:caps w:val="0"/>
          <w:color w:val="auto"/>
          <w:spacing w:val="0"/>
          <w:sz w:val="32"/>
          <w:szCs w:val="32"/>
        </w:rPr>
        <w:t>粤发改规〔2018〕8号</w:t>
      </w:r>
      <w:r>
        <w:rPr>
          <w:rFonts w:hint="eastAsia" w:ascii="微软雅黑" w:hAnsi="微软雅黑" w:eastAsia="微软雅黑" w:cs="微软雅黑"/>
          <w:caps w:val="0"/>
          <w:color w:val="auto"/>
          <w:spacing w:val="0"/>
          <w:sz w:val="24"/>
          <w:szCs w:val="24"/>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exact"/>
        <w:ind w:left="0" w:right="0" w:firstLine="0"/>
        <w:jc w:val="right"/>
        <w:rPr>
          <w:rFonts w:hint="eastAsia" w:ascii="微软雅黑" w:hAnsi="微软雅黑" w:eastAsia="微软雅黑" w:cs="微软雅黑"/>
          <w:caps w:val="0"/>
          <w:color w:val="auto"/>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exact"/>
        <w:ind w:left="0" w:right="0" w:firstLine="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rPr>
        <w:t>各地级以上市发展改革局（委）、民政局：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exact"/>
        <w:ind w:left="0" w:right="0" w:firstLine="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rPr>
        <w:t>　　为进一步建立和完善殡葬基本服务制度，规范殡葬服务收费行为，推动殡葬改革和殡葬事业健康发展，减轻群众丧葬负担，根据国家和省有关殡葬服务收费政策，现就进一步加强我省殡葬服务价格管理等有关问题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exact"/>
        <w:ind w:left="0" w:right="0" w:firstLine="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rPr>
        <w:t>　　</w:t>
      </w:r>
      <w:r>
        <w:rPr>
          <w:rFonts w:hint="eastAsia" w:ascii="黑体" w:hAnsi="黑体" w:eastAsia="黑体" w:cs="黑体"/>
          <w:caps w:val="0"/>
          <w:color w:val="auto"/>
          <w:spacing w:val="0"/>
          <w:sz w:val="32"/>
          <w:szCs w:val="32"/>
        </w:rPr>
        <w:t>一、进一步明确殡葬服务价格有关政策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exact"/>
        <w:ind w:left="0" w:right="0" w:firstLine="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rPr>
        <w:t>　　殡葬服务包括殡葬基本服务、殡葬选择性服务、公墓服务和殡葬用品服务。殡葬服务价格实行全省统一政策、分级管理，并根据服务项目的市场竞争情况分别实行政府指导价和市场调节价管理。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exact"/>
        <w:ind w:left="0" w:right="0" w:firstLine="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rPr>
        <w:t>　　</w:t>
      </w:r>
      <w:r>
        <w:rPr>
          <w:rFonts w:hint="eastAsia" w:ascii="楷体_GB2312" w:hAnsi="楷体_GB2312" w:eastAsia="楷体_GB2312" w:cs="楷体_GB2312"/>
          <w:caps w:val="0"/>
          <w:color w:val="auto"/>
          <w:spacing w:val="0"/>
          <w:sz w:val="32"/>
          <w:szCs w:val="32"/>
        </w:rPr>
        <w:t>（一）殡葬基</w:t>
      </w:r>
      <w:bookmarkStart w:id="0" w:name="_GoBack"/>
      <w:bookmarkEnd w:id="0"/>
      <w:r>
        <w:rPr>
          <w:rFonts w:hint="eastAsia" w:ascii="楷体_GB2312" w:hAnsi="楷体_GB2312" w:eastAsia="楷体_GB2312" w:cs="楷体_GB2312"/>
          <w:caps w:val="0"/>
          <w:color w:val="auto"/>
          <w:spacing w:val="0"/>
          <w:sz w:val="32"/>
          <w:szCs w:val="32"/>
        </w:rPr>
        <w:t>本服务收费。</w:t>
      </w:r>
      <w:r>
        <w:rPr>
          <w:rFonts w:hint="eastAsia" w:ascii="仿宋_GB2312" w:hAnsi="仿宋_GB2312" w:eastAsia="仿宋_GB2312" w:cs="仿宋_GB2312"/>
          <w:caps w:val="0"/>
          <w:color w:val="auto"/>
          <w:spacing w:val="0"/>
          <w:sz w:val="32"/>
          <w:szCs w:val="32"/>
        </w:rPr>
        <w:t>殡葬基本服务项目包括遗体接运（普通殡葬专用车）、遗体消毒、遗体存放、遗体告别厅租用（小型告别厅）、遗体火化（普通火化炉）、骨灰盒（盅，简易标准型）、骨灰寄存等7项。对在我省死亡且遗体在我省殡仪馆实行火化的本省户籍居民，应严格按照广东省民政厅 广东省财政厅《关于全省城乡居民殡葬基本服务由政府免费提供的实施方案》（粤民发〔2015〕37号）规定，实行免费保障。鼓励有条件的地区进一步扩大免费范围、增加免费项目、提高免费标准。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exact"/>
        <w:ind w:left="0" w:right="0" w:firstLine="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rPr>
        <w:t>　　对向非免费对象提供的殡葬基本服务项目，其收费标准依据价格管理权限实行分级管理。其中：遗体接运（普通殡葬专用车）、遗体火化（普通火化炉）和骨灰寄存等3项，仍按行政事业性收费管理，收费标准按粤价〔2006〕661号文规定执行（见附件）；遗体消毒、遗体存放、遗体告别厅租用（小型告别厅）、骨灰盒（盅，简易标准型）等4项实行政府指导价管理，其收费标准由市、县政府价格主管部门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exact"/>
        <w:ind w:left="0" w:right="0" w:firstLine="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rPr>
        <w:t>　　</w:t>
      </w:r>
      <w:r>
        <w:rPr>
          <w:rFonts w:hint="eastAsia" w:ascii="楷体_GB2312" w:hAnsi="楷体_GB2312" w:eastAsia="楷体_GB2312" w:cs="楷体_GB2312"/>
          <w:caps w:val="0"/>
          <w:color w:val="auto"/>
          <w:spacing w:val="0"/>
          <w:sz w:val="32"/>
          <w:szCs w:val="32"/>
        </w:rPr>
        <w:t>（二）殡葬选择性服务收费。</w:t>
      </w:r>
      <w:r>
        <w:rPr>
          <w:rFonts w:hint="eastAsia" w:ascii="仿宋_GB2312" w:hAnsi="仿宋_GB2312" w:eastAsia="仿宋_GB2312" w:cs="仿宋_GB2312"/>
          <w:caps w:val="0"/>
          <w:color w:val="auto"/>
          <w:spacing w:val="0"/>
          <w:sz w:val="32"/>
          <w:szCs w:val="32"/>
        </w:rPr>
        <w:t>殡葬选择性服务收费实行市场调节价管理，由经营者依法自主制定具体收费标准。殡葬服务单位在保障和改善基本服务供给规模和质量的前提下，可结合实际情况，丰富和拓展非基本殡葬服务，以满足群众多样化、多层次的殡葬服务需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exact"/>
        <w:ind w:left="0" w:right="0" w:firstLine="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rPr>
        <w:t>　　开展选择性服务项目应当坚持移风易俗、文明节俭办丧的原则，不得违反国家和省有关殡葬管理规定。具体服务项目、服务内容、服务标准、服务流程等情况应在开展服务前向社会公示。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exact"/>
        <w:ind w:left="0" w:right="0" w:firstLine="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rPr>
        <w:t>　　</w:t>
      </w:r>
      <w:r>
        <w:rPr>
          <w:rFonts w:hint="eastAsia" w:ascii="楷体_GB2312" w:hAnsi="楷体_GB2312" w:eastAsia="楷体_GB2312" w:cs="楷体_GB2312"/>
          <w:caps w:val="0"/>
          <w:color w:val="auto"/>
          <w:spacing w:val="0"/>
          <w:sz w:val="32"/>
          <w:szCs w:val="32"/>
        </w:rPr>
        <w:t>（三）公墓服务收费。</w:t>
      </w:r>
      <w:r>
        <w:rPr>
          <w:rFonts w:hint="eastAsia" w:ascii="仿宋_GB2312" w:hAnsi="仿宋_GB2312" w:eastAsia="仿宋_GB2312" w:cs="仿宋_GB2312"/>
          <w:caps w:val="0"/>
          <w:color w:val="auto"/>
          <w:spacing w:val="0"/>
          <w:sz w:val="32"/>
          <w:szCs w:val="32"/>
        </w:rPr>
        <w:t>公墓服务包括公益性公墓服务和经营性公墓服务。其中，公益性公墓（骨灰楼、堂）和2011年6月8日之前以非“招拍挂”方式取得土地使用权的经营性公墓，其收费标准实行政府指导价管理；通过“招拍挂”方式取得土地使用权的经营性公墓，其收费标准实行市场调节价，由公墓服务经营者结合实际自行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exact"/>
        <w:ind w:left="0" w:right="0" w:firstLine="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rPr>
        <w:t>　　实行政府指导价管理的公墓服务收费项目，包括墓穴费、墓碑石费和护墓管理费3项，具体收费标准由各地价格主管部门会同有关部门在成本监审或成本调查的基础上，按照非营利并兼顾居民承受能力的原则核定。墓穴、骨灰存放格位的出租（售）管理费按年度计收，收费年限按国家有关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exact"/>
        <w:ind w:left="0" w:right="0" w:firstLine="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rPr>
        <w:t>　　</w:t>
      </w:r>
      <w:r>
        <w:rPr>
          <w:rFonts w:hint="eastAsia" w:ascii="楷体_GB2312" w:hAnsi="楷体_GB2312" w:eastAsia="楷体_GB2312" w:cs="楷体_GB2312"/>
          <w:caps w:val="0"/>
          <w:color w:val="auto"/>
          <w:spacing w:val="0"/>
          <w:sz w:val="32"/>
          <w:szCs w:val="32"/>
        </w:rPr>
        <w:t>（四）殡葬用品价格。</w:t>
      </w:r>
      <w:r>
        <w:rPr>
          <w:rFonts w:hint="eastAsia" w:ascii="仿宋_GB2312" w:hAnsi="仿宋_GB2312" w:eastAsia="仿宋_GB2312" w:cs="仿宋_GB2312"/>
          <w:caps w:val="0"/>
          <w:color w:val="auto"/>
          <w:spacing w:val="0"/>
          <w:sz w:val="32"/>
          <w:szCs w:val="32"/>
        </w:rPr>
        <w:t>除殡仪馆（火葬场）提供的租用纸（绢）花圈实行政府指导价管理外，其他殡葬用品租用和销售价格，以及其他殡葬服务单位提供的殡葬用品价格，实行市场调节价。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exact"/>
        <w:ind w:left="0" w:right="0" w:firstLine="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rPr>
        <w:t>　　</w:t>
      </w:r>
      <w:r>
        <w:rPr>
          <w:rFonts w:hint="eastAsia" w:ascii="黑体" w:hAnsi="黑体" w:eastAsia="黑体" w:cs="黑体"/>
          <w:caps w:val="0"/>
          <w:color w:val="auto"/>
          <w:spacing w:val="0"/>
          <w:sz w:val="32"/>
          <w:szCs w:val="32"/>
        </w:rPr>
        <w:t>二、加强殡葬服务价格管理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exact"/>
        <w:ind w:left="0" w:right="0" w:firstLine="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rPr>
        <w:t>　　殡葬服务业是社会特殊服务行业，殡葬服务收费是广大人民群众普遍关注的热点问题，也是政府管理的重要民生价格。各地要坚持基本殡葬的公益性，强化政府责任和投入，依照国家和省有关规定加强殡葬服务价格管理。政府价格主管部门应会同民政等有关部门，根据本通知规定对本行政区域内各殡葬服务单位的收费进行一次全面认真的清理规范，取消不合理收费项目；对实行政府定价管理的服务项目，要按照合理补偿成本，统筹兼顾殡葬事业科学发展和社会承受能力等因素，重新核定其收费标准，并向社会公布。对实行市场调节价管理的殡葬服务，要合理引导经营业者定价行为，防止价格虚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exact"/>
        <w:ind w:left="0" w:right="0" w:firstLine="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rPr>
        <w:t>　　各地重新核定的收费项目和收费标准于2018年8月30日前报送省发展改革委（价格综合与收费管理处）和省民政厅（社会事务处）。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exact"/>
        <w:ind w:left="0" w:right="0" w:firstLine="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rPr>
        <w:t>　　</w:t>
      </w:r>
      <w:r>
        <w:rPr>
          <w:rFonts w:hint="eastAsia" w:ascii="黑体" w:hAnsi="黑体" w:eastAsia="黑体" w:cs="黑体"/>
          <w:caps w:val="0"/>
          <w:color w:val="auto"/>
          <w:spacing w:val="0"/>
          <w:sz w:val="32"/>
          <w:szCs w:val="32"/>
        </w:rPr>
        <w:t>三、规范殡葬服务收费行为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exact"/>
        <w:ind w:left="0" w:right="0" w:firstLine="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rPr>
        <w:t>　　殡葬服务单位在提供服务过程中，应严格遵守国家有关政策规定，严格规范服务和收费行为。要引导群众合理消费和明白消费，不得违反公平自愿原则以任何形式捆绑、分拆或强制提供服务并收费，也不得限制或采取增收附加费等方式变相限制丧属使用自带骨灰盒、花圈等文明殡葬用品。严格执行收费公示和明码标价规定。殡葬服务单位在提供相关服务时，应当与丧属签订服务合同或协议，明确服务项目、服务内容和收费标准等，不得收取合同或协议约定以外的其他任何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exact"/>
        <w:ind w:left="0" w:right="0" w:firstLine="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rPr>
        <w:t>　　各地政府价格主管部门要充分认识加强殡葬服务价格管理的重要意义，加大殡葬服务价格管理政策宣传力度，认真受理群众对殡葬服务收费的投诉或举报，严肃查处殡葬服务单位擅自设立收费项目、提高收费标准、扩大收费范围及强制服务并收费等乱收费行为。各级民政部门要加强对殡葬服务单位服务的事中事后监管，督促殡葬服务单位认真落实各项惠民政策，提高服务质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exact"/>
        <w:ind w:left="0" w:right="0" w:firstLine="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rPr>
        <w:t>　　本通知自2018年7月15日起施行，有效期至2023年7月14日。与本通知规定不符的，一律按本通知规定执行。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exact"/>
        <w:ind w:left="0" w:right="0" w:firstLine="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exact"/>
        <w:ind w:left="0" w:right="0" w:firstLine="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rPr>
        <w:t>　　</w:t>
      </w:r>
      <w:r>
        <w:rPr>
          <w:rFonts w:hint="eastAsia" w:ascii="仿宋_GB2312" w:hAnsi="仿宋_GB2312" w:eastAsia="仿宋_GB2312" w:cs="仿宋_GB2312"/>
          <w:caps w:val="0"/>
          <w:color w:val="auto"/>
          <w:spacing w:val="0"/>
          <w:sz w:val="32"/>
          <w:szCs w:val="32"/>
          <w:u w:val="none"/>
        </w:rPr>
        <w:fldChar w:fldCharType="begin"/>
      </w:r>
      <w:r>
        <w:rPr>
          <w:rFonts w:hint="eastAsia" w:ascii="仿宋_GB2312" w:hAnsi="仿宋_GB2312" w:eastAsia="仿宋_GB2312" w:cs="仿宋_GB2312"/>
          <w:caps w:val="0"/>
          <w:color w:val="auto"/>
          <w:spacing w:val="0"/>
          <w:sz w:val="32"/>
          <w:szCs w:val="32"/>
          <w:u w:val="none"/>
        </w:rPr>
        <w:instrText xml:space="preserve"> HYPERLINK "http://drc.gd.gov.cn/attachements/2019/01/09/b29e6f9059ec25379463699d077d123d.xls" </w:instrText>
      </w:r>
      <w:r>
        <w:rPr>
          <w:rFonts w:hint="eastAsia" w:ascii="仿宋_GB2312" w:hAnsi="仿宋_GB2312" w:eastAsia="仿宋_GB2312" w:cs="仿宋_GB2312"/>
          <w:caps w:val="0"/>
          <w:color w:val="auto"/>
          <w:spacing w:val="0"/>
          <w:sz w:val="32"/>
          <w:szCs w:val="32"/>
          <w:u w:val="none"/>
        </w:rPr>
        <w:fldChar w:fldCharType="separate"/>
      </w:r>
      <w:r>
        <w:rPr>
          <w:rStyle w:val="6"/>
          <w:rFonts w:hint="eastAsia" w:ascii="仿宋_GB2312" w:hAnsi="仿宋_GB2312" w:eastAsia="仿宋_GB2312" w:cs="仿宋_GB2312"/>
          <w:caps w:val="0"/>
          <w:color w:val="auto"/>
          <w:spacing w:val="0"/>
          <w:sz w:val="32"/>
          <w:szCs w:val="32"/>
          <w:u w:val="none"/>
        </w:rPr>
        <w:t>附件：广东省殡葬服务项目及部分项目收费标准表</w:t>
      </w:r>
      <w:r>
        <w:rPr>
          <w:rFonts w:hint="eastAsia" w:ascii="仿宋_GB2312" w:hAnsi="仿宋_GB2312" w:eastAsia="仿宋_GB2312" w:cs="仿宋_GB2312"/>
          <w:caps w:val="0"/>
          <w:color w:val="auto"/>
          <w:spacing w:val="0"/>
          <w:sz w:val="32"/>
          <w:szCs w:val="32"/>
          <w:u w:val="none"/>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exact"/>
        <w:ind w:left="0" w:right="0" w:firstLine="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exact"/>
        <w:ind w:left="0" w:right="0" w:firstLine="0"/>
        <w:jc w:val="right"/>
        <w:rPr>
          <w:rFonts w:hint="eastAsia" w:ascii="仿宋_GB2312" w:hAnsi="仿宋_GB2312" w:eastAsia="仿宋_GB2312" w:cs="仿宋_GB2312"/>
          <w:caps w:val="0"/>
          <w:color w:val="auto"/>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exact"/>
        <w:ind w:left="0" w:right="0" w:firstLine="0"/>
        <w:jc w:val="right"/>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rPr>
        <w:t>　　广东省发展改革委 广东省民政厅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exact"/>
        <w:ind w:left="0" w:right="0" w:firstLine="0"/>
        <w:jc w:val="right"/>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rPr>
        <w:t>　　2018年7月2日</w:t>
      </w:r>
    </w:p>
    <w:p>
      <w:pPr>
        <w:keepNext w:val="0"/>
        <w:keepLines w:val="0"/>
        <w:pageBreakBefore w:val="0"/>
        <w:kinsoku/>
        <w:wordWrap/>
        <w:overflowPunct/>
        <w:topLinePunct w:val="0"/>
        <w:autoSpaceDE/>
        <w:autoSpaceDN/>
        <w:bidi w:val="0"/>
        <w:adjustRightInd/>
        <w:snapToGrid/>
        <w:spacing w:line="560" w:lineRule="exact"/>
      </w:pPr>
    </w:p>
    <w:p>
      <w:pPr>
        <w:keepNext w:val="0"/>
        <w:keepLines w:val="0"/>
        <w:pageBreakBefore w:val="0"/>
        <w:kinsoku/>
        <w:wordWrap/>
        <w:overflowPunct/>
        <w:topLinePunct w:val="0"/>
        <w:autoSpaceDE/>
        <w:autoSpaceDN/>
        <w:bidi w:val="0"/>
        <w:adjustRightInd/>
        <w:snapToGrid/>
        <w:spacing w:line="560" w:lineRule="exact"/>
      </w:pPr>
    </w:p>
    <w:p>
      <w:pPr>
        <w:keepNext w:val="0"/>
        <w:keepLines w:val="0"/>
        <w:pageBreakBefore w:val="0"/>
        <w:kinsoku/>
        <w:wordWrap/>
        <w:overflowPunct/>
        <w:topLinePunct w:val="0"/>
        <w:autoSpaceDE/>
        <w:autoSpaceDN/>
        <w:bidi w:val="0"/>
        <w:adjustRightInd/>
        <w:snapToGrid/>
        <w:spacing w:line="560" w:lineRule="exact"/>
      </w:pPr>
    </w:p>
    <w:p>
      <w:pPr>
        <w:keepNext w:val="0"/>
        <w:keepLines w:val="0"/>
        <w:pageBreakBefore w:val="0"/>
        <w:kinsoku/>
        <w:wordWrap/>
        <w:overflowPunct/>
        <w:topLinePunct w:val="0"/>
        <w:autoSpaceDE/>
        <w:autoSpaceDN/>
        <w:bidi w:val="0"/>
        <w:adjustRightInd/>
        <w:snapToGrid/>
        <w:spacing w:line="560" w:lineRule="exact"/>
      </w:pPr>
    </w:p>
    <w:p>
      <w:pPr>
        <w:keepNext w:val="0"/>
        <w:keepLines w:val="0"/>
        <w:pageBreakBefore w:val="0"/>
        <w:kinsoku/>
        <w:wordWrap/>
        <w:overflowPunct/>
        <w:topLinePunct w:val="0"/>
        <w:autoSpaceDE/>
        <w:autoSpaceDN/>
        <w:bidi w:val="0"/>
        <w:adjustRightInd/>
        <w:snapToGrid/>
        <w:spacing w:line="560" w:lineRule="exact"/>
      </w:pPr>
    </w:p>
    <w:p>
      <w:pPr>
        <w:keepNext w:val="0"/>
        <w:keepLines w:val="0"/>
        <w:pageBreakBefore w:val="0"/>
        <w:kinsoku/>
        <w:wordWrap/>
        <w:overflowPunct/>
        <w:topLinePunct w:val="0"/>
        <w:autoSpaceDE/>
        <w:autoSpaceDN/>
        <w:bidi w:val="0"/>
        <w:adjustRightInd/>
        <w:snapToGrid/>
        <w:spacing w:line="560" w:lineRule="exact"/>
      </w:pPr>
    </w:p>
    <w:p>
      <w:pPr>
        <w:keepNext w:val="0"/>
        <w:keepLines w:val="0"/>
        <w:pageBreakBefore w:val="0"/>
        <w:kinsoku/>
        <w:wordWrap/>
        <w:overflowPunct/>
        <w:topLinePunct w:val="0"/>
        <w:autoSpaceDE/>
        <w:autoSpaceDN/>
        <w:bidi w:val="0"/>
        <w:adjustRightInd/>
        <w:snapToGrid/>
        <w:spacing w:line="560" w:lineRule="exact"/>
      </w:pPr>
    </w:p>
    <w:p>
      <w:pPr>
        <w:keepNext w:val="0"/>
        <w:keepLines w:val="0"/>
        <w:pageBreakBefore w:val="0"/>
        <w:kinsoku/>
        <w:wordWrap/>
        <w:overflowPunct/>
        <w:topLinePunct w:val="0"/>
        <w:autoSpaceDE/>
        <w:autoSpaceDN/>
        <w:bidi w:val="0"/>
        <w:adjustRightInd/>
        <w:snapToGrid/>
        <w:spacing w:line="560" w:lineRule="exact"/>
      </w:pPr>
    </w:p>
    <w:p>
      <w:pPr>
        <w:keepNext w:val="0"/>
        <w:keepLines w:val="0"/>
        <w:pageBreakBefore w:val="0"/>
        <w:kinsoku/>
        <w:wordWrap/>
        <w:overflowPunct/>
        <w:topLinePunct w:val="0"/>
        <w:autoSpaceDE/>
        <w:autoSpaceDN/>
        <w:bidi w:val="0"/>
        <w:adjustRightInd/>
        <w:snapToGrid/>
        <w:spacing w:line="560" w:lineRule="exact"/>
      </w:pPr>
    </w:p>
    <w:p>
      <w:pPr>
        <w:keepNext w:val="0"/>
        <w:keepLines w:val="0"/>
        <w:pageBreakBefore w:val="0"/>
        <w:kinsoku/>
        <w:wordWrap/>
        <w:overflowPunct/>
        <w:topLinePunct w:val="0"/>
        <w:autoSpaceDE/>
        <w:autoSpaceDN/>
        <w:bidi w:val="0"/>
        <w:adjustRightInd/>
        <w:snapToGrid/>
        <w:spacing w:line="560" w:lineRule="exact"/>
      </w:pPr>
    </w:p>
    <w:p>
      <w:pPr>
        <w:keepNext w:val="0"/>
        <w:keepLines w:val="0"/>
        <w:pageBreakBefore w:val="0"/>
        <w:kinsoku/>
        <w:wordWrap/>
        <w:overflowPunct/>
        <w:topLinePunct w:val="0"/>
        <w:autoSpaceDE/>
        <w:autoSpaceDN/>
        <w:bidi w:val="0"/>
        <w:adjustRightInd/>
        <w:snapToGrid/>
        <w:spacing w:line="560" w:lineRule="exact"/>
        <w:rPr>
          <w:rFonts w:hint="eastAsia"/>
          <w:lang w:eastAsia="zh-CN"/>
        </w:rPr>
      </w:pPr>
      <w:r>
        <w:rPr>
          <w:rFonts w:hint="eastAsia" w:ascii="方正小标宋简体" w:hAnsi="方正小标宋简体" w:eastAsia="方正小标宋简体" w:cs="方正小标宋简体"/>
          <w:color w:val="auto"/>
          <w:spacing w:val="15"/>
          <w:sz w:val="44"/>
          <w:szCs w:val="44"/>
        </w:rPr>
        <mc:AlternateContent>
          <mc:Choice Requires="wps">
            <w:drawing>
              <wp:anchor distT="0" distB="0" distL="114300" distR="114300" simplePos="0" relativeHeight="251659264" behindDoc="0" locked="0" layoutInCell="1" allowOverlap="1">
                <wp:simplePos x="0" y="0"/>
                <wp:positionH relativeFrom="column">
                  <wp:posOffset>-285115</wp:posOffset>
                </wp:positionH>
                <wp:positionV relativeFrom="paragraph">
                  <wp:posOffset>40005</wp:posOffset>
                </wp:positionV>
                <wp:extent cx="934085" cy="469900"/>
                <wp:effectExtent l="0" t="0" r="18415" b="6350"/>
                <wp:wrapNone/>
                <wp:docPr id="1" name="文本框 1"/>
                <wp:cNvGraphicFramePr/>
                <a:graphic xmlns:a="http://schemas.openxmlformats.org/drawingml/2006/main">
                  <a:graphicData uri="http://schemas.microsoft.com/office/word/2010/wordprocessingShape">
                    <wps:wsp>
                      <wps:cNvSpPr txBox="1"/>
                      <wps:spPr>
                        <a:xfrm>
                          <a:off x="0" y="0"/>
                          <a:ext cx="934085" cy="469900"/>
                        </a:xfrm>
                        <a:prstGeom prst="rect">
                          <a:avLst/>
                        </a:prstGeom>
                        <a:solidFill>
                          <a:srgbClr val="FFFFFF"/>
                        </a:solidFill>
                        <a:ln>
                          <a:noFill/>
                        </a:ln>
                        <a:effectLst/>
                      </wps:spPr>
                      <wps:txbx>
                        <w:txbxContent>
                          <w:p>
                            <w:pPr>
                              <w:rPr>
                                <w:rFonts w:ascii="黑体" w:hAnsi="黑体" w:eastAsia="黑体"/>
                                <w:sz w:val="32"/>
                                <w:szCs w:val="32"/>
                              </w:rPr>
                            </w:pPr>
                            <w:r>
                              <w:rPr>
                                <w:rFonts w:hint="eastAsia" w:ascii="黑体" w:hAnsi="黑体" w:eastAsia="黑体"/>
                                <w:sz w:val="32"/>
                                <w:szCs w:val="32"/>
                              </w:rPr>
                              <w:t>附件</w:t>
                            </w:r>
                          </w:p>
                        </w:txbxContent>
                      </wps:txbx>
                      <wps:bodyPr wrap="square" upright="1">
                        <a:noAutofit/>
                      </wps:bodyPr>
                    </wps:wsp>
                  </a:graphicData>
                </a:graphic>
              </wp:anchor>
            </w:drawing>
          </mc:Choice>
          <mc:Fallback>
            <w:pict>
              <v:shape id="_x0000_s1026" o:spid="_x0000_s1026" o:spt="202" type="#_x0000_t202" style="position:absolute;left:0pt;margin-left:-22.45pt;margin-top:3.15pt;height:37pt;width:73.55pt;z-index:251659264;mso-width-relative:page;mso-height-relative:page;" fillcolor="#FFFFFF" filled="t" stroked="f" coordsize="21600,21600" o:gfxdata="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JZQ/rWAAAACAEAAA8AAAAAAAAAAQAgAAAAIgAAAGRycy9kb3ducmV2Lnht&#10;bFBLAQIUABQAAAAIAIdO4kABDQ7TwgEAAF4DAAAOAAAAAAAAAAEAIAAAACUBAABkcnMvZTJvRG9j&#10;LnhtbFBLBQYAAAAABgAGAFkBAABZBQAAAAA=&#10;">
                <v:fill on="t" focussize="0,0"/>
                <v:stroke on="f"/>
                <v:imagedata o:title=""/>
                <o:lock v:ext="edit" aspectratio="f"/>
                <v:textbox>
                  <w:txbxContent>
                    <w:p>
                      <w:pPr>
                        <w:rPr>
                          <w:rFonts w:ascii="黑体" w:hAnsi="黑体" w:eastAsia="黑体"/>
                          <w:sz w:val="32"/>
                          <w:szCs w:val="32"/>
                        </w:rPr>
                      </w:pPr>
                      <w:r>
                        <w:rPr>
                          <w:rFonts w:hint="eastAsia" w:ascii="黑体" w:hAnsi="黑体" w:eastAsia="黑体"/>
                          <w:sz w:val="32"/>
                          <w:szCs w:val="32"/>
                        </w:rPr>
                        <w:t>附件</w:t>
                      </w:r>
                    </w:p>
                  </w:txbxContent>
                </v:textbox>
              </v:shape>
            </w:pict>
          </mc:Fallback>
        </mc:AlternateContent>
      </w:r>
    </w:p>
    <w:p>
      <w:pPr>
        <w:keepNext w:val="0"/>
        <w:keepLines w:val="0"/>
        <w:pageBreakBefore w:val="0"/>
        <w:kinsoku/>
        <w:wordWrap/>
        <w:overflowPunct/>
        <w:topLinePunct w:val="0"/>
        <w:autoSpaceDE/>
        <w:autoSpaceDN/>
        <w:bidi w:val="0"/>
        <w:adjustRightInd/>
        <w:snapToGrid/>
        <w:spacing w:line="560" w:lineRule="exact"/>
        <w:rPr>
          <w:rFonts w:hint="eastAsia"/>
          <w:lang w:eastAsia="zh-CN"/>
        </w:rPr>
      </w:pPr>
    </w:p>
    <w:tbl>
      <w:tblPr>
        <w:tblStyle w:val="4"/>
        <w:tblW w:w="9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38"/>
        <w:gridCol w:w="1662"/>
        <w:gridCol w:w="1860"/>
        <w:gridCol w:w="1740"/>
        <w:gridCol w:w="1890"/>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0" w:hRule="atLeast"/>
        </w:trPr>
        <w:tc>
          <w:tcPr>
            <w:tcW w:w="9700"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广东省殡葬服务项目及部分项目收费标准表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殡葬服务</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具体内容</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管理方式</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计费单位</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最高收费标准</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11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殡葬基本服务</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1.遗体接运（普通殡葬专用车）</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省级政府部门制定标准</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000000"/>
                <w:sz w:val="24"/>
                <w:szCs w:val="24"/>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left"/>
              <w:rPr>
                <w:rFonts w:hint="eastAsia" w:ascii="宋体" w:hAnsi="宋体" w:eastAsia="宋体" w:cs="宋体"/>
                <w:i w:val="0"/>
                <w:color w:val="000000"/>
                <w:sz w:val="24"/>
                <w:szCs w:val="24"/>
                <w:u w:val="none"/>
              </w:rPr>
            </w:pP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1.按行政事业性收费管理，执行原省物价局省财政厅《关于调整我省殡葬基本服务收费标准的复函》粤价函〔2006〕661号）规定标准。            2.粤民发〔2015〕37号文规定实行免费保障对象除外。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b/>
                <w:i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城区内</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000000"/>
                <w:sz w:val="24"/>
                <w:szCs w:val="24"/>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元/具</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b/>
                <w:i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农村、跨市（县）</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000000"/>
                <w:sz w:val="24"/>
                <w:szCs w:val="24"/>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元/具·公里</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3.5（每具收费不低于120元，以来回程距离计算）</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b/>
                <w:i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2.遗体火化（普通火化炉）</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省级政府部门制定标准</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000000"/>
                <w:sz w:val="24"/>
                <w:szCs w:val="24"/>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left"/>
              <w:rPr>
                <w:rFonts w:hint="eastAsia" w:ascii="宋体" w:hAnsi="宋体" w:eastAsia="宋体" w:cs="宋体"/>
                <w:i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b/>
                <w:i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一级殡仪馆</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000000"/>
                <w:sz w:val="24"/>
                <w:szCs w:val="24"/>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元／具</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250（含骨灰清理、包装）</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b/>
                <w:i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二级殡仪馆</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000000"/>
                <w:sz w:val="24"/>
                <w:szCs w:val="24"/>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元／具</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230（含骨灰清理、包装）</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b/>
                <w:i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三级殡仪馆</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000000"/>
                <w:sz w:val="24"/>
                <w:szCs w:val="24"/>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元／具</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215（含骨灰清理、包装）</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b/>
                <w:i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未上等级殡仪馆</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000000"/>
                <w:sz w:val="24"/>
                <w:szCs w:val="24"/>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元／具</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200（含骨灰清理、包装）</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b/>
                <w:i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3.骨灰寄存</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省级政府部门制定标准</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元/格位·年</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70（含管理费；寄存在殡仪馆内的骨灰楼或骨灰堂）</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b/>
                <w:i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4.遗体消毒</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授权市、县人民政府制定标准</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000000"/>
                <w:sz w:val="24"/>
                <w:szCs w:val="24"/>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left"/>
              <w:rPr>
                <w:rFonts w:hint="eastAsia" w:ascii="宋体" w:hAnsi="宋体" w:eastAsia="宋体" w:cs="宋体"/>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粤民发〔2015〕37号文规定实行免费保障对象除外。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b/>
                <w:i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5.遗体存放</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授权市、县人民政府制定标准</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000000"/>
                <w:sz w:val="24"/>
                <w:szCs w:val="24"/>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left"/>
              <w:rPr>
                <w:rFonts w:hint="eastAsia" w:ascii="宋体" w:hAnsi="宋体" w:eastAsia="宋体" w:cs="宋体"/>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粤民发〔2015〕37号文规定实行免费保障对象除外。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b/>
                <w:i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6.遗体告别厅租用（小型告别厅）</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授权市、县人民政府制定标准</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000000"/>
                <w:sz w:val="24"/>
                <w:szCs w:val="24"/>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left"/>
              <w:rPr>
                <w:rFonts w:hint="eastAsia" w:ascii="宋体" w:hAnsi="宋体" w:eastAsia="宋体" w:cs="宋体"/>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粤民发〔2015〕37号文规定实行免费保障对象除外。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b/>
                <w:i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7.骨灰盒（盅，简易标准型）</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授权市、县人民政府制定标准</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000000"/>
                <w:sz w:val="24"/>
                <w:szCs w:val="24"/>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left"/>
              <w:rPr>
                <w:rFonts w:hint="eastAsia" w:ascii="宋体" w:hAnsi="宋体" w:eastAsia="宋体" w:cs="宋体"/>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粤民发〔2015〕37号文规定实行免费保障对象除外。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殡葬选择性服务</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殡葬基本服务以外的其他服务项目</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市场调节价</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000000"/>
                <w:sz w:val="24"/>
                <w:szCs w:val="24"/>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left"/>
              <w:rPr>
                <w:rFonts w:hint="eastAsia" w:ascii="宋体" w:hAnsi="宋体" w:eastAsia="宋体" w:cs="宋体"/>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trPr>
        <w:tc>
          <w:tcPr>
            <w:tcW w:w="11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公墓服务</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1.公益性公墓（骨灰楼堂）和未通过“招拍挂”方式竞得土地的经营性公墓</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授权市、县人民政府制定标准</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000000"/>
                <w:sz w:val="24"/>
                <w:szCs w:val="24"/>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left"/>
              <w:rPr>
                <w:rFonts w:hint="eastAsia" w:ascii="宋体" w:hAnsi="宋体" w:eastAsia="宋体" w:cs="宋体"/>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b/>
                <w:i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（1）墓穴费</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000000"/>
                <w:sz w:val="24"/>
                <w:szCs w:val="24"/>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000000"/>
                <w:sz w:val="24"/>
                <w:szCs w:val="24"/>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left"/>
              <w:rPr>
                <w:rFonts w:hint="eastAsia" w:ascii="宋体" w:hAnsi="宋体" w:eastAsia="宋体" w:cs="宋体"/>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b/>
                <w:i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（2）墓碑石费</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000000"/>
                <w:sz w:val="24"/>
                <w:szCs w:val="24"/>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000000"/>
                <w:sz w:val="24"/>
                <w:szCs w:val="24"/>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left"/>
              <w:rPr>
                <w:rFonts w:hint="eastAsia" w:ascii="宋体" w:hAnsi="宋体" w:eastAsia="宋体" w:cs="宋体"/>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b/>
                <w:i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（3）护墓管理费</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000000"/>
                <w:sz w:val="24"/>
                <w:szCs w:val="24"/>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000000"/>
                <w:sz w:val="24"/>
                <w:szCs w:val="24"/>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left"/>
              <w:rPr>
                <w:rFonts w:hint="eastAsia" w:ascii="宋体" w:hAnsi="宋体" w:eastAsia="宋体" w:cs="宋体"/>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b/>
                <w:i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2.通过“招拍挂”方式竞得土地的经营性公墓</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市场调节价</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000000"/>
                <w:sz w:val="24"/>
                <w:szCs w:val="24"/>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left"/>
              <w:rPr>
                <w:rFonts w:hint="eastAsia" w:ascii="宋体" w:hAnsi="宋体" w:eastAsia="宋体" w:cs="宋体"/>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11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殡葬用品</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租用纸（绢）花圈</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授权市、县人民政府制定标准</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000000"/>
                <w:sz w:val="24"/>
                <w:szCs w:val="24"/>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left"/>
              <w:rPr>
                <w:rFonts w:hint="eastAsia" w:ascii="宋体" w:hAnsi="宋体" w:eastAsia="宋体" w:cs="宋体"/>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殡仪馆（火葬场）提供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b/>
                <w:i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其他殡葬用品</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市场调节价</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000000"/>
                <w:sz w:val="24"/>
                <w:szCs w:val="24"/>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left"/>
              <w:rPr>
                <w:rFonts w:hint="eastAsia" w:ascii="宋体" w:hAnsi="宋体" w:eastAsia="宋体" w:cs="宋体"/>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 w:hRule="atLeast"/>
        </w:trPr>
        <w:tc>
          <w:tcPr>
            <w:tcW w:w="113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000000"/>
                <w:sz w:val="24"/>
                <w:szCs w:val="24"/>
                <w:u w:val="none"/>
              </w:rPr>
            </w:pPr>
          </w:p>
        </w:tc>
        <w:tc>
          <w:tcPr>
            <w:tcW w:w="1662"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i w:val="0"/>
                <w:color w:val="000000"/>
                <w:sz w:val="24"/>
                <w:szCs w:val="24"/>
                <w:u w:val="none"/>
              </w:rPr>
            </w:pPr>
          </w:p>
        </w:tc>
        <w:tc>
          <w:tcPr>
            <w:tcW w:w="186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000000"/>
                <w:sz w:val="24"/>
                <w:szCs w:val="24"/>
                <w:u w:val="none"/>
              </w:rPr>
            </w:pPr>
          </w:p>
        </w:tc>
        <w:tc>
          <w:tcPr>
            <w:tcW w:w="174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000000"/>
                <w:sz w:val="24"/>
                <w:szCs w:val="24"/>
                <w:u w:val="none"/>
              </w:rPr>
            </w:pPr>
          </w:p>
        </w:tc>
        <w:tc>
          <w:tcPr>
            <w:tcW w:w="189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left"/>
              <w:rPr>
                <w:rFonts w:hint="eastAsia" w:ascii="宋体" w:hAnsi="宋体" w:eastAsia="宋体" w:cs="宋体"/>
                <w:i w:val="0"/>
                <w:color w:val="000000"/>
                <w:sz w:val="24"/>
                <w:szCs w:val="24"/>
                <w:u w:val="none"/>
              </w:rPr>
            </w:pPr>
          </w:p>
        </w:tc>
        <w:tc>
          <w:tcPr>
            <w:tcW w:w="141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9700"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说明：表中“最高收费标准”为《广东省民政厅 广东省财政厅印发&lt;关于全省城乡居民殡葬基本服务由政府免费提供的实施方案&gt;的通知》（粤民发〔2015〕37号）免费殡葬基本服务范围之外的最高收费标准。</w:t>
            </w:r>
          </w:p>
        </w:tc>
      </w:tr>
    </w:tbl>
    <w:p>
      <w:pPr>
        <w:keepNext w:val="0"/>
        <w:keepLines w:val="0"/>
        <w:pageBreakBefore w:val="0"/>
        <w:kinsoku/>
        <w:wordWrap/>
        <w:overflowPunct/>
        <w:topLinePunct w:val="0"/>
        <w:autoSpaceDE/>
        <w:autoSpaceDN/>
        <w:bidi w:val="0"/>
        <w:adjustRightInd/>
        <w:snapToGrid/>
        <w:spacing w:line="560" w:lineRule="exact"/>
      </w:pPr>
    </w:p>
    <w:sectPr>
      <w:pgSz w:w="11906" w:h="16838"/>
      <w:pgMar w:top="2098" w:right="1587"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6B3836"/>
    <w:rsid w:val="3545077C"/>
    <w:rsid w:val="70F44C68"/>
    <w:rsid w:val="77346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2024-12-10T03:14:00Z</dcterms:created>
  <dc:creator>Administrator</dc:creator>
  <cp:lastModifiedBy>苏颖诗</cp:lastModifiedBy>
  <dcterms:modified xsi:type="dcterms:W3CDTF">2024-12-10T09:23:42Z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