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B80457">
      <w:pPr>
        <w:pStyle w:val="2"/>
        <w:keepNext/>
        <w:keepLines/>
        <w:pageBreakBefore w:val="0"/>
        <w:widowControl w:val="0"/>
        <w:kinsoku/>
        <w:wordWrap/>
        <w:overflowPunct/>
        <w:topLinePunct w:val="0"/>
        <w:autoSpaceDE/>
        <w:autoSpaceDN/>
        <w:bidi w:val="0"/>
        <w:adjustRightInd w:val="0"/>
        <w:snapToGrid w:val="0"/>
        <w:spacing w:before="0" w:line="240" w:lineRule="auto"/>
        <w:ind w:left="1140" w:hanging="720"/>
        <w:jc w:val="left"/>
        <w:textAlignment w:val="auto"/>
        <w:rPr>
          <w:rFonts w:hint="default" w:ascii="黑体" w:hAnsi="黑体" w:eastAsia="黑体" w:cs="黑体"/>
          <w:b/>
          <w:bCs w:val="0"/>
          <w:color w:val="auto"/>
          <w:highlight w:val="none"/>
          <w:lang w:val="en-US" w:eastAsia="zh-CN"/>
        </w:rPr>
      </w:pPr>
      <w:bookmarkStart w:id="0" w:name="_Toc25048"/>
      <w:r>
        <w:rPr>
          <w:rFonts w:hint="eastAsia" w:ascii="黑体" w:hAnsi="黑体" w:eastAsia="黑体" w:cs="黑体"/>
          <w:b/>
          <w:bCs w:val="0"/>
          <w:color w:val="auto"/>
          <w:highlight w:val="none"/>
          <w:lang w:val="en-US" w:eastAsia="zh-CN"/>
        </w:rPr>
        <w:t>附件1</w:t>
      </w:r>
    </w:p>
    <w:p w14:paraId="5EA9F987">
      <w:pPr>
        <w:pStyle w:val="2"/>
        <w:keepNext/>
        <w:keepLines/>
        <w:pageBreakBefore w:val="0"/>
        <w:widowControl w:val="0"/>
        <w:kinsoku/>
        <w:wordWrap/>
        <w:overflowPunct/>
        <w:topLinePunct w:val="0"/>
        <w:autoSpaceDE/>
        <w:autoSpaceDN/>
        <w:bidi w:val="0"/>
        <w:adjustRightInd w:val="0"/>
        <w:snapToGrid w:val="0"/>
        <w:spacing w:before="0" w:line="240" w:lineRule="auto"/>
        <w:ind w:left="1140" w:hanging="720"/>
        <w:textAlignment w:val="auto"/>
        <w:rPr>
          <w:rFonts w:hint="eastAsia" w:ascii="黑体" w:hAnsi="黑体" w:eastAsia="黑体" w:cs="黑体"/>
          <w:b/>
          <w:bCs w:val="0"/>
          <w:color w:val="auto"/>
          <w:highlight w:val="none"/>
          <w:lang w:eastAsia="zh-CN"/>
        </w:rPr>
      </w:pPr>
      <w:r>
        <w:rPr>
          <w:rFonts w:hint="eastAsia" w:ascii="黑体" w:hAnsi="黑体" w:eastAsia="黑体" w:cs="黑体"/>
          <w:b/>
          <w:bCs w:val="0"/>
          <w:color w:val="auto"/>
          <w:highlight w:val="none"/>
          <w:lang w:eastAsia="zh-CN"/>
        </w:rPr>
        <w:t>中山市板芙医院</w:t>
      </w:r>
      <w:r>
        <w:rPr>
          <w:rFonts w:hint="eastAsia" w:ascii="黑体" w:hAnsi="黑体" w:eastAsia="黑体" w:cs="黑体"/>
          <w:b/>
          <w:bCs w:val="0"/>
          <w:color w:val="auto"/>
          <w:highlight w:val="none"/>
          <w:lang w:val="en-US" w:eastAsia="zh-CN"/>
        </w:rPr>
        <w:t>消毒供应中心纯水处理系统</w:t>
      </w:r>
      <w:r>
        <w:rPr>
          <w:rFonts w:hint="eastAsia" w:ascii="黑体" w:hAnsi="黑体" w:eastAsia="黑体" w:cs="黑体"/>
          <w:b/>
          <w:bCs w:val="0"/>
          <w:color w:val="auto"/>
          <w:highlight w:val="none"/>
          <w:lang w:eastAsia="zh-CN"/>
        </w:rPr>
        <w:t>采购项目</w:t>
      </w:r>
      <w:bookmarkEnd w:id="0"/>
    </w:p>
    <w:p w14:paraId="4B6C7B1C">
      <w:pPr>
        <w:pStyle w:val="2"/>
        <w:keepNext/>
        <w:keepLines/>
        <w:pageBreakBefore w:val="0"/>
        <w:widowControl w:val="0"/>
        <w:kinsoku/>
        <w:wordWrap/>
        <w:overflowPunct/>
        <w:topLinePunct w:val="0"/>
        <w:autoSpaceDE/>
        <w:autoSpaceDN/>
        <w:bidi w:val="0"/>
        <w:adjustRightInd w:val="0"/>
        <w:snapToGrid w:val="0"/>
        <w:spacing w:before="0" w:line="240" w:lineRule="auto"/>
        <w:ind w:left="1140" w:hanging="720"/>
        <w:textAlignment w:val="auto"/>
        <w:rPr>
          <w:rFonts w:hint="default"/>
          <w:lang w:val="en-US" w:eastAsia="zh-CN"/>
        </w:rPr>
      </w:pPr>
      <w:r>
        <w:rPr>
          <w:rFonts w:hint="eastAsia" w:ascii="黑体" w:hAnsi="黑体" w:eastAsia="黑体" w:cs="黑体"/>
          <w:b/>
          <w:bCs w:val="0"/>
          <w:color w:val="auto"/>
          <w:highlight w:val="none"/>
          <w:lang w:eastAsia="zh-CN"/>
        </w:rPr>
        <w:t>公开比选</w:t>
      </w:r>
      <w:r>
        <w:rPr>
          <w:rFonts w:hint="eastAsia" w:ascii="黑体" w:hAnsi="黑体" w:eastAsia="黑体" w:cs="黑体"/>
          <w:b/>
          <w:bCs w:val="0"/>
          <w:color w:val="auto"/>
          <w:highlight w:val="none"/>
          <w:lang w:val="en-US" w:eastAsia="zh-CN"/>
        </w:rPr>
        <w:t>文件</w:t>
      </w:r>
    </w:p>
    <w:p w14:paraId="600DE201">
      <w:pPr>
        <w:keepNext w:val="0"/>
        <w:keepLines w:val="0"/>
        <w:pageBreakBefore w:val="0"/>
        <w:kinsoku/>
        <w:wordWrap/>
        <w:overflowPunct/>
        <w:topLinePunct w:val="0"/>
        <w:bidi w:val="0"/>
        <w:spacing w:line="360" w:lineRule="exact"/>
        <w:ind w:left="0" w:leftChars="0"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中山市板芙医院现对中山市板芙医院</w:t>
      </w:r>
      <w:r>
        <w:rPr>
          <w:rFonts w:hint="eastAsia" w:ascii="宋体" w:hAnsi="宋体" w:cs="宋体"/>
          <w:bCs/>
          <w:color w:val="auto"/>
          <w:sz w:val="21"/>
          <w:szCs w:val="21"/>
          <w:highlight w:val="none"/>
          <w:lang w:val="en-US" w:eastAsia="zh-CN"/>
        </w:rPr>
        <w:t>消毒供应中心纯水处理系统</w:t>
      </w:r>
      <w:r>
        <w:rPr>
          <w:rFonts w:hint="eastAsia" w:ascii="宋体" w:hAnsi="宋体" w:eastAsia="宋体" w:cs="宋体"/>
          <w:bCs/>
          <w:color w:val="auto"/>
          <w:sz w:val="21"/>
          <w:szCs w:val="21"/>
          <w:highlight w:val="none"/>
          <w:lang w:eastAsia="zh-CN"/>
        </w:rPr>
        <w:t>采购项目</w:t>
      </w:r>
      <w:r>
        <w:rPr>
          <w:rFonts w:hint="eastAsia" w:ascii="宋体" w:hAnsi="宋体" w:eastAsia="宋体" w:cs="宋体"/>
          <w:bCs/>
          <w:color w:val="auto"/>
          <w:sz w:val="21"/>
          <w:szCs w:val="21"/>
          <w:highlight w:val="none"/>
        </w:rPr>
        <w:t>采用</w:t>
      </w:r>
      <w:r>
        <w:rPr>
          <w:rFonts w:hint="eastAsia" w:ascii="宋体" w:hAnsi="宋体" w:eastAsia="宋体" w:cs="宋体"/>
          <w:bCs/>
          <w:color w:val="auto"/>
          <w:sz w:val="21"/>
          <w:szCs w:val="21"/>
          <w:highlight w:val="none"/>
          <w:lang w:eastAsia="zh-CN"/>
        </w:rPr>
        <w:t>公开比选</w:t>
      </w:r>
      <w:r>
        <w:rPr>
          <w:rFonts w:hint="eastAsia" w:ascii="宋体" w:hAnsi="宋体" w:eastAsia="宋体" w:cs="宋体"/>
          <w:bCs/>
          <w:color w:val="auto"/>
          <w:sz w:val="21"/>
          <w:szCs w:val="21"/>
          <w:highlight w:val="none"/>
        </w:rPr>
        <w:t>方式组织采购，欢迎符合资格条件的供应商参加。有关事项如下：</w:t>
      </w:r>
    </w:p>
    <w:p w14:paraId="25A43994">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一、</w:t>
      </w:r>
      <w:r>
        <w:rPr>
          <w:rFonts w:hint="eastAsia" w:ascii="宋体" w:hAnsi="宋体" w:eastAsia="宋体" w:cs="宋体"/>
          <w:b/>
          <w:bCs/>
          <w:color w:val="auto"/>
          <w:sz w:val="21"/>
          <w:szCs w:val="21"/>
          <w:highlight w:val="none"/>
        </w:rPr>
        <w:t>项目名称：</w:t>
      </w:r>
      <w:r>
        <w:rPr>
          <w:rFonts w:hint="eastAsia" w:ascii="宋体" w:hAnsi="宋体" w:eastAsia="宋体" w:cs="宋体"/>
          <w:color w:val="auto"/>
          <w:kern w:val="28"/>
          <w:sz w:val="21"/>
          <w:szCs w:val="21"/>
          <w:highlight w:val="none"/>
          <w:lang w:eastAsia="zh-CN"/>
        </w:rPr>
        <w:t>中山市板芙医院</w:t>
      </w:r>
      <w:r>
        <w:rPr>
          <w:rFonts w:hint="eastAsia" w:ascii="宋体" w:hAnsi="宋体" w:cs="宋体"/>
          <w:bCs/>
          <w:color w:val="auto"/>
          <w:sz w:val="21"/>
          <w:szCs w:val="21"/>
          <w:highlight w:val="none"/>
          <w:lang w:val="en-US" w:eastAsia="zh-CN"/>
        </w:rPr>
        <w:t>消毒供应中心纯水处理系统</w:t>
      </w:r>
      <w:r>
        <w:rPr>
          <w:rFonts w:hint="eastAsia" w:ascii="宋体" w:hAnsi="宋体" w:eastAsia="宋体" w:cs="宋体"/>
          <w:color w:val="auto"/>
          <w:kern w:val="28"/>
          <w:sz w:val="21"/>
          <w:szCs w:val="21"/>
          <w:highlight w:val="none"/>
          <w:lang w:eastAsia="zh-CN"/>
        </w:rPr>
        <w:t>采购项目</w:t>
      </w:r>
      <w:r>
        <w:rPr>
          <w:rFonts w:hint="eastAsia" w:ascii="宋体" w:hAnsi="宋体" w:eastAsia="宋体" w:cs="宋体"/>
          <w:color w:val="auto"/>
          <w:sz w:val="21"/>
          <w:szCs w:val="21"/>
          <w:highlight w:val="none"/>
        </w:rPr>
        <w:t xml:space="preserve"> </w:t>
      </w:r>
    </w:p>
    <w:p w14:paraId="5377B591">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eastAsia="宋体" w:cs="宋体"/>
          <w:color w:val="auto"/>
          <w:kern w:val="28"/>
          <w:sz w:val="21"/>
          <w:szCs w:val="21"/>
          <w:highlight w:val="none"/>
          <w:lang w:eastAsia="zh-CN"/>
        </w:rPr>
      </w:pPr>
      <w:r>
        <w:rPr>
          <w:rFonts w:hint="eastAsia" w:ascii="宋体" w:hAnsi="宋体" w:eastAsia="宋体" w:cs="宋体"/>
          <w:b/>
          <w:bCs/>
          <w:color w:val="auto"/>
          <w:sz w:val="21"/>
          <w:szCs w:val="21"/>
          <w:highlight w:val="none"/>
          <w:lang w:eastAsia="zh-CN"/>
        </w:rPr>
        <w:t>二、</w:t>
      </w:r>
      <w:r>
        <w:rPr>
          <w:rFonts w:hint="eastAsia" w:ascii="宋体" w:hAnsi="宋体" w:eastAsia="宋体" w:cs="宋体"/>
          <w:b/>
          <w:bCs/>
          <w:color w:val="auto"/>
          <w:sz w:val="21"/>
          <w:szCs w:val="21"/>
          <w:highlight w:val="none"/>
        </w:rPr>
        <w:t>预算金额：</w:t>
      </w:r>
      <w:r>
        <w:rPr>
          <w:rFonts w:hint="eastAsia" w:ascii="宋体" w:hAnsi="宋体" w:cs="宋体"/>
          <w:color w:val="000000" w:themeColor="text1"/>
          <w:sz w:val="21"/>
          <w:szCs w:val="21"/>
          <w:highlight w:val="none"/>
          <w:lang w:val="en-US" w:eastAsia="zh-CN"/>
          <w14:textFill>
            <w14:solidFill>
              <w14:schemeClr w14:val="tx1"/>
            </w14:solidFill>
          </w14:textFill>
        </w:rPr>
        <w:t>85,000</w:t>
      </w:r>
      <w:r>
        <w:rPr>
          <w:rFonts w:hint="eastAsia" w:ascii="宋体" w:hAnsi="宋体" w:eastAsia="宋体" w:cs="宋体"/>
          <w:color w:val="000000" w:themeColor="text1"/>
          <w:sz w:val="21"/>
          <w:szCs w:val="21"/>
          <w:highlight w:val="none"/>
          <w:lang w:val="en-US" w:eastAsia="zh-CN"/>
          <w14:textFill>
            <w14:solidFill>
              <w14:schemeClr w14:val="tx1"/>
            </w14:solidFill>
          </w14:textFill>
        </w:rPr>
        <w:t>.00</w:t>
      </w:r>
      <w:r>
        <w:rPr>
          <w:rFonts w:hint="eastAsia" w:ascii="宋体" w:hAnsi="宋体" w:eastAsia="宋体" w:cs="宋体"/>
          <w:color w:val="auto"/>
          <w:kern w:val="28"/>
          <w:sz w:val="21"/>
          <w:szCs w:val="21"/>
          <w:highlight w:val="none"/>
          <w:lang w:val="en-US" w:eastAsia="zh-CN"/>
        </w:rPr>
        <w:t>元</w:t>
      </w:r>
    </w:p>
    <w:p w14:paraId="64BE7AB6">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三、</w:t>
      </w:r>
      <w:r>
        <w:rPr>
          <w:rFonts w:hint="eastAsia" w:ascii="宋体" w:hAnsi="宋体" w:cs="宋体"/>
          <w:b/>
          <w:bCs/>
          <w:color w:val="auto"/>
          <w:sz w:val="21"/>
          <w:szCs w:val="21"/>
          <w:highlight w:val="none"/>
          <w:lang w:val="en-US" w:eastAsia="zh-CN"/>
        </w:rPr>
        <w:t>项目内容</w:t>
      </w:r>
    </w:p>
    <w:tbl>
      <w:tblPr>
        <w:tblStyle w:val="15"/>
        <w:tblW w:w="3943" w:type="pct"/>
        <w:tblInd w:w="656"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78"/>
        <w:gridCol w:w="1038"/>
        <w:gridCol w:w="1460"/>
        <w:gridCol w:w="1309"/>
        <w:gridCol w:w="1203"/>
      </w:tblGrid>
      <w:tr w14:paraId="2455A8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96" w:hRule="atLeast"/>
        </w:trPr>
        <w:tc>
          <w:tcPr>
            <w:tcW w:w="1784" w:type="pct"/>
            <w:noWrap w:val="0"/>
            <w:vAlign w:val="center"/>
          </w:tcPr>
          <w:p w14:paraId="066BC45C">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采购标的</w:t>
            </w:r>
          </w:p>
        </w:tc>
        <w:tc>
          <w:tcPr>
            <w:tcW w:w="666" w:type="pct"/>
            <w:noWrap w:val="0"/>
            <w:vAlign w:val="center"/>
          </w:tcPr>
          <w:p w14:paraId="3CA2633E">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数量</w:t>
            </w:r>
            <w:r>
              <w:rPr>
                <w:rFonts w:hint="eastAsia" w:ascii="宋体" w:hAnsi="宋体" w:cs="宋体"/>
                <w:i w:val="0"/>
                <w:iCs w:val="0"/>
                <w:color w:val="auto"/>
                <w:kern w:val="0"/>
                <w:sz w:val="21"/>
                <w:szCs w:val="21"/>
                <w:highlight w:val="none"/>
                <w:u w:val="none"/>
                <w:lang w:val="en-US" w:eastAsia="zh-CN" w:bidi="ar"/>
              </w:rPr>
              <w:t xml:space="preserve">     </w:t>
            </w:r>
            <w:r>
              <w:rPr>
                <w:rFonts w:hint="eastAsia" w:ascii="宋体" w:hAnsi="宋体" w:eastAsia="宋体" w:cs="宋体"/>
                <w:i w:val="0"/>
                <w:iCs w:val="0"/>
                <w:color w:val="auto"/>
                <w:kern w:val="0"/>
                <w:sz w:val="21"/>
                <w:szCs w:val="21"/>
                <w:highlight w:val="none"/>
                <w:u w:val="none"/>
                <w:lang w:val="en-US" w:eastAsia="zh-CN" w:bidi="ar"/>
              </w:rPr>
              <w:t>（单位）</w:t>
            </w:r>
          </w:p>
        </w:tc>
        <w:tc>
          <w:tcPr>
            <w:tcW w:w="937" w:type="pct"/>
            <w:noWrap w:val="0"/>
            <w:vAlign w:val="center"/>
          </w:tcPr>
          <w:p w14:paraId="768102DD">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预算单价（元）</w:t>
            </w:r>
          </w:p>
        </w:tc>
        <w:tc>
          <w:tcPr>
            <w:tcW w:w="840" w:type="pct"/>
            <w:noWrap w:val="0"/>
            <w:vAlign w:val="center"/>
          </w:tcPr>
          <w:p w14:paraId="58B7BFA6">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预算总价（元）</w:t>
            </w:r>
          </w:p>
        </w:tc>
        <w:tc>
          <w:tcPr>
            <w:tcW w:w="772" w:type="pct"/>
            <w:noWrap w:val="0"/>
            <w:vAlign w:val="center"/>
          </w:tcPr>
          <w:p w14:paraId="2C25FE6B">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是否允许进口产品</w:t>
            </w:r>
          </w:p>
        </w:tc>
      </w:tr>
      <w:tr w14:paraId="068AA8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04" w:hRule="atLeast"/>
        </w:trPr>
        <w:tc>
          <w:tcPr>
            <w:tcW w:w="1784" w:type="pct"/>
            <w:noWrap w:val="0"/>
            <w:vAlign w:val="center"/>
          </w:tcPr>
          <w:p w14:paraId="3CA9BFF3">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消毒供应中心纯水处理系统</w:t>
            </w:r>
          </w:p>
        </w:tc>
        <w:tc>
          <w:tcPr>
            <w:tcW w:w="666" w:type="pct"/>
            <w:noWrap w:val="0"/>
            <w:vAlign w:val="center"/>
          </w:tcPr>
          <w:p w14:paraId="75C591E2">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1套</w:t>
            </w:r>
          </w:p>
        </w:tc>
        <w:tc>
          <w:tcPr>
            <w:tcW w:w="937" w:type="pct"/>
            <w:noWrap w:val="0"/>
            <w:vAlign w:val="center"/>
          </w:tcPr>
          <w:p w14:paraId="7F151CAB">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color w:val="000000" w:themeColor="text1"/>
                <w:sz w:val="21"/>
                <w:szCs w:val="21"/>
                <w:highlight w:val="none"/>
                <w:lang w:val="en-US" w:eastAsia="zh-CN"/>
                <w14:textFill>
                  <w14:solidFill>
                    <w14:schemeClr w14:val="tx1"/>
                  </w14:solidFill>
                </w14:textFill>
              </w:rPr>
              <w:t>85,000</w:t>
            </w:r>
            <w:r>
              <w:rPr>
                <w:rFonts w:hint="eastAsia" w:ascii="宋体" w:hAnsi="宋体" w:eastAsia="宋体" w:cs="宋体"/>
                <w:color w:val="000000" w:themeColor="text1"/>
                <w:sz w:val="21"/>
                <w:szCs w:val="21"/>
                <w:highlight w:val="none"/>
                <w:lang w:val="en-US" w:eastAsia="zh-CN"/>
                <w14:textFill>
                  <w14:solidFill>
                    <w14:schemeClr w14:val="tx1"/>
                  </w14:solidFill>
                </w14:textFill>
              </w:rPr>
              <w:t>.00</w:t>
            </w:r>
          </w:p>
        </w:tc>
        <w:tc>
          <w:tcPr>
            <w:tcW w:w="840" w:type="pct"/>
            <w:noWrap w:val="0"/>
            <w:vAlign w:val="center"/>
          </w:tcPr>
          <w:p w14:paraId="025BD281">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color w:val="000000" w:themeColor="text1"/>
                <w:sz w:val="21"/>
                <w:szCs w:val="21"/>
                <w:highlight w:val="none"/>
                <w:lang w:val="en-US" w:eastAsia="zh-CN"/>
                <w14:textFill>
                  <w14:solidFill>
                    <w14:schemeClr w14:val="tx1"/>
                  </w14:solidFill>
                </w14:textFill>
              </w:rPr>
              <w:t>85,000</w:t>
            </w:r>
            <w:r>
              <w:rPr>
                <w:rFonts w:hint="eastAsia" w:ascii="宋体" w:hAnsi="宋体" w:eastAsia="宋体" w:cs="宋体"/>
                <w:color w:val="000000" w:themeColor="text1"/>
                <w:sz w:val="21"/>
                <w:szCs w:val="21"/>
                <w:highlight w:val="none"/>
                <w:lang w:val="en-US" w:eastAsia="zh-CN"/>
                <w14:textFill>
                  <w14:solidFill>
                    <w14:schemeClr w14:val="tx1"/>
                  </w14:solidFill>
                </w14:textFill>
              </w:rPr>
              <w:t>.00</w:t>
            </w:r>
          </w:p>
        </w:tc>
        <w:tc>
          <w:tcPr>
            <w:tcW w:w="772" w:type="pct"/>
            <w:noWrap w:val="0"/>
            <w:vAlign w:val="center"/>
          </w:tcPr>
          <w:p w14:paraId="1ECCAD30">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否</w:t>
            </w:r>
          </w:p>
        </w:tc>
      </w:tr>
    </w:tbl>
    <w:p w14:paraId="167E6955">
      <w:pPr>
        <w:keepNext w:val="0"/>
        <w:keepLines w:val="0"/>
        <w:pageBreakBefore w:val="0"/>
        <w:numPr>
          <w:ilvl w:val="0"/>
          <w:numId w:val="0"/>
        </w:numPr>
        <w:kinsoku/>
        <w:wordWrap/>
        <w:overflowPunct/>
        <w:topLinePunct w:val="0"/>
        <w:bidi w:val="0"/>
        <w:spacing w:line="360" w:lineRule="exact"/>
        <w:ind w:firstLine="422" w:firstLineChars="200"/>
        <w:jc w:val="both"/>
        <w:rPr>
          <w:rFonts w:hint="default"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四、采购需求书</w:t>
      </w:r>
    </w:p>
    <w:p w14:paraId="7285EE31">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（一）用途</w:t>
      </w:r>
    </w:p>
    <w:p w14:paraId="1388CB6E">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为消毒供应中心提供纯水。</w:t>
      </w:r>
    </w:p>
    <w:p w14:paraId="39147355">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（二）技术规格、参数及要求</w:t>
      </w:r>
    </w:p>
    <w:p w14:paraId="4497AE72">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w:t>
      </w:r>
      <w:r>
        <w:rPr>
          <w:rFonts w:hint="default" w:ascii="宋体" w:hAnsi="宋体" w:eastAsia="宋体" w:cs="宋体"/>
          <w:color w:val="auto"/>
          <w:sz w:val="21"/>
          <w:szCs w:val="21"/>
          <w:highlight w:val="none"/>
          <w:lang w:val="en-US" w:eastAsia="zh-CN" w:bidi="ar-SA"/>
        </w:rPr>
        <w:t>1.</w:t>
      </w:r>
      <w:r>
        <w:rPr>
          <w:rFonts w:hint="eastAsia" w:ascii="宋体" w:hAnsi="宋体" w:eastAsia="宋体" w:cs="宋体"/>
          <w:color w:val="auto"/>
          <w:sz w:val="21"/>
          <w:szCs w:val="21"/>
          <w:highlight w:val="none"/>
          <w:lang w:val="en-US" w:eastAsia="zh-CN" w:bidi="ar-SA"/>
        </w:rPr>
        <w:t>机房空间</w:t>
      </w:r>
      <w:r>
        <w:rPr>
          <w:rFonts w:hint="default" w:ascii="宋体" w:hAnsi="宋体" w:eastAsia="宋体" w:cs="宋体"/>
          <w:color w:val="auto"/>
          <w:sz w:val="21"/>
          <w:szCs w:val="21"/>
          <w:highlight w:val="none"/>
          <w:lang w:val="en-US" w:eastAsia="zh-CN" w:bidi="ar-SA"/>
        </w:rPr>
        <w:t>（L×W×H）：</w:t>
      </w:r>
      <w:r>
        <w:rPr>
          <w:rFonts w:hint="eastAsia" w:ascii="宋体" w:hAnsi="宋体" w:eastAsia="宋体" w:cs="宋体"/>
          <w:color w:val="auto"/>
          <w:sz w:val="21"/>
          <w:szCs w:val="21"/>
          <w:highlight w:val="none"/>
          <w:lang w:val="en-US" w:eastAsia="zh-CN" w:bidi="ar-SA"/>
        </w:rPr>
        <w:t>4.0</w:t>
      </w:r>
      <w:r>
        <w:rPr>
          <w:rFonts w:hint="default" w:ascii="宋体" w:hAnsi="宋体" w:eastAsia="宋体" w:cs="宋体"/>
          <w:color w:val="auto"/>
          <w:sz w:val="21"/>
          <w:szCs w:val="21"/>
          <w:highlight w:val="none"/>
          <w:lang w:val="en-US" w:eastAsia="zh-CN" w:bidi="ar-SA"/>
        </w:rPr>
        <w:t>*</w:t>
      </w:r>
      <w:r>
        <w:rPr>
          <w:rFonts w:hint="eastAsia" w:ascii="宋体" w:hAnsi="宋体" w:eastAsia="宋体" w:cs="宋体"/>
          <w:color w:val="auto"/>
          <w:sz w:val="21"/>
          <w:szCs w:val="21"/>
          <w:highlight w:val="none"/>
          <w:lang w:val="en-US" w:eastAsia="zh-CN" w:bidi="ar-SA"/>
        </w:rPr>
        <w:t>2.0</w:t>
      </w:r>
      <w:r>
        <w:rPr>
          <w:rFonts w:hint="default" w:ascii="宋体" w:hAnsi="宋体" w:eastAsia="宋体" w:cs="宋体"/>
          <w:color w:val="auto"/>
          <w:sz w:val="21"/>
          <w:szCs w:val="21"/>
          <w:highlight w:val="none"/>
          <w:lang w:val="en-US" w:eastAsia="zh-CN" w:bidi="ar-SA"/>
        </w:rPr>
        <w:t>*</w:t>
      </w:r>
      <w:r>
        <w:rPr>
          <w:rFonts w:hint="eastAsia" w:ascii="宋体" w:hAnsi="宋体" w:eastAsia="宋体" w:cs="宋体"/>
          <w:color w:val="auto"/>
          <w:sz w:val="21"/>
          <w:szCs w:val="21"/>
          <w:highlight w:val="none"/>
          <w:lang w:val="en-US" w:eastAsia="zh-CN" w:bidi="ar-SA"/>
        </w:rPr>
        <w:t>2.2M，此空间需存放全套纯水处理系统，并有足够的维护操作空间。</w:t>
      </w:r>
    </w:p>
    <w:p w14:paraId="4DBDCF5D">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w:t>
      </w:r>
      <w:r>
        <w:rPr>
          <w:rFonts w:hint="default" w:ascii="宋体" w:hAnsi="宋体" w:eastAsia="宋体" w:cs="宋体"/>
          <w:color w:val="auto"/>
          <w:sz w:val="21"/>
          <w:szCs w:val="21"/>
          <w:highlight w:val="none"/>
          <w:lang w:val="en-US" w:eastAsia="zh-CN" w:bidi="ar-SA"/>
        </w:rPr>
        <w:t>.</w:t>
      </w:r>
      <w:r>
        <w:rPr>
          <w:rFonts w:hint="eastAsia" w:ascii="宋体" w:hAnsi="宋体" w:eastAsia="宋体" w:cs="宋体"/>
          <w:color w:val="auto"/>
          <w:sz w:val="21"/>
          <w:szCs w:val="21"/>
          <w:highlight w:val="none"/>
          <w:lang w:val="en-US" w:eastAsia="zh-CN" w:bidi="ar-SA"/>
        </w:rPr>
        <w:t>机房门（</w:t>
      </w:r>
      <w:r>
        <w:rPr>
          <w:rFonts w:hint="default" w:ascii="宋体" w:hAnsi="宋体" w:eastAsia="宋体" w:cs="宋体"/>
          <w:color w:val="auto"/>
          <w:sz w:val="21"/>
          <w:szCs w:val="21"/>
          <w:highlight w:val="none"/>
          <w:lang w:val="en-US" w:eastAsia="zh-CN" w:bidi="ar-SA"/>
        </w:rPr>
        <w:t>W×H</w:t>
      </w:r>
      <w:r>
        <w:rPr>
          <w:rFonts w:hint="eastAsia" w:ascii="宋体" w:hAnsi="宋体" w:eastAsia="宋体" w:cs="宋体"/>
          <w:color w:val="auto"/>
          <w:sz w:val="21"/>
          <w:szCs w:val="21"/>
          <w:highlight w:val="none"/>
          <w:lang w:val="en-US" w:eastAsia="zh-CN" w:bidi="ar-SA"/>
        </w:rPr>
        <w:t>）：单件设备最大尺寸1.0*1.9M。</w:t>
      </w:r>
    </w:p>
    <w:p w14:paraId="1F67007A">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3</w:t>
      </w:r>
      <w:r>
        <w:rPr>
          <w:rFonts w:hint="default" w:ascii="宋体" w:hAnsi="宋体" w:eastAsia="宋体" w:cs="宋体"/>
          <w:color w:val="auto"/>
          <w:sz w:val="21"/>
          <w:szCs w:val="21"/>
          <w:highlight w:val="none"/>
          <w:lang w:val="en-US" w:eastAsia="zh-CN" w:bidi="ar-SA"/>
        </w:rPr>
        <w:t>.净化方法：原水泵→多介质过滤→活性炭过滤→软化树脂→精密过滤→高压泵→反渗透膜过滤→无菌箱→供水泵</w:t>
      </w:r>
      <w:r>
        <w:rPr>
          <w:rFonts w:hint="eastAsia" w:ascii="宋体" w:hAnsi="宋体" w:eastAsia="宋体" w:cs="宋体"/>
          <w:color w:val="auto"/>
          <w:sz w:val="21"/>
          <w:szCs w:val="21"/>
          <w:highlight w:val="none"/>
          <w:lang w:val="en-US" w:eastAsia="zh-CN" w:bidi="ar-SA"/>
        </w:rPr>
        <w:t>。</w:t>
      </w:r>
    </w:p>
    <w:p w14:paraId="3F9FAEDA">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4.</w:t>
      </w:r>
      <w:r>
        <w:rPr>
          <w:rFonts w:hint="default" w:ascii="宋体" w:hAnsi="宋体" w:eastAsia="宋体" w:cs="宋体"/>
          <w:color w:val="auto"/>
          <w:sz w:val="21"/>
          <w:szCs w:val="21"/>
          <w:highlight w:val="none"/>
          <w:lang w:val="en-US" w:eastAsia="zh-CN" w:bidi="ar-SA"/>
        </w:rPr>
        <w:t>最大制水量：</w:t>
      </w:r>
      <w:r>
        <w:rPr>
          <w:rFonts w:hint="eastAsia" w:ascii="宋体" w:hAnsi="宋体" w:eastAsia="宋体" w:cs="宋体"/>
          <w:color w:val="auto"/>
          <w:sz w:val="21"/>
          <w:szCs w:val="21"/>
          <w:highlight w:val="none"/>
          <w:lang w:val="en-US" w:eastAsia="zh-CN" w:bidi="ar-SA"/>
        </w:rPr>
        <w:t>≥</w:t>
      </w:r>
      <w:r>
        <w:rPr>
          <w:rFonts w:hint="default" w:ascii="宋体" w:hAnsi="宋体" w:eastAsia="宋体" w:cs="宋体"/>
          <w:color w:val="auto"/>
          <w:sz w:val="21"/>
          <w:szCs w:val="21"/>
          <w:highlight w:val="none"/>
          <w:lang w:val="en-US" w:eastAsia="zh-CN" w:bidi="ar-SA"/>
        </w:rPr>
        <w:t>1500L/H</w:t>
      </w:r>
      <w:r>
        <w:rPr>
          <w:rFonts w:hint="eastAsia" w:ascii="宋体" w:hAnsi="宋体" w:eastAsia="宋体" w:cs="宋体"/>
          <w:color w:val="auto"/>
          <w:sz w:val="21"/>
          <w:szCs w:val="21"/>
          <w:highlight w:val="none"/>
          <w:lang w:val="en-US" w:eastAsia="zh-CN" w:bidi="ar-SA"/>
        </w:rPr>
        <w:t>。</w:t>
      </w:r>
    </w:p>
    <w:p w14:paraId="5AFCCC36">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5.</w:t>
      </w:r>
      <w:r>
        <w:rPr>
          <w:rFonts w:hint="default" w:ascii="宋体" w:hAnsi="宋体" w:eastAsia="宋体" w:cs="宋体"/>
          <w:color w:val="auto"/>
          <w:sz w:val="21"/>
          <w:szCs w:val="21"/>
          <w:highlight w:val="none"/>
          <w:lang w:val="en-US" w:eastAsia="zh-CN" w:bidi="ar-SA"/>
        </w:rPr>
        <w:t>电压：380V 50HZ</w:t>
      </w:r>
      <w:r>
        <w:rPr>
          <w:rFonts w:hint="eastAsia" w:ascii="宋体" w:hAnsi="宋体" w:eastAsia="宋体" w:cs="宋体"/>
          <w:color w:val="auto"/>
          <w:sz w:val="21"/>
          <w:szCs w:val="21"/>
          <w:highlight w:val="none"/>
          <w:lang w:val="en-US" w:eastAsia="zh-CN" w:bidi="ar-SA"/>
        </w:rPr>
        <w:t>。</w:t>
      </w:r>
    </w:p>
    <w:p w14:paraId="063DF7D4">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6.</w:t>
      </w:r>
      <w:r>
        <w:rPr>
          <w:rFonts w:hint="default" w:ascii="宋体" w:hAnsi="宋体" w:eastAsia="宋体" w:cs="宋体"/>
          <w:color w:val="auto"/>
          <w:sz w:val="21"/>
          <w:szCs w:val="21"/>
          <w:highlight w:val="none"/>
          <w:lang w:val="en-US" w:eastAsia="zh-CN" w:bidi="ar-SA"/>
        </w:rPr>
        <w:t>功率：</w:t>
      </w:r>
      <w:r>
        <w:rPr>
          <w:rFonts w:hint="eastAsia" w:ascii="宋体" w:hAnsi="宋体" w:eastAsia="宋体" w:cs="宋体"/>
          <w:color w:val="auto"/>
          <w:sz w:val="21"/>
          <w:szCs w:val="21"/>
          <w:highlight w:val="none"/>
          <w:lang w:val="en-US" w:eastAsia="zh-CN" w:bidi="ar-SA"/>
        </w:rPr>
        <w:t>≥</w:t>
      </w:r>
      <w:r>
        <w:rPr>
          <w:rFonts w:hint="default" w:ascii="宋体" w:hAnsi="宋体" w:eastAsia="宋体" w:cs="宋体"/>
          <w:color w:val="auto"/>
          <w:sz w:val="21"/>
          <w:szCs w:val="21"/>
          <w:highlight w:val="none"/>
          <w:lang w:val="en-US" w:eastAsia="zh-CN" w:bidi="ar-SA"/>
        </w:rPr>
        <w:t>2.6KW</w:t>
      </w:r>
      <w:r>
        <w:rPr>
          <w:rFonts w:hint="eastAsia" w:ascii="宋体" w:hAnsi="宋体" w:eastAsia="宋体" w:cs="宋体"/>
          <w:color w:val="auto"/>
          <w:sz w:val="21"/>
          <w:szCs w:val="21"/>
          <w:highlight w:val="none"/>
          <w:lang w:val="en-US" w:eastAsia="zh-CN" w:bidi="ar-SA"/>
        </w:rPr>
        <w:t>。</w:t>
      </w:r>
    </w:p>
    <w:p w14:paraId="6F4AD43F">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7.</w:t>
      </w:r>
      <w:r>
        <w:rPr>
          <w:rFonts w:hint="default" w:ascii="宋体" w:hAnsi="宋体" w:eastAsia="宋体" w:cs="宋体"/>
          <w:color w:val="auto"/>
          <w:sz w:val="21"/>
          <w:szCs w:val="21"/>
          <w:highlight w:val="none"/>
          <w:lang w:val="en-US" w:eastAsia="zh-CN" w:bidi="ar-SA"/>
        </w:rPr>
        <w:t>进水水质：市政自来水</w:t>
      </w:r>
      <w:r>
        <w:rPr>
          <w:rFonts w:hint="eastAsia" w:ascii="宋体" w:hAnsi="宋体" w:eastAsia="宋体" w:cs="宋体"/>
          <w:color w:val="auto"/>
          <w:sz w:val="21"/>
          <w:szCs w:val="21"/>
          <w:highlight w:val="none"/>
          <w:lang w:val="en-US" w:eastAsia="zh-CN" w:bidi="ar-SA"/>
        </w:rPr>
        <w:t>。</w:t>
      </w:r>
    </w:p>
    <w:p w14:paraId="552E8828">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8.</w:t>
      </w:r>
      <w:r>
        <w:rPr>
          <w:rFonts w:hint="default" w:ascii="宋体" w:hAnsi="宋体" w:eastAsia="宋体" w:cs="宋体"/>
          <w:color w:val="auto"/>
          <w:sz w:val="21"/>
          <w:szCs w:val="21"/>
          <w:highlight w:val="none"/>
          <w:lang w:val="en-US" w:eastAsia="zh-CN" w:bidi="ar-SA"/>
        </w:rPr>
        <w:t>回收率：</w:t>
      </w:r>
      <w:r>
        <w:rPr>
          <w:rFonts w:hint="eastAsia" w:ascii="宋体" w:hAnsi="宋体" w:eastAsia="宋体" w:cs="宋体"/>
          <w:color w:val="auto"/>
          <w:sz w:val="21"/>
          <w:szCs w:val="21"/>
          <w:highlight w:val="none"/>
          <w:lang w:val="en-US" w:eastAsia="zh-CN" w:bidi="ar-SA"/>
        </w:rPr>
        <w:t>≥</w:t>
      </w:r>
      <w:r>
        <w:rPr>
          <w:rFonts w:hint="default" w:ascii="宋体" w:hAnsi="宋体" w:eastAsia="宋体" w:cs="宋体"/>
          <w:color w:val="auto"/>
          <w:sz w:val="21"/>
          <w:szCs w:val="21"/>
          <w:highlight w:val="none"/>
          <w:lang w:val="en-US" w:eastAsia="zh-CN" w:bidi="ar-SA"/>
        </w:rPr>
        <w:t>70%</w:t>
      </w:r>
      <w:r>
        <w:rPr>
          <w:rFonts w:hint="eastAsia" w:ascii="宋体" w:hAnsi="宋体" w:eastAsia="宋体" w:cs="宋体"/>
          <w:color w:val="auto"/>
          <w:sz w:val="21"/>
          <w:szCs w:val="21"/>
          <w:highlight w:val="none"/>
          <w:lang w:val="en-US" w:eastAsia="zh-CN" w:bidi="ar-SA"/>
        </w:rPr>
        <w:t>。</w:t>
      </w:r>
    </w:p>
    <w:p w14:paraId="6117B9FF">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9.</w:t>
      </w:r>
      <w:r>
        <w:rPr>
          <w:rFonts w:hint="default" w:ascii="宋体" w:hAnsi="宋体" w:eastAsia="宋体" w:cs="宋体"/>
          <w:color w:val="auto"/>
          <w:sz w:val="21"/>
          <w:szCs w:val="21"/>
          <w:highlight w:val="none"/>
          <w:lang w:val="en-US" w:eastAsia="zh-CN" w:bidi="ar-SA"/>
        </w:rPr>
        <w:t>杂质去除率：</w:t>
      </w:r>
      <w:r>
        <w:rPr>
          <w:rFonts w:hint="eastAsia" w:ascii="宋体" w:hAnsi="宋体" w:eastAsia="宋体" w:cs="宋体"/>
          <w:color w:val="auto"/>
          <w:sz w:val="21"/>
          <w:szCs w:val="21"/>
          <w:highlight w:val="none"/>
          <w:lang w:val="en-US" w:eastAsia="zh-CN" w:bidi="ar-SA"/>
        </w:rPr>
        <w:t>≥</w:t>
      </w:r>
      <w:r>
        <w:rPr>
          <w:rFonts w:hint="default" w:ascii="宋体" w:hAnsi="宋体" w:eastAsia="宋体" w:cs="宋体"/>
          <w:color w:val="auto"/>
          <w:sz w:val="21"/>
          <w:szCs w:val="21"/>
          <w:highlight w:val="none"/>
          <w:lang w:val="en-US" w:eastAsia="zh-CN" w:bidi="ar-SA"/>
        </w:rPr>
        <w:t>99.9%</w:t>
      </w:r>
      <w:r>
        <w:rPr>
          <w:rFonts w:hint="eastAsia" w:ascii="宋体" w:hAnsi="宋体" w:eastAsia="宋体" w:cs="宋体"/>
          <w:color w:val="auto"/>
          <w:sz w:val="21"/>
          <w:szCs w:val="21"/>
          <w:highlight w:val="none"/>
          <w:lang w:val="en-US" w:eastAsia="zh-CN" w:bidi="ar-SA"/>
        </w:rPr>
        <w:t>。</w:t>
      </w:r>
    </w:p>
    <w:p w14:paraId="17082160">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10.</w:t>
      </w:r>
      <w:r>
        <w:rPr>
          <w:rFonts w:hint="default" w:ascii="宋体" w:hAnsi="宋体" w:eastAsia="宋体" w:cs="宋体"/>
          <w:color w:val="auto"/>
          <w:sz w:val="21"/>
          <w:szCs w:val="21"/>
          <w:highlight w:val="none"/>
          <w:lang w:val="en-US" w:eastAsia="zh-CN" w:bidi="ar-SA"/>
        </w:rPr>
        <w:t>细菌去除率：</w:t>
      </w:r>
      <w:r>
        <w:rPr>
          <w:rFonts w:hint="eastAsia" w:ascii="宋体" w:hAnsi="宋体" w:eastAsia="宋体" w:cs="宋体"/>
          <w:color w:val="auto"/>
          <w:sz w:val="21"/>
          <w:szCs w:val="21"/>
          <w:highlight w:val="none"/>
          <w:lang w:val="en-US" w:eastAsia="zh-CN" w:bidi="ar-SA"/>
        </w:rPr>
        <w:t>≥</w:t>
      </w:r>
      <w:r>
        <w:rPr>
          <w:rFonts w:hint="default" w:ascii="宋体" w:hAnsi="宋体" w:eastAsia="宋体" w:cs="宋体"/>
          <w:color w:val="auto"/>
          <w:sz w:val="21"/>
          <w:szCs w:val="21"/>
          <w:highlight w:val="none"/>
          <w:lang w:val="en-US" w:eastAsia="zh-CN" w:bidi="ar-SA"/>
        </w:rPr>
        <w:t>99.9%</w:t>
      </w:r>
      <w:r>
        <w:rPr>
          <w:rFonts w:hint="eastAsia" w:ascii="宋体" w:hAnsi="宋体" w:eastAsia="宋体" w:cs="宋体"/>
          <w:color w:val="auto"/>
          <w:sz w:val="21"/>
          <w:szCs w:val="21"/>
          <w:highlight w:val="none"/>
          <w:lang w:val="en-US" w:eastAsia="zh-CN" w:bidi="ar-SA"/>
        </w:rPr>
        <w:t>。</w:t>
      </w:r>
    </w:p>
    <w:p w14:paraId="571A274A">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11.</w:t>
      </w:r>
      <w:r>
        <w:rPr>
          <w:rFonts w:hint="default" w:ascii="宋体" w:hAnsi="宋体" w:eastAsia="宋体" w:cs="宋体"/>
          <w:color w:val="auto"/>
          <w:sz w:val="21"/>
          <w:szCs w:val="21"/>
          <w:highlight w:val="none"/>
          <w:lang w:val="en-US" w:eastAsia="zh-CN" w:bidi="ar-SA"/>
        </w:rPr>
        <w:t>离子去除率：</w:t>
      </w:r>
      <w:r>
        <w:rPr>
          <w:rFonts w:hint="eastAsia" w:ascii="宋体" w:hAnsi="宋体" w:eastAsia="宋体" w:cs="宋体"/>
          <w:color w:val="auto"/>
          <w:sz w:val="21"/>
          <w:szCs w:val="21"/>
          <w:highlight w:val="none"/>
          <w:lang w:val="en-US" w:eastAsia="zh-CN" w:bidi="ar-SA"/>
        </w:rPr>
        <w:t>≥</w:t>
      </w:r>
      <w:r>
        <w:rPr>
          <w:rFonts w:hint="default" w:ascii="宋体" w:hAnsi="宋体" w:eastAsia="宋体" w:cs="宋体"/>
          <w:color w:val="auto"/>
          <w:sz w:val="21"/>
          <w:szCs w:val="21"/>
          <w:highlight w:val="none"/>
          <w:lang w:val="en-US" w:eastAsia="zh-CN" w:bidi="ar-SA"/>
        </w:rPr>
        <w:t>99.9%</w:t>
      </w:r>
      <w:r>
        <w:rPr>
          <w:rFonts w:hint="eastAsia" w:ascii="宋体" w:hAnsi="宋体" w:eastAsia="宋体" w:cs="宋体"/>
          <w:color w:val="auto"/>
          <w:sz w:val="21"/>
          <w:szCs w:val="21"/>
          <w:highlight w:val="none"/>
          <w:lang w:val="en-US" w:eastAsia="zh-CN" w:bidi="ar-SA"/>
        </w:rPr>
        <w:t>。</w:t>
      </w:r>
    </w:p>
    <w:p w14:paraId="3A1A03DA">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12.</w:t>
      </w:r>
      <w:r>
        <w:rPr>
          <w:rFonts w:hint="default" w:ascii="宋体" w:hAnsi="宋体" w:eastAsia="宋体" w:cs="宋体"/>
          <w:color w:val="auto"/>
          <w:sz w:val="21"/>
          <w:szCs w:val="21"/>
          <w:highlight w:val="none"/>
          <w:lang w:val="en-US" w:eastAsia="zh-CN" w:bidi="ar-SA"/>
        </w:rPr>
        <w:t>全程微电脑智能控制，设备开机自检，LED显示屏实时显示工作状态</w:t>
      </w:r>
      <w:r>
        <w:rPr>
          <w:rFonts w:hint="eastAsia" w:ascii="宋体" w:hAnsi="宋体" w:eastAsia="宋体" w:cs="宋体"/>
          <w:color w:val="auto"/>
          <w:sz w:val="21"/>
          <w:szCs w:val="21"/>
          <w:highlight w:val="none"/>
          <w:lang w:val="en-US" w:eastAsia="zh-CN" w:bidi="ar-SA"/>
        </w:rPr>
        <w:t>。</w:t>
      </w:r>
    </w:p>
    <w:p w14:paraId="044CA3BF">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13.</w:t>
      </w:r>
      <w:r>
        <w:rPr>
          <w:rFonts w:hint="default" w:ascii="宋体" w:hAnsi="宋体" w:eastAsia="宋体" w:cs="宋体"/>
          <w:color w:val="auto"/>
          <w:sz w:val="21"/>
          <w:szCs w:val="21"/>
          <w:highlight w:val="none"/>
          <w:lang w:val="en-US" w:eastAsia="zh-CN" w:bidi="ar-SA"/>
        </w:rPr>
        <w:t>外壳选用优质不锈钢板、防锈且耐老化</w:t>
      </w:r>
      <w:r>
        <w:rPr>
          <w:rFonts w:hint="eastAsia" w:ascii="宋体" w:hAnsi="宋体" w:eastAsia="宋体" w:cs="宋体"/>
          <w:color w:val="auto"/>
          <w:sz w:val="21"/>
          <w:szCs w:val="21"/>
          <w:highlight w:val="none"/>
          <w:lang w:val="en-US" w:eastAsia="zh-CN" w:bidi="ar-SA"/>
        </w:rPr>
        <w:t>易清洁。</w:t>
      </w:r>
      <w:bookmarkStart w:id="1" w:name="_GoBack"/>
      <w:bookmarkEnd w:id="1"/>
    </w:p>
    <w:p w14:paraId="790562F4">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14.</w:t>
      </w:r>
      <w:r>
        <w:rPr>
          <w:rFonts w:hint="default" w:ascii="宋体" w:hAnsi="宋体" w:eastAsia="宋体" w:cs="宋体"/>
          <w:color w:val="auto"/>
          <w:sz w:val="21"/>
          <w:szCs w:val="21"/>
          <w:highlight w:val="none"/>
          <w:lang w:val="en-US" w:eastAsia="zh-CN" w:bidi="ar-SA"/>
        </w:rPr>
        <w:t>具有高压、低压、漏电保护功能，停水缺水保护、水满待机。</w:t>
      </w:r>
    </w:p>
    <w:p w14:paraId="13181859">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15.</w:t>
      </w:r>
      <w:r>
        <w:rPr>
          <w:rFonts w:hint="default" w:ascii="宋体" w:hAnsi="宋体" w:eastAsia="宋体" w:cs="宋体"/>
          <w:color w:val="auto"/>
          <w:sz w:val="21"/>
          <w:szCs w:val="21"/>
          <w:highlight w:val="none"/>
          <w:lang w:val="en-US" w:eastAsia="zh-CN" w:bidi="ar-SA"/>
        </w:rPr>
        <w:t>带水质监测功能，可监测原水与纯水水质</w:t>
      </w:r>
      <w:r>
        <w:rPr>
          <w:rFonts w:hint="eastAsia" w:ascii="宋体" w:hAnsi="宋体" w:eastAsia="宋体" w:cs="宋体"/>
          <w:color w:val="auto"/>
          <w:sz w:val="21"/>
          <w:szCs w:val="21"/>
          <w:highlight w:val="none"/>
          <w:lang w:val="en-US" w:eastAsia="zh-CN" w:bidi="ar-SA"/>
        </w:rPr>
        <w:t>。</w:t>
      </w:r>
    </w:p>
    <w:p w14:paraId="06E91369">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16.</w:t>
      </w:r>
      <w:r>
        <w:rPr>
          <w:rFonts w:hint="default" w:ascii="宋体" w:hAnsi="宋体" w:eastAsia="宋体" w:cs="宋体"/>
          <w:color w:val="auto"/>
          <w:sz w:val="21"/>
          <w:szCs w:val="21"/>
          <w:highlight w:val="none"/>
          <w:lang w:val="en-US" w:eastAsia="zh-CN" w:bidi="ar-SA"/>
        </w:rPr>
        <w:t>配备进水压力与水流量恒定控制、供水恒压稳定单元</w:t>
      </w:r>
      <w:r>
        <w:rPr>
          <w:rFonts w:hint="eastAsia" w:ascii="宋体" w:hAnsi="宋体" w:eastAsia="宋体" w:cs="宋体"/>
          <w:color w:val="auto"/>
          <w:sz w:val="21"/>
          <w:szCs w:val="21"/>
          <w:highlight w:val="none"/>
          <w:lang w:val="en-US" w:eastAsia="zh-CN" w:bidi="ar-SA"/>
        </w:rPr>
        <w:t>。</w:t>
      </w:r>
    </w:p>
    <w:p w14:paraId="3077BBEA">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17.</w:t>
      </w:r>
      <w:r>
        <w:rPr>
          <w:rFonts w:hint="default" w:ascii="宋体" w:hAnsi="宋体" w:eastAsia="宋体" w:cs="宋体"/>
          <w:color w:val="auto"/>
          <w:sz w:val="21"/>
          <w:szCs w:val="21"/>
          <w:highlight w:val="none"/>
          <w:lang w:val="en-US" w:eastAsia="zh-CN" w:bidi="ar-SA"/>
        </w:rPr>
        <w:t>储水水箱为全密闭式304不锈钢双层无菌水箱</w:t>
      </w:r>
      <w:r>
        <w:rPr>
          <w:rFonts w:hint="eastAsia" w:ascii="宋体" w:hAnsi="宋体" w:eastAsia="宋体" w:cs="宋体"/>
          <w:color w:val="auto"/>
          <w:sz w:val="21"/>
          <w:szCs w:val="21"/>
          <w:highlight w:val="none"/>
          <w:lang w:val="en-US" w:eastAsia="zh-CN" w:bidi="ar-SA"/>
        </w:rPr>
        <w:t>。</w:t>
      </w:r>
    </w:p>
    <w:p w14:paraId="453625BC">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18.</w:t>
      </w:r>
      <w:r>
        <w:rPr>
          <w:rFonts w:hint="default" w:ascii="宋体" w:hAnsi="宋体" w:eastAsia="宋体" w:cs="宋体"/>
          <w:color w:val="auto"/>
          <w:sz w:val="21"/>
          <w:szCs w:val="21"/>
          <w:highlight w:val="none"/>
          <w:lang w:val="en-US" w:eastAsia="zh-CN" w:bidi="ar-SA"/>
        </w:rPr>
        <w:t>预处理系统：预处理为分段式，可实现滤芯材料自动正、反洗等功能。</w:t>
      </w:r>
    </w:p>
    <w:p w14:paraId="6BEEA899">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（三）商务要求</w:t>
      </w:r>
    </w:p>
    <w:p w14:paraId="541AF88E">
      <w:pPr>
        <w:keepNext w:val="0"/>
        <w:keepLines w:val="0"/>
        <w:pageBreakBefore w:val="0"/>
        <w:kinsoku/>
        <w:overflowPunct/>
        <w:topLinePunct w:val="0"/>
        <w:bidi w:val="0"/>
        <w:spacing w:line="360" w:lineRule="exact"/>
        <w:ind w:firstLine="210" w:firstLineChars="100"/>
        <w:jc w:val="left"/>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Times New Roman"/>
          <w:bCs/>
          <w:color w:val="auto"/>
          <w:szCs w:val="21"/>
          <w:highlight w:val="none"/>
          <w:lang w:val="en-US" w:eastAsia="zh-CN"/>
        </w:rPr>
        <w:t xml:space="preserve"> </w:t>
      </w:r>
      <w:r>
        <w:rPr>
          <w:rFonts w:hint="eastAsia" w:ascii="宋体" w:hAnsi="宋体" w:cs="宋体"/>
          <w:color w:val="auto"/>
          <w:sz w:val="21"/>
          <w:szCs w:val="21"/>
          <w:highlight w:val="none"/>
          <w:lang w:val="en-US" w:eastAsia="zh-CN"/>
        </w:rPr>
        <w:t>★1.供应商须承诺中选</w:t>
      </w:r>
      <w:r>
        <w:rPr>
          <w:rFonts w:hint="eastAsia" w:ascii="宋体" w:hAnsi="宋体" w:eastAsia="宋体" w:cs="宋体"/>
          <w:i w:val="0"/>
          <w:iCs w:val="0"/>
          <w:color w:val="auto"/>
          <w:kern w:val="0"/>
          <w:sz w:val="21"/>
          <w:szCs w:val="21"/>
          <w:highlight w:val="none"/>
          <w:u w:val="none"/>
          <w:lang w:val="en-US" w:eastAsia="zh-CN" w:bidi="ar"/>
        </w:rPr>
        <w:t>后提供所参选设备的授权文件，在合同签订限期内未能提供的，采购人有权拒绝签订合同。设备报价包括设备安装、调试及管路改造材料等。</w:t>
      </w:r>
    </w:p>
    <w:p w14:paraId="5D368CDE">
      <w:pPr>
        <w:pStyle w:val="23"/>
        <w:spacing w:before="103" w:line="240" w:lineRule="auto"/>
        <w:ind w:left="10" w:right="40" w:firstLine="428" w:firstLineChars="204"/>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2.付款方式：合同签订后30天内交货，完成安装测试、运行验收合格后支付合同金额的100%。</w:t>
      </w:r>
    </w:p>
    <w:p w14:paraId="5DB157CB">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3.验收标准和方法</w:t>
      </w:r>
    </w:p>
    <w:p w14:paraId="6418390F">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3.1提供的设备生产日期在合同签订日期前12个月以内。保证所供设备是原厂的全新设备，均为正货，是参选的型号。</w:t>
      </w:r>
    </w:p>
    <w:p w14:paraId="2EE2BC20">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.2设备验收在</w:t>
      </w:r>
      <w:r>
        <w:rPr>
          <w:rFonts w:hint="eastAsia" w:ascii="宋体" w:hAnsi="宋体" w:cs="宋体"/>
          <w:i w:val="0"/>
          <w:iCs w:val="0"/>
          <w:color w:val="auto"/>
          <w:kern w:val="0"/>
          <w:sz w:val="21"/>
          <w:szCs w:val="21"/>
          <w:highlight w:val="none"/>
          <w:u w:val="none"/>
          <w:lang w:val="en-US" w:eastAsia="zh-CN" w:bidi="ar"/>
        </w:rPr>
        <w:t>采购人</w:t>
      </w:r>
      <w:r>
        <w:rPr>
          <w:rFonts w:hint="eastAsia" w:ascii="宋体" w:hAnsi="宋体" w:eastAsia="宋体" w:cs="宋体"/>
          <w:i w:val="0"/>
          <w:iCs w:val="0"/>
          <w:color w:val="auto"/>
          <w:kern w:val="0"/>
          <w:sz w:val="21"/>
          <w:szCs w:val="21"/>
          <w:highlight w:val="none"/>
          <w:u w:val="none"/>
          <w:lang w:val="en-US" w:eastAsia="zh-CN" w:bidi="ar"/>
        </w:rPr>
        <w:t>和</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双方共同参与下按国家有关的规定、规范进行</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如发现所交付的设备有短装、次品、损坏或其它不符合本合同规定之情形者，</w:t>
      </w:r>
      <w:r>
        <w:rPr>
          <w:rFonts w:hint="eastAsia" w:ascii="宋体" w:hAnsi="宋体" w:cs="宋体"/>
          <w:i w:val="0"/>
          <w:iCs w:val="0"/>
          <w:color w:val="auto"/>
          <w:kern w:val="0"/>
          <w:sz w:val="21"/>
          <w:szCs w:val="21"/>
          <w:highlight w:val="none"/>
          <w:u w:val="none"/>
          <w:lang w:val="en-US" w:eastAsia="zh-CN" w:bidi="ar"/>
        </w:rPr>
        <w:t>采购人</w:t>
      </w:r>
      <w:r>
        <w:rPr>
          <w:rFonts w:hint="eastAsia" w:ascii="宋体" w:hAnsi="宋体" w:eastAsia="宋体" w:cs="宋体"/>
          <w:i w:val="0"/>
          <w:iCs w:val="0"/>
          <w:color w:val="auto"/>
          <w:kern w:val="0"/>
          <w:sz w:val="21"/>
          <w:szCs w:val="21"/>
          <w:highlight w:val="none"/>
          <w:u w:val="none"/>
          <w:lang w:val="en-US" w:eastAsia="zh-CN" w:bidi="ar"/>
        </w:rPr>
        <w:t>应作出详尽的现场记录，或由</w:t>
      </w:r>
      <w:r>
        <w:rPr>
          <w:rFonts w:hint="eastAsia" w:ascii="宋体" w:hAnsi="宋体" w:cs="宋体"/>
          <w:i w:val="0"/>
          <w:iCs w:val="0"/>
          <w:color w:val="auto"/>
          <w:kern w:val="0"/>
          <w:sz w:val="21"/>
          <w:szCs w:val="21"/>
          <w:highlight w:val="none"/>
          <w:u w:val="none"/>
          <w:lang w:val="en-US" w:eastAsia="zh-CN" w:bidi="ar"/>
        </w:rPr>
        <w:t>采购人</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双方签署备忘录。此现场记录或备忘录可用作补充、缺失和更换损坏部件的有效证据。因此产生的有关费用由</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承担</w:t>
      </w:r>
      <w:r>
        <w:rPr>
          <w:rFonts w:hint="eastAsia" w:ascii="宋体" w:hAnsi="宋体" w:cs="宋体"/>
          <w:i w:val="0"/>
          <w:iCs w:val="0"/>
          <w:color w:val="auto"/>
          <w:kern w:val="0"/>
          <w:sz w:val="21"/>
          <w:szCs w:val="21"/>
          <w:highlight w:val="none"/>
          <w:u w:val="none"/>
          <w:lang w:val="en-US" w:eastAsia="zh-CN" w:bidi="ar"/>
        </w:rPr>
        <w:t>。</w:t>
      </w:r>
    </w:p>
    <w:p w14:paraId="2B86D117">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3.3</w:t>
      </w:r>
      <w:r>
        <w:rPr>
          <w:rFonts w:ascii="Calibri" w:hAnsi="Calibri" w:eastAsia="宋体" w:cs="Times New Roman"/>
          <w:sz w:val="21"/>
          <w:highlight w:val="none"/>
        </w:rPr>
        <w:t>如在验收中发现设备达不到验收标准或合同及合同相关技术文件规定，</w:t>
      </w:r>
      <w:r>
        <w:rPr>
          <w:rFonts w:hint="eastAsia" w:ascii="Calibri" w:hAnsi="Calibri" w:eastAsia="宋体" w:cs="Times New Roman"/>
          <w:sz w:val="21"/>
          <w:highlight w:val="none"/>
          <w:lang w:val="en-US" w:eastAsia="zh-CN"/>
        </w:rPr>
        <w:t>供应商</w:t>
      </w:r>
      <w:r>
        <w:rPr>
          <w:rFonts w:ascii="Calibri" w:hAnsi="Calibri" w:eastAsia="宋体" w:cs="Times New Roman"/>
          <w:sz w:val="21"/>
          <w:highlight w:val="none"/>
        </w:rPr>
        <w:t>应及时安排更换，以保证合同设备安装调试的成功完成</w:t>
      </w:r>
      <w:r>
        <w:rPr>
          <w:rFonts w:hint="eastAsia" w:ascii="Calibri" w:hAnsi="Calibri" w:cs="Times New Roman"/>
          <w:sz w:val="21"/>
          <w:highlight w:val="none"/>
          <w:lang w:eastAsia="zh-CN"/>
        </w:rPr>
        <w:t>，</w:t>
      </w:r>
      <w:r>
        <w:rPr>
          <w:rFonts w:ascii="Calibri" w:hAnsi="Calibri" w:eastAsia="宋体" w:cs="Times New Roman"/>
          <w:sz w:val="21"/>
          <w:highlight w:val="none"/>
        </w:rPr>
        <w:t>使设备最终达到合同或合同相关技术文件中规定的性能和要求。更换的相关费用</w:t>
      </w:r>
      <w:r>
        <w:rPr>
          <w:rFonts w:hint="eastAsia" w:ascii="Calibri" w:hAnsi="Calibri" w:eastAsia="宋体" w:cs="Times New Roman"/>
          <w:sz w:val="21"/>
          <w:highlight w:val="none"/>
          <w:lang w:val="en-US" w:eastAsia="zh-CN"/>
        </w:rPr>
        <w:t>全部</w:t>
      </w:r>
      <w:r>
        <w:rPr>
          <w:rFonts w:ascii="Calibri" w:hAnsi="Calibri" w:eastAsia="宋体" w:cs="Times New Roman"/>
          <w:sz w:val="21"/>
          <w:highlight w:val="none"/>
        </w:rPr>
        <w:t>由</w:t>
      </w:r>
      <w:r>
        <w:rPr>
          <w:rFonts w:hint="eastAsia" w:ascii="Calibri" w:hAnsi="Calibri" w:eastAsia="宋体" w:cs="Times New Roman"/>
          <w:sz w:val="21"/>
          <w:highlight w:val="none"/>
          <w:lang w:val="en-US" w:eastAsia="zh-CN"/>
        </w:rPr>
        <w:t>供应商</w:t>
      </w:r>
      <w:r>
        <w:rPr>
          <w:rFonts w:ascii="Calibri" w:hAnsi="Calibri" w:eastAsia="宋体" w:cs="Times New Roman"/>
          <w:sz w:val="21"/>
          <w:highlight w:val="none"/>
        </w:rPr>
        <w:t>承担并承担由此造成的一切损失</w:t>
      </w:r>
      <w:r>
        <w:rPr>
          <w:rFonts w:hint="eastAsia" w:ascii="Calibri" w:hAnsi="Calibri" w:eastAsia="宋体" w:cs="Times New Roman"/>
          <w:sz w:val="21"/>
          <w:highlight w:val="none"/>
          <w:lang w:eastAsia="zh-CN"/>
        </w:rPr>
        <w:t>。</w:t>
      </w:r>
      <w:r>
        <w:rPr>
          <w:rFonts w:hint="eastAsia" w:ascii="Calibri" w:hAnsi="Calibri" w:eastAsia="宋体" w:cs="Times New Roman"/>
          <w:sz w:val="21"/>
          <w:highlight w:val="none"/>
          <w:lang w:val="en-US" w:eastAsia="zh-CN"/>
        </w:rPr>
        <w:t>如更换后的设备仍达不到验收标准或</w:t>
      </w:r>
      <w:r>
        <w:rPr>
          <w:rFonts w:ascii="Calibri" w:hAnsi="Calibri" w:eastAsia="宋体" w:cs="Times New Roman"/>
          <w:sz w:val="21"/>
          <w:highlight w:val="none"/>
        </w:rPr>
        <w:t>合同及合同相关技术文件规定</w:t>
      </w:r>
      <w:r>
        <w:rPr>
          <w:rFonts w:hint="eastAsia" w:ascii="Calibri" w:hAnsi="Calibri" w:cs="Times New Roman"/>
          <w:sz w:val="21"/>
          <w:highlight w:val="none"/>
          <w:lang w:eastAsia="zh-CN"/>
        </w:rPr>
        <w:t>的，</w:t>
      </w:r>
      <w:r>
        <w:rPr>
          <w:rFonts w:hint="eastAsia" w:ascii="Calibri" w:hAnsi="Calibri" w:cs="Times New Roman"/>
          <w:sz w:val="21"/>
          <w:highlight w:val="none"/>
          <w:lang w:val="en-US" w:eastAsia="zh-CN"/>
        </w:rPr>
        <w:t>采购人可</w:t>
      </w:r>
      <w:r>
        <w:rPr>
          <w:rFonts w:hint="eastAsia" w:ascii="Calibri" w:hAnsi="Calibri" w:cs="Times New Roman"/>
          <w:sz w:val="21"/>
          <w:highlight w:val="none"/>
          <w:lang w:eastAsia="zh-CN"/>
        </w:rPr>
        <w:t>终止全部或部分合同，</w:t>
      </w:r>
      <w:r>
        <w:rPr>
          <w:rFonts w:hint="eastAsia" w:ascii="Calibri" w:hAnsi="Calibri" w:cs="Times New Roman"/>
          <w:sz w:val="21"/>
          <w:highlight w:val="none"/>
          <w:lang w:val="en-US" w:eastAsia="zh-CN"/>
        </w:rPr>
        <w:t>采购人</w:t>
      </w:r>
      <w:r>
        <w:rPr>
          <w:rFonts w:hint="eastAsia" w:ascii="Calibri" w:hAnsi="Calibri" w:cs="Times New Roman"/>
          <w:sz w:val="21"/>
          <w:highlight w:val="none"/>
          <w:lang w:eastAsia="zh-CN"/>
        </w:rPr>
        <w:t>可以依其认为适当的条件和方法购买与未交设备类似的设备或服务，</w:t>
      </w:r>
      <w:r>
        <w:rPr>
          <w:rFonts w:hint="eastAsia" w:ascii="Calibri" w:hAnsi="Calibri" w:cs="Times New Roman"/>
          <w:sz w:val="21"/>
          <w:highlight w:val="none"/>
          <w:lang w:val="en-US" w:eastAsia="zh-CN"/>
        </w:rPr>
        <w:t>供应商</w:t>
      </w:r>
      <w:r>
        <w:rPr>
          <w:rFonts w:hint="eastAsia" w:ascii="Calibri" w:hAnsi="Calibri" w:cs="Times New Roman"/>
          <w:sz w:val="21"/>
          <w:highlight w:val="none"/>
          <w:lang w:eastAsia="zh-CN"/>
        </w:rPr>
        <w:t>应承担</w:t>
      </w:r>
      <w:r>
        <w:rPr>
          <w:rFonts w:hint="eastAsia" w:ascii="Calibri" w:hAnsi="Calibri" w:cs="Times New Roman"/>
          <w:sz w:val="21"/>
          <w:highlight w:val="none"/>
          <w:lang w:val="en-US" w:eastAsia="zh-CN"/>
        </w:rPr>
        <w:t>采购人</w:t>
      </w:r>
      <w:r>
        <w:rPr>
          <w:rFonts w:hint="eastAsia" w:ascii="Calibri" w:hAnsi="Calibri" w:cs="Times New Roman"/>
          <w:sz w:val="21"/>
          <w:highlight w:val="none"/>
          <w:lang w:eastAsia="zh-CN"/>
        </w:rPr>
        <w:t>因购买类似设备或服务而产生的额外支出。但是，</w:t>
      </w:r>
      <w:r>
        <w:rPr>
          <w:rFonts w:hint="eastAsia" w:ascii="Calibri" w:hAnsi="Calibri" w:cs="Times New Roman"/>
          <w:sz w:val="21"/>
          <w:highlight w:val="none"/>
          <w:lang w:val="en-US" w:eastAsia="zh-CN"/>
        </w:rPr>
        <w:t>供应商</w:t>
      </w:r>
      <w:r>
        <w:rPr>
          <w:rFonts w:hint="eastAsia" w:ascii="Calibri" w:hAnsi="Calibri" w:cs="Times New Roman"/>
          <w:sz w:val="21"/>
          <w:highlight w:val="none"/>
          <w:lang w:eastAsia="zh-CN"/>
        </w:rPr>
        <w:t>应继续执行合同中未终止的部分。</w:t>
      </w:r>
      <w:r>
        <w:rPr>
          <w:rFonts w:hint="eastAsia" w:ascii="Calibri" w:hAnsi="Calibri" w:cs="Times New Roman"/>
          <w:sz w:val="21"/>
          <w:highlight w:val="none"/>
          <w:lang w:val="en-US" w:eastAsia="zh-CN"/>
        </w:rPr>
        <w:t>采购人保留法律追究的权利。</w:t>
      </w:r>
    </w:p>
    <w:p w14:paraId="0E98A42A">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.4如果合同设备运输和安装过程中因事故造成货物短缺、损坏，</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应及时安排补货、换货，以保证合同设备安装的成功完成。换货的相关费用由</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承担</w:t>
      </w:r>
      <w:r>
        <w:rPr>
          <w:rFonts w:hint="eastAsia" w:ascii="宋体" w:hAnsi="宋体" w:cs="宋体"/>
          <w:i w:val="0"/>
          <w:iCs w:val="0"/>
          <w:color w:val="auto"/>
          <w:kern w:val="0"/>
          <w:sz w:val="21"/>
          <w:szCs w:val="21"/>
          <w:highlight w:val="none"/>
          <w:u w:val="none"/>
          <w:lang w:val="en-US" w:eastAsia="zh-CN" w:bidi="ar"/>
        </w:rPr>
        <w:t>。</w:t>
      </w:r>
    </w:p>
    <w:p w14:paraId="1009C1B5">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.5</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保证合同项下提供的设备不侵犯任何第三方的专利、商标或版权。否则，供应商须承担对第三方的专利或版权的侵权责任并承担因此而发生的所有费用。</w:t>
      </w:r>
    </w:p>
    <w:p w14:paraId="58390F2A">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4.质量保证期：整机质保期不少于2年（滤材除外）。</w:t>
      </w:r>
    </w:p>
    <w:p w14:paraId="1447BB7B">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5.保密要求：双方合作中涉及的所有业务、技术资料，均有责任对第三方保密。如其中一方擅自将涉及另一方的商业和技术秘密的资料透漏给第三方，则另一方将保留追究对方法律责任的权利。</w:t>
      </w:r>
    </w:p>
    <w:p w14:paraId="4F776EED">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安装调试及技术服务(含培训)要求：供应商负责设备的安装调试，供应商负责对科室技术人员、操作人员进行免费业务培训，培训内容包括设备操作、设备维护、专业知识等，培训保证技术人员、操作人员能够掌握并独立操作为止。</w:t>
      </w:r>
    </w:p>
    <w:p w14:paraId="55021F8B">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7.售后服务的要求：</w:t>
      </w:r>
      <w:r>
        <w:rPr>
          <w:rFonts w:hint="eastAsia" w:ascii="宋体" w:hAnsi="宋体" w:eastAsia="宋体" w:cs="宋体"/>
          <w:i w:val="0"/>
          <w:iCs w:val="0"/>
          <w:color w:val="auto"/>
          <w:kern w:val="0"/>
          <w:sz w:val="21"/>
          <w:szCs w:val="21"/>
          <w:highlight w:val="none"/>
          <w:u w:val="none"/>
          <w:lang w:val="en-US" w:eastAsia="zh-CN" w:bidi="ar"/>
        </w:rPr>
        <w:t>质量保证期</w:t>
      </w:r>
      <w:r>
        <w:rPr>
          <w:rFonts w:hint="eastAsia" w:ascii="宋体" w:hAnsi="宋体" w:cs="宋体"/>
          <w:i w:val="0"/>
          <w:iCs w:val="0"/>
          <w:color w:val="auto"/>
          <w:kern w:val="0"/>
          <w:sz w:val="21"/>
          <w:szCs w:val="21"/>
          <w:highlight w:val="none"/>
          <w:u w:val="none"/>
          <w:lang w:val="en-US" w:eastAsia="zh-CN" w:bidi="ar"/>
        </w:rPr>
        <w:t>期满,供应商终身提供维修服务，不收取上门费,只收取配件等相关成本费用。仪器出现问题，供应商在接到采购人电话通知后，立即提供电话指导,如无法远程解决，供应商工程师在接到院方电话后24小时内提供解决方案,并负责设备的维修。</w:t>
      </w:r>
    </w:p>
    <w:p w14:paraId="25B8FAFB">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合格供应商资格要求</w:t>
      </w:r>
    </w:p>
    <w:p w14:paraId="22D22670">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（一）供应商应具备《中华人民共和国政府采购法》第二十二条规定的条件（提供资格声明函）。</w:t>
      </w:r>
    </w:p>
    <w:p w14:paraId="30F73012">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（二）供应商须具备相关经营范围且有效的营业执照（提供证明材料复印件加盖供应商公章）。</w:t>
      </w:r>
    </w:p>
    <w:p w14:paraId="6ACAF3E4">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三）供应商未被列入“信用中国”网站(www.creditchina.gov.cn)“记录失信被执行人或重大税收违法案件当事人名单或政府采购严重违法失信行为”记录名单。同时，不处于中国政府采购网(www.ccgp.gov.cn)“政府采购严重违法失信行为信息记录”中的禁止参加政府采购活动期间（提供资格声明函）。</w:t>
      </w:r>
    </w:p>
    <w:p w14:paraId="64EEC3AA">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（四）本项目不接受联合体投标，且不允许转包或分包（提供资格声明函）。</w:t>
      </w:r>
    </w:p>
    <w:p w14:paraId="54919CE2">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（五）单位负责人为同一人或者存在直接控股、管理关系的不同供应商，不得参加同一合同项下的政府采购活动（提供资格声明函）。</w:t>
      </w:r>
    </w:p>
    <w:p w14:paraId="357BE8FB">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b/>
          <w:color w:val="auto"/>
          <w:sz w:val="21"/>
          <w:szCs w:val="21"/>
          <w:highlight w:val="none"/>
          <w:lang w:val="en-US" w:eastAsia="zh-CN"/>
        </w:rPr>
      </w:pPr>
      <w:r>
        <w:rPr>
          <w:rFonts w:hint="eastAsia" w:ascii="宋体" w:hAnsi="宋体" w:cs="宋体"/>
          <w:i w:val="0"/>
          <w:iCs w:val="0"/>
          <w:color w:val="auto"/>
          <w:kern w:val="0"/>
          <w:sz w:val="21"/>
          <w:szCs w:val="21"/>
          <w:highlight w:val="none"/>
          <w:u w:val="none"/>
          <w:lang w:val="en-US" w:eastAsia="zh-CN" w:bidi="ar"/>
        </w:rPr>
        <w:t>（六）为本项目提供整体设计、规范编制或者项目管理、监理、检测等服务的供应商，不得再参与本项目投标（提供资格声明函）。</w:t>
      </w:r>
    </w:p>
    <w:p w14:paraId="7F74161B">
      <w:pPr>
        <w:keepNext w:val="0"/>
        <w:keepLines w:val="0"/>
        <w:pageBreakBefore w:val="0"/>
        <w:widowControl w:val="0"/>
        <w:kinsoku/>
        <w:wordWrap/>
        <w:overflowPunct/>
        <w:topLinePunct w:val="0"/>
        <w:bidi w:val="0"/>
        <w:adjustRightInd w:val="0"/>
        <w:snapToGrid w:val="0"/>
        <w:spacing w:line="360" w:lineRule="exact"/>
        <w:ind w:left="0" w:leftChars="0" w:firstLine="422" w:firstLineChars="200"/>
        <w:jc w:val="both"/>
        <w:rPr>
          <w:rFonts w:hint="eastAsia" w:ascii="宋体" w:hAnsi="宋体" w:eastAsia="宋体" w:cs="宋体"/>
          <w:color w:val="auto"/>
          <w:sz w:val="21"/>
          <w:szCs w:val="21"/>
          <w:highlight w:val="none"/>
        </w:rPr>
      </w:pPr>
      <w:r>
        <w:rPr>
          <w:rFonts w:hint="eastAsia" w:ascii="宋体" w:hAnsi="宋体" w:cs="宋体"/>
          <w:b/>
          <w:color w:val="auto"/>
          <w:sz w:val="21"/>
          <w:szCs w:val="21"/>
          <w:highlight w:val="none"/>
          <w:lang w:val="en-US" w:eastAsia="zh-CN"/>
        </w:rPr>
        <w:t>六</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响应文件递交</w:t>
      </w:r>
      <w:r>
        <w:rPr>
          <w:rFonts w:hint="eastAsia" w:ascii="宋体" w:hAnsi="宋体" w:eastAsia="宋体" w:cs="宋体"/>
          <w:b/>
          <w:color w:val="auto"/>
          <w:sz w:val="21"/>
          <w:szCs w:val="21"/>
          <w:highlight w:val="none"/>
        </w:rPr>
        <w:t>截止时间及地点</w:t>
      </w:r>
    </w:p>
    <w:p w14:paraId="26944A5A">
      <w:pPr>
        <w:keepNext w:val="0"/>
        <w:keepLines w:val="0"/>
        <w:pageBreakBefore w:val="0"/>
        <w:numPr>
          <w:ilvl w:val="0"/>
          <w:numId w:val="1"/>
        </w:numPr>
        <w:kinsoku/>
        <w:wordWrap/>
        <w:overflowPunct/>
        <w:topLinePunct w:val="0"/>
        <w:bidi w:val="0"/>
        <w:spacing w:line="36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响应文件递交截止时间：</w:t>
      </w:r>
      <w:r>
        <w:rPr>
          <w:rFonts w:hint="eastAsia" w:ascii="宋体" w:hAnsi="宋体" w:eastAsia="宋体" w:cs="宋体"/>
          <w:b/>
          <w:bCs/>
          <w:color w:val="auto"/>
          <w:sz w:val="21"/>
          <w:szCs w:val="21"/>
          <w:highlight w:val="none"/>
        </w:rPr>
        <w:t>202</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年</w:t>
      </w:r>
      <w:r>
        <w:rPr>
          <w:rFonts w:hint="eastAsia" w:ascii="宋体" w:hAnsi="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月</w:t>
      </w:r>
      <w:r>
        <w:rPr>
          <w:rFonts w:hint="eastAsia" w:ascii="宋体" w:hAnsi="宋体" w:cs="宋体"/>
          <w:b/>
          <w:bCs/>
          <w:color w:val="auto"/>
          <w:sz w:val="21"/>
          <w:szCs w:val="21"/>
          <w:highlight w:val="none"/>
          <w:lang w:val="en-US" w:eastAsia="zh-CN"/>
        </w:rPr>
        <w:t>21</w:t>
      </w:r>
      <w:r>
        <w:rPr>
          <w:rFonts w:hint="eastAsia" w:ascii="宋体" w:hAnsi="宋体" w:eastAsia="宋体" w:cs="宋体"/>
          <w:b/>
          <w:bCs/>
          <w:color w:val="auto"/>
          <w:sz w:val="21"/>
          <w:szCs w:val="21"/>
          <w:highlight w:val="none"/>
        </w:rPr>
        <w:t>日</w:t>
      </w:r>
      <w:r>
        <w:rPr>
          <w:rFonts w:hint="eastAsia" w:ascii="宋体" w:hAnsi="宋体" w:cs="宋体"/>
          <w:b/>
          <w:bCs/>
          <w:color w:val="auto"/>
          <w:sz w:val="21"/>
          <w:szCs w:val="21"/>
          <w:highlight w:val="none"/>
          <w:lang w:val="en-US" w:eastAsia="zh-CN"/>
        </w:rPr>
        <w:t>17</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0</w:t>
      </w:r>
      <w:r>
        <w:rPr>
          <w:rFonts w:hint="eastAsia" w:ascii="宋体" w:hAnsi="宋体" w:eastAsia="宋体" w:cs="宋体"/>
          <w:color w:val="auto"/>
          <w:sz w:val="21"/>
          <w:szCs w:val="21"/>
          <w:highlight w:val="none"/>
        </w:rPr>
        <w:t>。</w:t>
      </w:r>
    </w:p>
    <w:p w14:paraId="1053B193">
      <w:pPr>
        <w:keepNext w:val="0"/>
        <w:keepLines w:val="0"/>
        <w:pageBreakBefore w:val="0"/>
        <w:numPr>
          <w:ilvl w:val="0"/>
          <w:numId w:val="1"/>
        </w:numPr>
        <w:kinsoku/>
        <w:wordWrap/>
        <w:overflowPunct/>
        <w:topLinePunct w:val="0"/>
        <w:bidi w:val="0"/>
        <w:spacing w:line="36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资料递交或邮寄地点：</w:t>
      </w:r>
      <w:r>
        <w:rPr>
          <w:rFonts w:hint="eastAsia" w:ascii="宋体" w:hAnsi="宋体" w:eastAsia="宋体" w:cs="宋体"/>
          <w:color w:val="auto"/>
          <w:sz w:val="21"/>
          <w:szCs w:val="21"/>
          <w:highlight w:val="none"/>
          <w:lang w:val="en-US" w:eastAsia="zh-CN"/>
        </w:rPr>
        <w:t>中山市板芙镇芙中路1号板芙医院综合楼</w:t>
      </w:r>
      <w:r>
        <w:rPr>
          <w:rFonts w:hint="eastAsia" w:ascii="宋体" w:hAnsi="宋体" w:cs="宋体"/>
          <w:color w:val="auto"/>
          <w:sz w:val="21"/>
          <w:szCs w:val="21"/>
          <w:highlight w:val="none"/>
          <w:lang w:val="en-US" w:eastAsia="zh-CN"/>
        </w:rPr>
        <w:t>（放射科旁电梯上）八</w:t>
      </w:r>
      <w:r>
        <w:rPr>
          <w:rFonts w:hint="eastAsia" w:ascii="宋体" w:hAnsi="宋体" w:eastAsia="宋体" w:cs="宋体"/>
          <w:color w:val="auto"/>
          <w:sz w:val="21"/>
          <w:szCs w:val="21"/>
          <w:highlight w:val="none"/>
          <w:lang w:val="en-US" w:eastAsia="zh-CN"/>
        </w:rPr>
        <w:t>楼</w:t>
      </w:r>
      <w:r>
        <w:rPr>
          <w:rFonts w:hint="eastAsia" w:ascii="宋体" w:hAnsi="宋体" w:cs="宋体"/>
          <w:color w:val="auto"/>
          <w:sz w:val="21"/>
          <w:szCs w:val="21"/>
          <w:highlight w:val="none"/>
          <w:lang w:val="en-US" w:eastAsia="zh-CN"/>
        </w:rPr>
        <w:t>行政办公区门口</w:t>
      </w:r>
      <w:r>
        <w:rPr>
          <w:rFonts w:hint="eastAsia" w:ascii="宋体" w:hAnsi="宋体" w:cs="宋体"/>
          <w:b w:val="0"/>
          <w:bCs w:val="0"/>
          <w:color w:val="auto"/>
          <w:sz w:val="21"/>
          <w:szCs w:val="21"/>
          <w:highlight w:val="none"/>
          <w:lang w:val="en-US" w:eastAsia="zh-CN"/>
        </w:rPr>
        <w:t>处</w:t>
      </w:r>
      <w:r>
        <w:rPr>
          <w:rFonts w:hint="eastAsia" w:ascii="宋体" w:hAnsi="宋体" w:cs="宋体"/>
          <w:b/>
          <w:bCs/>
          <w:color w:val="auto"/>
          <w:sz w:val="21"/>
          <w:szCs w:val="21"/>
          <w:highlight w:val="none"/>
          <w:lang w:val="en-US" w:eastAsia="zh-CN"/>
        </w:rPr>
        <w:t>“招采资料专用投递箱”</w:t>
      </w:r>
      <w:r>
        <w:rPr>
          <w:rFonts w:hint="eastAsia" w:ascii="宋体" w:hAnsi="宋体" w:cs="宋体"/>
          <w:color w:val="auto"/>
          <w:sz w:val="21"/>
          <w:szCs w:val="21"/>
          <w:highlight w:val="none"/>
          <w:lang w:val="en-US" w:eastAsia="zh-CN"/>
        </w:rPr>
        <w:t>，联系人：招采办杨小姐，联系电话：0760-28218662</w:t>
      </w:r>
      <w:r>
        <w:rPr>
          <w:rFonts w:hint="eastAsia" w:ascii="宋体" w:hAnsi="宋体" w:eastAsia="宋体" w:cs="宋体"/>
          <w:color w:val="auto"/>
          <w:sz w:val="21"/>
          <w:szCs w:val="21"/>
          <w:highlight w:val="none"/>
        </w:rPr>
        <w:t>。</w:t>
      </w:r>
      <w:r>
        <w:rPr>
          <w:rFonts w:hint="eastAsia" w:ascii="宋体" w:hAnsi="宋体" w:eastAsia="宋体" w:cs="宋体"/>
          <w:i w:val="0"/>
          <w:iCs w:val="0"/>
          <w:color w:val="auto"/>
          <w:kern w:val="0"/>
          <w:sz w:val="21"/>
          <w:szCs w:val="21"/>
          <w:highlight w:val="none"/>
          <w:u w:val="none"/>
          <w:lang w:val="en-US" w:eastAsia="zh-CN" w:bidi="ar"/>
        </w:rPr>
        <w:t xml:space="preserve">   </w:t>
      </w:r>
    </w:p>
    <w:p w14:paraId="04579F37">
      <w:pPr>
        <w:keepNext w:val="0"/>
        <w:keepLines w:val="0"/>
        <w:pageBreakBefore w:val="0"/>
        <w:numPr>
          <w:ilvl w:val="0"/>
          <w:numId w:val="0"/>
        </w:numPr>
        <w:kinsoku/>
        <w:wordWrap/>
        <w:overflowPunct/>
        <w:topLinePunct w:val="0"/>
        <w:bidi w:val="0"/>
        <w:spacing w:line="360" w:lineRule="exact"/>
        <w:ind w:firstLine="422" w:firstLineChars="200"/>
        <w:jc w:val="both"/>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七、公告期限</w:t>
      </w:r>
    </w:p>
    <w:p w14:paraId="17496919">
      <w:pPr>
        <w:keepNext w:val="0"/>
        <w:keepLines w:val="0"/>
        <w:pageBreakBefore w:val="0"/>
        <w:numPr>
          <w:ilvl w:val="0"/>
          <w:numId w:val="0"/>
        </w:numPr>
        <w:kinsoku/>
        <w:wordWrap/>
        <w:overflowPunct/>
        <w:topLinePunct w:val="0"/>
        <w:bidi w:val="0"/>
        <w:spacing w:line="360" w:lineRule="exact"/>
        <w:jc w:val="both"/>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    自本公告发布之日起3个工作日。</w:t>
      </w:r>
    </w:p>
    <w:p w14:paraId="68258D76">
      <w:pPr>
        <w:keepNext w:val="0"/>
        <w:keepLines w:val="0"/>
        <w:pageBreakBefore w:val="0"/>
        <w:widowControl w:val="0"/>
        <w:numPr>
          <w:ilvl w:val="0"/>
          <w:numId w:val="2"/>
        </w:numPr>
        <w:tabs>
          <w:tab w:val="left" w:pos="420"/>
        </w:tabs>
        <w:kinsoku/>
        <w:overflowPunct/>
        <w:topLinePunct w:val="0"/>
        <w:bidi w:val="0"/>
        <w:spacing w:line="360" w:lineRule="exact"/>
        <w:ind w:left="0" w:leftChars="0" w:firstLine="422" w:firstLineChars="2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响应文件</w:t>
      </w:r>
      <w:r>
        <w:rPr>
          <w:rFonts w:hint="eastAsia" w:ascii="宋体" w:hAnsi="宋体" w:cs="宋体"/>
          <w:b/>
          <w:bCs/>
          <w:color w:val="auto"/>
          <w:sz w:val="21"/>
          <w:szCs w:val="21"/>
          <w:highlight w:val="none"/>
          <w:lang w:val="en-US" w:eastAsia="zh-CN"/>
        </w:rPr>
        <w:t>内容要求</w:t>
      </w:r>
    </w:p>
    <w:p w14:paraId="3643F2AB">
      <w:pPr>
        <w:keepNext w:val="0"/>
        <w:keepLines w:val="0"/>
        <w:pageBreakBefore w:val="0"/>
        <w:widowControl w:val="0"/>
        <w:tabs>
          <w:tab w:val="left" w:pos="420"/>
        </w:tabs>
        <w:kinsoku/>
        <w:overflowPunct/>
        <w:topLinePunct w:val="0"/>
        <w:bidi w:val="0"/>
        <w:spacing w:line="360" w:lineRule="exact"/>
        <w:ind w:left="0" w:leftChars="0" w:firstLine="420" w:firstLineChars="200"/>
        <w:jc w:val="both"/>
        <w:rPr>
          <w:rFonts w:hint="eastAsia" w:ascii="宋体" w:hAnsi="宋体" w:eastAsia="宋体" w:cs="宋体"/>
          <w:b/>
          <w:bCs/>
          <w:color w:val="auto"/>
          <w:sz w:val="21"/>
          <w:szCs w:val="21"/>
          <w:highlight w:val="none"/>
          <w:lang w:eastAsia="zh-CN"/>
        </w:rPr>
      </w:pP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一</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eastAsia="zh-CN"/>
        </w:rPr>
        <w:t>响应文件内容</w:t>
      </w:r>
      <w:r>
        <w:rPr>
          <w:rFonts w:hint="eastAsia" w:ascii="宋体" w:hAnsi="宋体" w:cs="宋体"/>
          <w:b w:val="0"/>
          <w:bCs w:val="0"/>
          <w:color w:val="auto"/>
          <w:sz w:val="21"/>
          <w:szCs w:val="21"/>
          <w:highlight w:val="none"/>
          <w:lang w:val="en-US" w:eastAsia="zh-CN"/>
        </w:rPr>
        <w:t>格式</w:t>
      </w:r>
      <w:r>
        <w:rPr>
          <w:rFonts w:hint="eastAsia" w:ascii="宋体" w:hAnsi="宋体" w:eastAsia="宋体" w:cs="宋体"/>
          <w:b w:val="0"/>
          <w:bCs w:val="0"/>
          <w:color w:val="auto"/>
          <w:sz w:val="21"/>
          <w:szCs w:val="21"/>
          <w:highlight w:val="none"/>
          <w:lang w:eastAsia="zh-CN"/>
        </w:rPr>
        <w:t>要求</w:t>
      </w:r>
    </w:p>
    <w:p w14:paraId="70F2E601">
      <w:pPr>
        <w:keepNext w:val="0"/>
        <w:keepLines w:val="0"/>
        <w:pageBreakBefore w:val="0"/>
        <w:numPr>
          <w:ilvl w:val="0"/>
          <w:numId w:val="0"/>
        </w:numPr>
        <w:kinsoku/>
        <w:wordWrap/>
        <w:overflowPunct/>
        <w:topLinePunct w:val="0"/>
        <w:bidi w:val="0"/>
        <w:spacing w:line="360" w:lineRule="exact"/>
        <w:ind w:firstLine="422" w:firstLineChars="200"/>
        <w:jc w:val="both"/>
        <w:rPr>
          <w:rFonts w:hint="default"/>
          <w:lang w:val="en-US"/>
        </w:rPr>
      </w:pPr>
      <w:r>
        <w:rPr>
          <w:rFonts w:hint="eastAsia" w:ascii="宋体" w:hAnsi="宋体" w:cs="宋体"/>
          <w:b/>
          <w:bCs/>
          <w:color w:val="auto"/>
          <w:sz w:val="21"/>
          <w:szCs w:val="21"/>
          <w:highlight w:val="none"/>
          <w:lang w:val="en-US" w:eastAsia="zh-CN"/>
        </w:rPr>
        <w:t>须按“附件2参选文件格式”要求提供。</w:t>
      </w:r>
    </w:p>
    <w:p w14:paraId="5F255039">
      <w:pPr>
        <w:keepNext w:val="0"/>
        <w:keepLines w:val="0"/>
        <w:pageBreakBefore w:val="0"/>
        <w:numPr>
          <w:ilvl w:val="0"/>
          <w:numId w:val="0"/>
        </w:numPr>
        <w:kinsoku/>
        <w:wordWrap/>
        <w:overflowPunct/>
        <w:topLinePunct w:val="0"/>
        <w:bidi w:val="0"/>
        <w:spacing w:line="360" w:lineRule="exact"/>
        <w:ind w:leftChars="200"/>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二）</w:t>
      </w:r>
      <w:r>
        <w:rPr>
          <w:rFonts w:hint="eastAsia" w:ascii="宋体" w:hAnsi="宋体" w:eastAsia="宋体" w:cs="宋体"/>
          <w:color w:val="auto"/>
          <w:sz w:val="21"/>
          <w:szCs w:val="21"/>
          <w:highlight w:val="none"/>
        </w:rPr>
        <w:t>供应商提交的全部材料都必须</w:t>
      </w:r>
      <w:r>
        <w:rPr>
          <w:rFonts w:hint="eastAsia" w:ascii="宋体" w:hAnsi="宋体" w:eastAsia="宋体" w:cs="宋体"/>
          <w:b/>
          <w:bCs/>
          <w:color w:val="auto"/>
          <w:sz w:val="21"/>
          <w:szCs w:val="21"/>
          <w:highlight w:val="none"/>
        </w:rPr>
        <w:t>密封</w:t>
      </w:r>
      <w:r>
        <w:rPr>
          <w:rFonts w:hint="eastAsia" w:ascii="宋体" w:hAnsi="宋体" w:eastAsia="宋体" w:cs="宋体"/>
          <w:color w:val="auto"/>
          <w:sz w:val="21"/>
          <w:szCs w:val="21"/>
          <w:highlight w:val="none"/>
        </w:rPr>
        <w:t>，具体包括：</w:t>
      </w:r>
    </w:p>
    <w:p w14:paraId="4F169C6A">
      <w:pPr>
        <w:keepNext w:val="0"/>
        <w:keepLines w:val="0"/>
        <w:pageBreakBefore w:val="0"/>
        <w:widowControl w:val="0"/>
        <w:kinsoku/>
        <w:overflowPunct/>
        <w:topLinePunct w:val="0"/>
        <w:bidi w:val="0"/>
        <w:spacing w:line="360" w:lineRule="exact"/>
        <w:ind w:left="0" w:leftChars="0"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1.纸质</w:t>
      </w:r>
      <w:r>
        <w:rPr>
          <w:rFonts w:hint="eastAsia" w:ascii="宋体" w:hAnsi="宋体" w:eastAsia="宋体" w:cs="宋体"/>
          <w:color w:val="auto"/>
          <w:sz w:val="21"/>
          <w:szCs w:val="21"/>
          <w:highlight w:val="none"/>
        </w:rPr>
        <w:t>响应文件一式</w:t>
      </w:r>
      <w:r>
        <w:rPr>
          <w:rFonts w:hint="eastAsia" w:ascii="宋体" w:hAnsi="宋体" w:cs="宋体"/>
          <w:color w:val="auto"/>
          <w:sz w:val="21"/>
          <w:szCs w:val="21"/>
          <w:highlight w:val="none"/>
          <w:lang w:val="en-US" w:eastAsia="zh-CN"/>
        </w:rPr>
        <w:t>三</w:t>
      </w:r>
      <w:r>
        <w:rPr>
          <w:rFonts w:hint="eastAsia" w:ascii="宋体" w:hAnsi="宋体" w:eastAsia="宋体" w:cs="宋体"/>
          <w:color w:val="auto"/>
          <w:sz w:val="21"/>
          <w:szCs w:val="21"/>
          <w:highlight w:val="none"/>
        </w:rPr>
        <w:t>份</w:t>
      </w:r>
      <w:r>
        <w:rPr>
          <w:rFonts w:hint="eastAsia" w:ascii="宋体" w:hAnsi="宋体" w:eastAsia="宋体" w:cs="宋体"/>
          <w:b/>
          <w:bCs/>
          <w:color w:val="auto"/>
          <w:sz w:val="21"/>
          <w:szCs w:val="21"/>
          <w:highlight w:val="none"/>
        </w:rPr>
        <w:t>（正本1份</w:t>
      </w:r>
      <w:r>
        <w:rPr>
          <w:rFonts w:hint="eastAsia" w:ascii="宋体" w:hAnsi="宋体" w:cs="宋体"/>
          <w:b/>
          <w:bCs/>
          <w:color w:val="auto"/>
          <w:sz w:val="21"/>
          <w:szCs w:val="21"/>
          <w:highlight w:val="none"/>
          <w:lang w:val="en-US" w:eastAsia="zh-CN"/>
        </w:rPr>
        <w:t>和</w:t>
      </w:r>
      <w:r>
        <w:rPr>
          <w:rFonts w:hint="eastAsia" w:ascii="宋体" w:hAnsi="宋体" w:eastAsia="宋体" w:cs="宋体"/>
          <w:b/>
          <w:bCs/>
          <w:color w:val="auto"/>
          <w:sz w:val="21"/>
          <w:szCs w:val="21"/>
          <w:highlight w:val="none"/>
        </w:rPr>
        <w:t>副本</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份</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正本及所有副本的封面均须</w:t>
      </w:r>
      <w:r>
        <w:rPr>
          <w:rFonts w:hint="eastAsia" w:ascii="宋体" w:hAnsi="宋体" w:eastAsia="宋体" w:cs="宋体"/>
          <w:b/>
          <w:bCs/>
          <w:color w:val="auto"/>
          <w:sz w:val="21"/>
          <w:szCs w:val="21"/>
          <w:highlight w:val="none"/>
        </w:rPr>
        <w:t>由供应商加盖供应商公章</w:t>
      </w:r>
      <w:r>
        <w:rPr>
          <w:rFonts w:hint="eastAsia" w:ascii="宋体" w:hAnsi="宋体" w:cs="宋体"/>
          <w:b/>
          <w:bCs/>
          <w:color w:val="auto"/>
          <w:sz w:val="21"/>
          <w:szCs w:val="21"/>
          <w:highlight w:val="none"/>
          <w:lang w:val="en-US" w:eastAsia="zh-CN"/>
        </w:rPr>
        <w:t>和加盖骑缝章</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，在每一份响应文件上要明确注明“正本”或“副本”字样，一旦正本和副本内容有差异，以正本为准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每份响应文件应使用A4规格纸张，正副本均须用不褪色墨水书写或打印</w:t>
      </w:r>
      <w:r>
        <w:rPr>
          <w:rFonts w:hint="eastAsia" w:ascii="宋体" w:hAnsi="宋体" w:cs="宋体"/>
          <w:color w:val="auto"/>
          <w:sz w:val="21"/>
          <w:szCs w:val="21"/>
          <w:highlight w:val="none"/>
          <w:lang w:eastAsia="zh-CN"/>
        </w:rPr>
        <w:t>，</w:t>
      </w:r>
      <w:r>
        <w:rPr>
          <w:rFonts w:hint="eastAsia" w:ascii="宋体" w:hAnsi="宋体" w:eastAsia="宋体" w:cs="宋体"/>
          <w:b/>
          <w:bCs/>
          <w:color w:val="auto"/>
          <w:sz w:val="21"/>
          <w:szCs w:val="21"/>
          <w:highlight w:val="none"/>
        </w:rPr>
        <w:t>分别装订成册</w:t>
      </w:r>
      <w:r>
        <w:rPr>
          <w:rFonts w:hint="eastAsia" w:ascii="宋体" w:hAnsi="宋体" w:eastAsia="宋体" w:cs="宋体"/>
          <w:color w:val="auto"/>
          <w:sz w:val="21"/>
          <w:szCs w:val="21"/>
          <w:highlight w:val="none"/>
          <w:lang w:eastAsia="zh-CN"/>
        </w:rPr>
        <w:t>。</w:t>
      </w:r>
    </w:p>
    <w:p w14:paraId="7BFA8E15">
      <w:pPr>
        <w:keepNext w:val="0"/>
        <w:keepLines w:val="0"/>
        <w:pageBreakBefore w:val="0"/>
        <w:numPr>
          <w:ilvl w:val="0"/>
          <w:numId w:val="0"/>
        </w:numPr>
        <w:kinsoku/>
        <w:wordWrap/>
        <w:overflowPunct/>
        <w:topLinePunct w:val="0"/>
        <w:bidi w:val="0"/>
        <w:spacing w:line="360" w:lineRule="exact"/>
        <w:ind w:firstLine="420" w:firstLineChars="200"/>
        <w:jc w:val="both"/>
        <w:rPr>
          <w:rFonts w:hint="default" w:eastAsia="宋体"/>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b w:val="0"/>
          <w:bCs w:val="0"/>
          <w:color w:val="auto"/>
          <w:sz w:val="21"/>
          <w:szCs w:val="21"/>
          <w:highlight w:val="none"/>
        </w:rPr>
        <w:t>正本</w:t>
      </w:r>
      <w:r>
        <w:rPr>
          <w:rFonts w:hint="eastAsia" w:ascii="宋体" w:hAnsi="宋体" w:cs="宋体"/>
          <w:b w:val="0"/>
          <w:bCs w:val="0"/>
          <w:color w:val="auto"/>
          <w:sz w:val="21"/>
          <w:szCs w:val="21"/>
          <w:highlight w:val="none"/>
          <w:lang w:val="en-US" w:eastAsia="zh-CN"/>
        </w:rPr>
        <w:t>和</w:t>
      </w:r>
      <w:r>
        <w:rPr>
          <w:rFonts w:hint="eastAsia" w:ascii="宋体" w:hAnsi="宋体" w:eastAsia="宋体" w:cs="宋体"/>
          <w:b w:val="0"/>
          <w:bCs w:val="0"/>
          <w:color w:val="auto"/>
          <w:sz w:val="21"/>
          <w:szCs w:val="21"/>
          <w:highlight w:val="none"/>
        </w:rPr>
        <w:t>副本一起</w:t>
      </w:r>
      <w:r>
        <w:rPr>
          <w:rFonts w:hint="eastAsia" w:ascii="宋体" w:hAnsi="宋体" w:cs="宋体"/>
          <w:b/>
          <w:bCs/>
          <w:color w:val="auto"/>
          <w:sz w:val="21"/>
          <w:szCs w:val="21"/>
          <w:highlight w:val="none"/>
          <w:lang w:val="en-US" w:eastAsia="zh-CN"/>
        </w:rPr>
        <w:t>密封</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封装的外包装须注明</w:t>
      </w:r>
      <w:r>
        <w:rPr>
          <w:rFonts w:hint="eastAsia" w:ascii="宋体" w:hAnsi="宋体" w:cs="宋体"/>
          <w:b/>
          <w:bCs/>
          <w:color w:val="auto"/>
          <w:sz w:val="21"/>
          <w:szCs w:val="21"/>
          <w:highlight w:val="none"/>
          <w:lang w:val="en-US" w:eastAsia="zh-CN"/>
        </w:rPr>
        <w:t>参选的采购项目名称、参选供应商并加盖供应商公章</w:t>
      </w:r>
      <w:r>
        <w:rPr>
          <w:rFonts w:hint="eastAsia" w:ascii="宋体" w:hAnsi="宋体" w:cs="宋体"/>
          <w:b w:val="0"/>
          <w:bCs w:val="0"/>
          <w:color w:val="auto"/>
          <w:sz w:val="21"/>
          <w:szCs w:val="21"/>
          <w:highlight w:val="none"/>
          <w:lang w:val="en-US" w:eastAsia="zh-CN"/>
        </w:rPr>
        <w:t>。</w:t>
      </w:r>
    </w:p>
    <w:p w14:paraId="033CC5E5">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b w:val="0"/>
          <w:bCs w:val="0"/>
          <w:color w:val="auto"/>
          <w:sz w:val="21"/>
          <w:szCs w:val="21"/>
          <w:highlight w:val="none"/>
          <w:u w:val="none"/>
        </w:rPr>
      </w:pPr>
      <w:r>
        <w:rPr>
          <w:rFonts w:hint="eastAsia" w:ascii="宋体" w:hAnsi="宋体" w:cs="宋体"/>
          <w:color w:val="auto"/>
          <w:sz w:val="21"/>
          <w:szCs w:val="21"/>
          <w:highlight w:val="none"/>
          <w:lang w:val="en-US" w:eastAsia="zh-CN"/>
        </w:rPr>
        <w:t>3.</w:t>
      </w:r>
      <w:r>
        <w:rPr>
          <w:rFonts w:hint="eastAsia" w:ascii="宋体" w:hAnsi="宋体" w:eastAsia="宋体" w:cs="宋体"/>
          <w:b w:val="0"/>
          <w:bCs w:val="0"/>
          <w:color w:val="auto"/>
          <w:sz w:val="21"/>
          <w:szCs w:val="21"/>
          <w:highlight w:val="none"/>
          <w:u w:val="none"/>
        </w:rPr>
        <w:t>所有响应文件应在</w:t>
      </w:r>
      <w:r>
        <w:rPr>
          <w:rFonts w:hint="eastAsia" w:ascii="宋体" w:hAnsi="宋体" w:eastAsia="宋体" w:cs="宋体"/>
          <w:b w:val="0"/>
          <w:bCs w:val="0"/>
          <w:color w:val="auto"/>
          <w:sz w:val="21"/>
          <w:szCs w:val="21"/>
          <w:highlight w:val="none"/>
          <w:u w:val="none"/>
          <w:lang w:eastAsia="zh-CN"/>
        </w:rPr>
        <w:t>比选公告</w:t>
      </w:r>
      <w:r>
        <w:rPr>
          <w:rFonts w:hint="eastAsia" w:ascii="宋体" w:hAnsi="宋体" w:eastAsia="宋体" w:cs="宋体"/>
          <w:b w:val="0"/>
          <w:bCs w:val="0"/>
          <w:color w:val="auto"/>
          <w:sz w:val="21"/>
          <w:szCs w:val="21"/>
          <w:highlight w:val="none"/>
          <w:u w:val="none"/>
        </w:rPr>
        <w:t>中规定的截止时间前递交到</w:t>
      </w:r>
      <w:r>
        <w:rPr>
          <w:rFonts w:hint="eastAsia" w:ascii="宋体" w:hAnsi="宋体" w:cs="宋体"/>
          <w:b w:val="0"/>
          <w:bCs w:val="0"/>
          <w:color w:val="auto"/>
          <w:sz w:val="21"/>
          <w:szCs w:val="21"/>
          <w:highlight w:val="none"/>
          <w:u w:val="none"/>
          <w:lang w:val="en-US" w:eastAsia="zh-CN"/>
        </w:rPr>
        <w:t>所要求的地点</w:t>
      </w:r>
      <w:r>
        <w:rPr>
          <w:rFonts w:hint="eastAsia" w:ascii="宋体" w:hAnsi="宋体" w:eastAsia="宋体" w:cs="宋体"/>
          <w:b w:val="0"/>
          <w:bCs w:val="0"/>
          <w:color w:val="auto"/>
          <w:sz w:val="21"/>
          <w:szCs w:val="21"/>
          <w:highlight w:val="none"/>
          <w:u w:val="none"/>
        </w:rPr>
        <w:t>，任何迟于递交截止时间的响应文件将被拒绝，本次</w:t>
      </w:r>
      <w:r>
        <w:rPr>
          <w:rFonts w:hint="eastAsia" w:ascii="宋体" w:hAnsi="宋体" w:eastAsia="宋体" w:cs="宋体"/>
          <w:b w:val="0"/>
          <w:bCs w:val="0"/>
          <w:color w:val="auto"/>
          <w:sz w:val="21"/>
          <w:szCs w:val="21"/>
          <w:highlight w:val="none"/>
          <w:u w:val="none"/>
          <w:lang w:eastAsia="zh-CN"/>
        </w:rPr>
        <w:t>比选</w:t>
      </w:r>
      <w:r>
        <w:rPr>
          <w:rFonts w:hint="eastAsia" w:ascii="宋体" w:hAnsi="宋体" w:eastAsia="宋体" w:cs="宋体"/>
          <w:b w:val="0"/>
          <w:bCs w:val="0"/>
          <w:color w:val="auto"/>
          <w:sz w:val="21"/>
          <w:szCs w:val="21"/>
          <w:highlight w:val="none"/>
          <w:u w:val="none"/>
        </w:rPr>
        <w:t>不接受电报、电话、传真方式报价。</w:t>
      </w:r>
    </w:p>
    <w:p w14:paraId="56ACB5D5">
      <w:pPr>
        <w:keepNext w:val="0"/>
        <w:keepLines w:val="0"/>
        <w:pageBreakBefore w:val="0"/>
        <w:numPr>
          <w:ilvl w:val="0"/>
          <w:numId w:val="0"/>
        </w:numPr>
        <w:tabs>
          <w:tab w:val="left" w:pos="424"/>
        </w:tabs>
        <w:kinsoku/>
        <w:overflowPunct/>
        <w:topLinePunct w:val="0"/>
        <w:autoSpaceDE/>
        <w:autoSpaceDN/>
        <w:bidi w:val="0"/>
        <w:spacing w:line="360" w:lineRule="exact"/>
        <w:ind w:leftChars="0" w:firstLine="422" w:firstLineChars="200"/>
        <w:textAlignment w:val="auto"/>
        <w:rPr>
          <w:rFonts w:hint="eastAsia" w:ascii="宋体" w:hAnsi="宋体" w:eastAsia="宋体" w:cs="宋体"/>
          <w:b/>
          <w:bCs/>
          <w:sz w:val="21"/>
          <w:szCs w:val="21"/>
          <w:lang w:val="en-US" w:eastAsia="zh-CN"/>
        </w:rPr>
      </w:pPr>
      <w:r>
        <w:rPr>
          <w:rFonts w:hint="eastAsia" w:ascii="宋体" w:hAnsi="宋体" w:cs="宋体"/>
          <w:b/>
          <w:bCs/>
          <w:sz w:val="21"/>
          <w:szCs w:val="21"/>
          <w:lang w:val="en-US" w:eastAsia="zh-CN"/>
        </w:rPr>
        <w:t>九</w:t>
      </w:r>
      <w:r>
        <w:rPr>
          <w:rFonts w:hint="eastAsia" w:ascii="宋体" w:hAnsi="宋体" w:eastAsia="宋体" w:cs="宋体"/>
          <w:b/>
          <w:bCs/>
          <w:sz w:val="21"/>
          <w:szCs w:val="21"/>
          <w:lang w:val="en-US" w:eastAsia="zh-CN"/>
        </w:rPr>
        <w:t>、评选方法</w:t>
      </w:r>
    </w:p>
    <w:p w14:paraId="055927E0">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eastAsia="zh-CN"/>
        </w:rPr>
        <w:t>本次比选的评选方式为综合评分法。本项目确定一名中选人，</w:t>
      </w: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将各有效供应商按其综合得分由高到低顺序排序，排名第一的供应商为中选人。如出现供应商综合得分相同的，按报价得分由高到低排列，报价得分相同的按技术得分由高到低排列，技术得分相同的，按商务得分由高到低排列，所有分值均相同的，名次由</w:t>
      </w: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投票确定（少数服从多数）</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lang w:eastAsia="zh-CN"/>
        </w:rPr>
        <w:t>当提交响应文件的供应商＜</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家或通过</w:t>
      </w:r>
      <w:r>
        <w:rPr>
          <w:rFonts w:hint="eastAsia" w:ascii="宋体" w:hAnsi="宋体" w:cs="宋体"/>
          <w:bCs/>
          <w:color w:val="auto"/>
          <w:sz w:val="21"/>
          <w:szCs w:val="21"/>
          <w:highlight w:val="none"/>
          <w:lang w:val="en-US" w:eastAsia="zh-CN"/>
        </w:rPr>
        <w:t>资格性、</w:t>
      </w:r>
      <w:r>
        <w:rPr>
          <w:rFonts w:hint="eastAsia" w:ascii="宋体" w:hAnsi="宋体" w:eastAsia="宋体" w:cs="宋体"/>
          <w:bCs/>
          <w:color w:val="auto"/>
          <w:sz w:val="21"/>
          <w:szCs w:val="21"/>
          <w:highlight w:val="none"/>
          <w:lang w:val="en-US" w:eastAsia="zh-CN"/>
        </w:rPr>
        <w:t>符合性审查的供应商＜</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家的，本项目按废标处理。</w:t>
      </w:r>
    </w:p>
    <w:p w14:paraId="3C36D928">
      <w:pPr>
        <w:pStyle w:val="9"/>
        <w:keepNext w:val="0"/>
        <w:keepLines w:val="0"/>
        <w:pageBreakBefore w:val="0"/>
        <w:numPr>
          <w:ilvl w:val="0"/>
          <w:numId w:val="3"/>
        </w:numPr>
        <w:kinsoku/>
        <w:overflowPunct/>
        <w:topLinePunct w:val="0"/>
        <w:bidi w:val="0"/>
        <w:spacing w:line="360" w:lineRule="exact"/>
        <w:ind w:left="0" w:leftChars="0" w:firstLine="422"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第一阶段：</w:t>
      </w:r>
      <w:r>
        <w:rPr>
          <w:rFonts w:hint="eastAsia" w:ascii="宋体" w:hAnsi="宋体" w:cs="宋体"/>
          <w:b/>
          <w:bCs/>
          <w:color w:val="auto"/>
          <w:kern w:val="0"/>
          <w:sz w:val="21"/>
          <w:szCs w:val="21"/>
          <w:highlight w:val="none"/>
          <w:lang w:val="en-US" w:eastAsia="zh-CN" w:bidi="ar-SA"/>
        </w:rPr>
        <w:t>资格性评审</w:t>
      </w:r>
    </w:p>
    <w:p w14:paraId="4A6FDC03">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lang w:val="en-US" w:eastAsia="zh-CN"/>
        </w:rPr>
      </w:pP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根据比选公告对</w:t>
      </w:r>
      <w:r>
        <w:rPr>
          <w:rFonts w:hint="eastAsia" w:ascii="宋体" w:hAnsi="宋体" w:cs="宋体"/>
          <w:bCs/>
          <w:color w:val="auto"/>
          <w:sz w:val="21"/>
          <w:szCs w:val="21"/>
          <w:highlight w:val="none"/>
          <w:lang w:val="en-US" w:eastAsia="zh-CN"/>
        </w:rPr>
        <w:t>参选供应商</w:t>
      </w:r>
      <w:r>
        <w:rPr>
          <w:rFonts w:hint="eastAsia" w:ascii="宋体" w:hAnsi="宋体" w:eastAsia="宋体" w:cs="宋体"/>
          <w:bCs/>
          <w:color w:val="auto"/>
          <w:sz w:val="21"/>
          <w:szCs w:val="21"/>
          <w:highlight w:val="none"/>
          <w:lang w:eastAsia="zh-CN"/>
        </w:rPr>
        <w:t>进行</w:t>
      </w:r>
      <w:r>
        <w:rPr>
          <w:rFonts w:hint="eastAsia" w:ascii="宋体" w:hAnsi="宋体" w:cs="宋体"/>
          <w:bCs/>
          <w:color w:val="auto"/>
          <w:sz w:val="21"/>
          <w:szCs w:val="21"/>
          <w:highlight w:val="none"/>
          <w:lang w:val="en-US" w:eastAsia="zh-CN"/>
        </w:rPr>
        <w:t>资格性</w:t>
      </w:r>
      <w:r>
        <w:rPr>
          <w:rFonts w:hint="eastAsia" w:ascii="宋体" w:hAnsi="宋体" w:eastAsia="宋体" w:cs="宋体"/>
          <w:bCs/>
          <w:color w:val="auto"/>
          <w:sz w:val="21"/>
          <w:szCs w:val="21"/>
          <w:highlight w:val="none"/>
          <w:lang w:eastAsia="zh-CN"/>
        </w:rPr>
        <w:t>审查</w:t>
      </w:r>
      <w:r>
        <w:rPr>
          <w:rFonts w:hint="eastAsia" w:ascii="宋体" w:hAnsi="宋体" w:cs="宋体"/>
          <w:bCs/>
          <w:color w:val="auto"/>
          <w:sz w:val="21"/>
          <w:szCs w:val="21"/>
          <w:highlight w:val="none"/>
          <w:lang w:eastAsia="zh-CN"/>
        </w:rPr>
        <w:t>。</w:t>
      </w:r>
    </w:p>
    <w:p w14:paraId="02732155">
      <w:pPr>
        <w:pStyle w:val="9"/>
        <w:keepNext w:val="0"/>
        <w:keepLines w:val="0"/>
        <w:pageBreakBefore w:val="0"/>
        <w:numPr>
          <w:ilvl w:val="0"/>
          <w:numId w:val="3"/>
        </w:numPr>
        <w:kinsoku/>
        <w:overflowPunct/>
        <w:topLinePunct w:val="0"/>
        <w:bidi w:val="0"/>
        <w:spacing w:line="360" w:lineRule="exact"/>
        <w:ind w:left="0" w:leftChars="0" w:firstLine="422"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cs="宋体"/>
          <w:b/>
          <w:bCs/>
          <w:color w:val="auto"/>
          <w:kern w:val="0"/>
          <w:sz w:val="21"/>
          <w:szCs w:val="21"/>
          <w:highlight w:val="none"/>
          <w:lang w:val="en-US" w:eastAsia="zh-CN" w:bidi="ar-SA"/>
        </w:rPr>
        <w:t>第二阶段：</w:t>
      </w:r>
      <w:r>
        <w:rPr>
          <w:rFonts w:hint="eastAsia" w:ascii="宋体" w:hAnsi="宋体" w:eastAsia="宋体" w:cs="宋体"/>
          <w:b/>
          <w:bCs/>
          <w:color w:val="auto"/>
          <w:kern w:val="0"/>
          <w:sz w:val="21"/>
          <w:szCs w:val="21"/>
          <w:highlight w:val="none"/>
          <w:lang w:val="en-US" w:eastAsia="zh-CN" w:bidi="ar-SA"/>
        </w:rPr>
        <w:t>符合性评审</w:t>
      </w:r>
    </w:p>
    <w:p w14:paraId="452EC8D8">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根据比选公告对响应文件进行符合性审查</w:t>
      </w:r>
      <w:r>
        <w:rPr>
          <w:rFonts w:hint="eastAsia" w:ascii="宋体" w:hAnsi="宋体" w:eastAsia="宋体" w:cs="宋体"/>
          <w:color w:val="auto"/>
          <w:spacing w:val="0"/>
          <w:kern w:val="2"/>
          <w:sz w:val="21"/>
          <w:szCs w:val="21"/>
        </w:rPr>
        <w:t>：</w:t>
      </w:r>
    </w:p>
    <w:p w14:paraId="5252F097">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r>
        <w:rPr>
          <w:rFonts w:hint="eastAsia" w:ascii="宋体" w:hAnsi="宋体" w:cs="宋体"/>
          <w:bCs/>
          <w:color w:val="auto"/>
          <w:sz w:val="21"/>
          <w:szCs w:val="21"/>
          <w:highlight w:val="none"/>
          <w:lang w:val="en-US" w:eastAsia="zh-CN"/>
        </w:rPr>
        <w:t>参选文件及报价表有效期符合采购文件要求</w:t>
      </w:r>
      <w:r>
        <w:rPr>
          <w:rFonts w:hint="eastAsia" w:ascii="宋体" w:hAnsi="宋体" w:eastAsia="宋体" w:cs="宋体"/>
          <w:bCs/>
          <w:color w:val="auto"/>
          <w:sz w:val="21"/>
          <w:szCs w:val="21"/>
          <w:highlight w:val="none"/>
          <w:lang w:val="en-US" w:eastAsia="zh-CN"/>
        </w:rPr>
        <w:t>；</w:t>
      </w:r>
    </w:p>
    <w:p w14:paraId="29D89820">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w:t>
      </w:r>
      <w:r>
        <w:rPr>
          <w:rFonts w:hint="eastAsia" w:ascii="宋体" w:hAnsi="宋体"/>
          <w:color w:val="auto"/>
          <w:highlight w:val="none"/>
          <w:lang w:bidi="ar"/>
        </w:rPr>
        <w:t>已提交法定代表人证明书和授权委托书（供应商代表为法定代表人时则不需要授权委托书）</w:t>
      </w:r>
      <w:r>
        <w:rPr>
          <w:rFonts w:hint="eastAsia" w:ascii="宋体" w:hAnsi="宋体"/>
          <w:color w:val="auto"/>
          <w:highlight w:val="none"/>
          <w:lang w:eastAsia="zh-CN" w:bidi="ar"/>
        </w:rPr>
        <w:t>；</w:t>
      </w:r>
    </w:p>
    <w:p w14:paraId="63D53D0C">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3.参选文件主要资料齐全，签字盖章</w:t>
      </w:r>
      <w:r>
        <w:rPr>
          <w:rFonts w:hint="eastAsia" w:ascii="宋体" w:hAnsi="宋体" w:eastAsia="宋体" w:cs="宋体"/>
          <w:bCs/>
          <w:color w:val="auto"/>
          <w:sz w:val="21"/>
          <w:szCs w:val="21"/>
          <w:highlight w:val="none"/>
          <w:lang w:val="en-US" w:eastAsia="zh-CN"/>
        </w:rPr>
        <w:t>符合</w:t>
      </w:r>
      <w:r>
        <w:rPr>
          <w:rFonts w:hint="eastAsia" w:ascii="宋体" w:hAnsi="宋体" w:cs="宋体"/>
          <w:b/>
          <w:bCs w:val="0"/>
          <w:color w:val="auto"/>
          <w:sz w:val="21"/>
          <w:szCs w:val="21"/>
          <w:highlight w:val="none"/>
          <w:lang w:val="en-US" w:eastAsia="zh-CN"/>
        </w:rPr>
        <w:t>“八、响应文件内容要求”</w:t>
      </w:r>
      <w:r>
        <w:rPr>
          <w:rFonts w:hint="eastAsia" w:ascii="宋体" w:hAnsi="宋体" w:cs="宋体"/>
          <w:bCs/>
          <w:color w:val="auto"/>
          <w:sz w:val="21"/>
          <w:szCs w:val="21"/>
          <w:highlight w:val="none"/>
          <w:lang w:val="en-US" w:eastAsia="zh-CN"/>
        </w:rPr>
        <w:t>；</w:t>
      </w:r>
    </w:p>
    <w:p w14:paraId="5EC23FDC">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4.按本公告规定格式填写，无内容不全或关键字迹模糊、无法辨认；</w:t>
      </w:r>
    </w:p>
    <w:p w14:paraId="49FA8F72">
      <w:pPr>
        <w:keepNext w:val="0"/>
        <w:keepLines w:val="0"/>
        <w:pageBreakBefore w:val="0"/>
        <w:kinsoku/>
        <w:overflowPunct/>
        <w:topLinePunct w:val="0"/>
        <w:autoSpaceDE/>
        <w:autoSpaceDN/>
        <w:bidi w:val="0"/>
        <w:spacing w:line="360" w:lineRule="exact"/>
        <w:ind w:firstLine="420" w:firstLineChars="200"/>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5.满足采购</w:t>
      </w:r>
      <w:r>
        <w:rPr>
          <w:rFonts w:hint="default" w:ascii="宋体" w:hAnsi="宋体" w:eastAsia="宋体" w:cs="宋体"/>
          <w:bCs/>
          <w:color w:val="auto"/>
          <w:sz w:val="21"/>
          <w:szCs w:val="21"/>
          <w:highlight w:val="none"/>
          <w:lang w:val="en-US" w:eastAsia="zh-CN"/>
        </w:rPr>
        <w:t>文件中所有带“★”标识的实质性条款</w:t>
      </w:r>
      <w:r>
        <w:rPr>
          <w:rFonts w:hint="eastAsia" w:ascii="宋体" w:hAnsi="宋体" w:eastAsia="宋体" w:cs="宋体"/>
          <w:bCs/>
          <w:color w:val="auto"/>
          <w:sz w:val="21"/>
          <w:szCs w:val="21"/>
          <w:highlight w:val="none"/>
          <w:lang w:val="en-US" w:eastAsia="zh-CN"/>
        </w:rPr>
        <w:t>（如有）；</w:t>
      </w:r>
    </w:p>
    <w:p w14:paraId="428D4136">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6.响应报价未超过采购预算金额的；</w:t>
      </w:r>
    </w:p>
    <w:p w14:paraId="1957CE0A">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7.满足采购文件的其他实质性要求；</w:t>
      </w:r>
    </w:p>
    <w:p w14:paraId="65A16063">
      <w:pPr>
        <w:keepNext w:val="0"/>
        <w:keepLines w:val="0"/>
        <w:pageBreakBefore w:val="0"/>
        <w:kinsoku/>
        <w:overflowPunct/>
        <w:topLinePunct w:val="0"/>
        <w:autoSpaceDE/>
        <w:autoSpaceDN/>
        <w:bidi w:val="0"/>
        <w:spacing w:line="360" w:lineRule="exact"/>
        <w:ind w:firstLine="420" w:firstLineChars="200"/>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8.与本公告内容无其他不相符的。</w:t>
      </w:r>
    </w:p>
    <w:p w14:paraId="1836152F">
      <w:pPr>
        <w:pStyle w:val="9"/>
        <w:keepNext w:val="0"/>
        <w:keepLines w:val="0"/>
        <w:pageBreakBefore w:val="0"/>
        <w:kinsoku/>
        <w:overflowPunct/>
        <w:topLinePunct w:val="0"/>
        <w:bidi w:val="0"/>
        <w:spacing w:line="360" w:lineRule="exact"/>
        <w:ind w:left="0" w:leftChars="0" w:firstLine="422"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w:t>
      </w:r>
      <w:r>
        <w:rPr>
          <w:rFonts w:hint="eastAsia" w:ascii="宋体" w:hAnsi="宋体" w:cs="宋体"/>
          <w:b/>
          <w:bCs/>
          <w:color w:val="auto"/>
          <w:kern w:val="0"/>
          <w:sz w:val="21"/>
          <w:szCs w:val="21"/>
          <w:highlight w:val="none"/>
          <w:lang w:val="en-US" w:eastAsia="zh-CN" w:bidi="ar-SA"/>
        </w:rPr>
        <w:t>三</w:t>
      </w:r>
      <w:r>
        <w:rPr>
          <w:rFonts w:hint="eastAsia" w:ascii="宋体" w:hAnsi="宋体" w:eastAsia="宋体" w:cs="宋体"/>
          <w:b/>
          <w:bCs/>
          <w:color w:val="auto"/>
          <w:kern w:val="0"/>
          <w:sz w:val="21"/>
          <w:szCs w:val="21"/>
          <w:highlight w:val="none"/>
          <w:lang w:val="en-US" w:eastAsia="zh-CN" w:bidi="ar-SA"/>
        </w:rPr>
        <w:t>）</w:t>
      </w:r>
      <w:r>
        <w:rPr>
          <w:rFonts w:hint="eastAsia" w:ascii="宋体" w:hAnsi="宋体" w:cs="宋体"/>
          <w:b/>
          <w:bCs/>
          <w:color w:val="auto"/>
          <w:kern w:val="0"/>
          <w:sz w:val="21"/>
          <w:szCs w:val="21"/>
          <w:highlight w:val="none"/>
          <w:lang w:val="en-US" w:eastAsia="zh-CN" w:bidi="ar-SA"/>
        </w:rPr>
        <w:t>第三</w:t>
      </w:r>
      <w:r>
        <w:rPr>
          <w:rFonts w:hint="eastAsia" w:ascii="宋体" w:hAnsi="宋体" w:eastAsia="宋体" w:cs="宋体"/>
          <w:b/>
          <w:bCs/>
          <w:color w:val="auto"/>
          <w:kern w:val="0"/>
          <w:sz w:val="21"/>
          <w:szCs w:val="21"/>
          <w:highlight w:val="none"/>
          <w:lang w:val="en-US" w:eastAsia="zh-CN" w:bidi="ar-SA"/>
        </w:rPr>
        <w:t>阶段：详细评审</w:t>
      </w:r>
    </w:p>
    <w:p w14:paraId="5499608F">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lang w:eastAsia="zh-CN"/>
        </w:rPr>
        <w:t>详细评审是对</w:t>
      </w:r>
      <w:r>
        <w:rPr>
          <w:rFonts w:hint="eastAsia" w:ascii="宋体" w:hAnsi="宋体" w:eastAsia="宋体" w:cs="宋体"/>
          <w:b/>
          <w:bCs w:val="0"/>
          <w:color w:val="auto"/>
          <w:sz w:val="21"/>
          <w:szCs w:val="21"/>
          <w:highlight w:val="none"/>
          <w:lang w:eastAsia="zh-CN"/>
        </w:rPr>
        <w:t>通过</w:t>
      </w:r>
      <w:r>
        <w:rPr>
          <w:rFonts w:hint="eastAsia" w:ascii="宋体" w:hAnsi="宋体" w:cs="宋体"/>
          <w:b/>
          <w:bCs w:val="0"/>
          <w:color w:val="auto"/>
          <w:sz w:val="21"/>
          <w:szCs w:val="21"/>
          <w:highlight w:val="none"/>
          <w:lang w:val="en-US" w:eastAsia="zh-CN"/>
        </w:rPr>
        <w:t>资格性、</w:t>
      </w:r>
      <w:r>
        <w:rPr>
          <w:rFonts w:hint="eastAsia" w:ascii="宋体" w:hAnsi="宋体" w:eastAsia="宋体" w:cs="宋体"/>
          <w:b/>
          <w:bCs w:val="0"/>
          <w:color w:val="auto"/>
          <w:sz w:val="21"/>
          <w:szCs w:val="21"/>
          <w:highlight w:val="none"/>
          <w:lang w:eastAsia="zh-CN"/>
        </w:rPr>
        <w:t>符合性</w:t>
      </w:r>
      <w:r>
        <w:rPr>
          <w:rFonts w:hint="eastAsia" w:ascii="宋体" w:hAnsi="宋体" w:cs="宋体"/>
          <w:b/>
          <w:bCs w:val="0"/>
          <w:color w:val="auto"/>
          <w:sz w:val="21"/>
          <w:szCs w:val="21"/>
          <w:highlight w:val="none"/>
          <w:lang w:val="en-US" w:eastAsia="zh-CN"/>
        </w:rPr>
        <w:t>评审</w:t>
      </w:r>
      <w:r>
        <w:rPr>
          <w:rFonts w:hint="eastAsia" w:ascii="宋体" w:hAnsi="宋体" w:eastAsia="宋体" w:cs="宋体"/>
          <w:b/>
          <w:bCs w:val="0"/>
          <w:color w:val="auto"/>
          <w:sz w:val="21"/>
          <w:szCs w:val="21"/>
          <w:highlight w:val="none"/>
          <w:lang w:eastAsia="zh-CN"/>
        </w:rPr>
        <w:t>的响应文件</w:t>
      </w:r>
      <w:r>
        <w:rPr>
          <w:rFonts w:hint="eastAsia" w:ascii="宋体" w:hAnsi="宋体" w:eastAsia="宋体" w:cs="宋体"/>
          <w:bCs/>
          <w:color w:val="auto"/>
          <w:sz w:val="21"/>
          <w:szCs w:val="21"/>
          <w:highlight w:val="none"/>
          <w:lang w:eastAsia="zh-CN"/>
        </w:rPr>
        <w:t>进行技术商务和价格的评审。</w:t>
      </w:r>
    </w:p>
    <w:p w14:paraId="79C851B3">
      <w:pPr>
        <w:spacing w:line="360" w:lineRule="auto"/>
        <w:ind w:firstLine="420" w:firstLineChars="200"/>
        <w:rPr>
          <w:rFonts w:ascii="宋体" w:hAnsi="宋体" w:cs="宋体"/>
          <w:color w:val="auto"/>
          <w:highlight w:val="none"/>
        </w:rPr>
      </w:pPr>
      <w:r>
        <w:rPr>
          <w:rFonts w:hint="eastAsia" w:ascii="宋体" w:hAnsi="宋体" w:eastAsia="宋体" w:cs="宋体"/>
          <w:bCs/>
          <w:color w:val="auto"/>
          <w:sz w:val="21"/>
          <w:szCs w:val="21"/>
          <w:highlight w:val="none"/>
          <w:lang w:val="en-US" w:eastAsia="zh-CN"/>
        </w:rPr>
        <w:t>2.</w:t>
      </w:r>
      <w:r>
        <w:rPr>
          <w:rFonts w:hint="eastAsia" w:ascii="宋体" w:hAnsi="宋体" w:cs="宋体"/>
          <w:color w:val="auto"/>
          <w:highlight w:val="none"/>
        </w:rPr>
        <w:t>评分总值最高为100分，技术、商务及价格评分分值（权重）分配：</w:t>
      </w:r>
    </w:p>
    <w:tbl>
      <w:tblPr>
        <w:tblStyle w:val="1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751"/>
        <w:gridCol w:w="2270"/>
        <w:gridCol w:w="2271"/>
      </w:tblGrid>
      <w:tr w14:paraId="44E4C3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3751" w:type="dxa"/>
            <w:noWrap w:val="0"/>
            <w:vAlign w:val="center"/>
          </w:tcPr>
          <w:p w14:paraId="0E108150">
            <w:pPr>
              <w:jc w:val="center"/>
              <w:rPr>
                <w:rFonts w:ascii="宋体" w:hAnsi="宋体"/>
                <w:color w:val="auto"/>
                <w:highlight w:val="none"/>
              </w:rPr>
            </w:pPr>
            <w:r>
              <w:rPr>
                <w:rFonts w:hint="eastAsia" w:ascii="宋体" w:hAnsi="宋体"/>
                <w:color w:val="auto"/>
                <w:highlight w:val="none"/>
              </w:rPr>
              <w:t>评分项目</w:t>
            </w:r>
          </w:p>
        </w:tc>
        <w:tc>
          <w:tcPr>
            <w:tcW w:w="2270" w:type="dxa"/>
            <w:noWrap w:val="0"/>
            <w:vAlign w:val="center"/>
          </w:tcPr>
          <w:p w14:paraId="4BEF0C76">
            <w:pPr>
              <w:jc w:val="center"/>
              <w:rPr>
                <w:rFonts w:ascii="宋体" w:hAnsi="宋体"/>
                <w:color w:val="auto"/>
                <w:highlight w:val="none"/>
              </w:rPr>
            </w:pPr>
            <w:r>
              <w:rPr>
                <w:rFonts w:hint="eastAsia" w:ascii="宋体" w:hAnsi="宋体"/>
                <w:color w:val="auto"/>
                <w:highlight w:val="none"/>
              </w:rPr>
              <w:t>技术商务评分</w:t>
            </w:r>
          </w:p>
        </w:tc>
        <w:tc>
          <w:tcPr>
            <w:tcW w:w="2271" w:type="dxa"/>
            <w:noWrap w:val="0"/>
            <w:vAlign w:val="center"/>
          </w:tcPr>
          <w:p w14:paraId="0D9FE462">
            <w:pPr>
              <w:jc w:val="center"/>
              <w:rPr>
                <w:rFonts w:ascii="宋体" w:hAnsi="宋体"/>
                <w:color w:val="auto"/>
                <w:highlight w:val="none"/>
              </w:rPr>
            </w:pPr>
            <w:r>
              <w:rPr>
                <w:rFonts w:hint="eastAsia" w:ascii="宋体" w:hAnsi="宋体"/>
                <w:color w:val="auto"/>
                <w:highlight w:val="none"/>
              </w:rPr>
              <w:t>价格评分</w:t>
            </w:r>
          </w:p>
        </w:tc>
      </w:tr>
      <w:tr w14:paraId="0C0F38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3751" w:type="dxa"/>
            <w:noWrap w:val="0"/>
            <w:vAlign w:val="center"/>
          </w:tcPr>
          <w:p w14:paraId="64D54E0E">
            <w:pPr>
              <w:jc w:val="center"/>
              <w:rPr>
                <w:rFonts w:ascii="宋体" w:hAnsi="宋体"/>
                <w:color w:val="auto"/>
                <w:highlight w:val="none"/>
              </w:rPr>
            </w:pPr>
            <w:r>
              <w:rPr>
                <w:rFonts w:hint="eastAsia" w:ascii="宋体" w:hAnsi="宋体"/>
                <w:color w:val="auto"/>
                <w:highlight w:val="none"/>
              </w:rPr>
              <w:t>权重（总和为100％）</w:t>
            </w:r>
          </w:p>
        </w:tc>
        <w:tc>
          <w:tcPr>
            <w:tcW w:w="2270" w:type="dxa"/>
            <w:noWrap w:val="0"/>
            <w:vAlign w:val="center"/>
          </w:tcPr>
          <w:p w14:paraId="00993170">
            <w:pPr>
              <w:jc w:val="center"/>
              <w:rPr>
                <w:rFonts w:ascii="宋体" w:hAnsi="宋体"/>
                <w:color w:val="auto"/>
                <w:szCs w:val="21"/>
                <w:highlight w:val="none"/>
              </w:rPr>
            </w:pPr>
            <w:r>
              <w:rPr>
                <w:rFonts w:hint="eastAsia" w:ascii="宋体" w:hAnsi="宋体"/>
                <w:color w:val="auto"/>
                <w:szCs w:val="21"/>
                <w:highlight w:val="none"/>
                <w:lang w:val="en-US" w:eastAsia="zh-CN"/>
              </w:rPr>
              <w:t>70</w:t>
            </w:r>
            <w:r>
              <w:rPr>
                <w:rFonts w:hint="eastAsia" w:ascii="宋体" w:hAnsi="宋体"/>
                <w:color w:val="auto"/>
                <w:szCs w:val="21"/>
                <w:highlight w:val="none"/>
              </w:rPr>
              <w:t>％</w:t>
            </w:r>
          </w:p>
        </w:tc>
        <w:tc>
          <w:tcPr>
            <w:tcW w:w="2271" w:type="dxa"/>
            <w:noWrap w:val="0"/>
            <w:vAlign w:val="center"/>
          </w:tcPr>
          <w:p w14:paraId="5F12E878">
            <w:pPr>
              <w:jc w:val="center"/>
              <w:rPr>
                <w:rFonts w:ascii="宋体" w:hAnsi="宋体"/>
                <w:color w:val="auto"/>
                <w:szCs w:val="21"/>
                <w:highlight w:val="none"/>
              </w:rPr>
            </w:pPr>
            <w:r>
              <w:rPr>
                <w:rFonts w:hint="eastAsia" w:ascii="宋体" w:hAnsi="宋体"/>
                <w:color w:val="auto"/>
                <w:szCs w:val="21"/>
                <w:highlight w:val="none"/>
                <w:lang w:val="en-US" w:eastAsia="zh-CN"/>
              </w:rPr>
              <w:t>30</w:t>
            </w:r>
            <w:r>
              <w:rPr>
                <w:rFonts w:hint="eastAsia" w:ascii="宋体" w:hAnsi="宋体"/>
                <w:color w:val="auto"/>
                <w:szCs w:val="21"/>
                <w:highlight w:val="none"/>
              </w:rPr>
              <w:t>％</w:t>
            </w:r>
          </w:p>
        </w:tc>
      </w:tr>
      <w:tr w14:paraId="0B2228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3751" w:type="dxa"/>
            <w:noWrap w:val="0"/>
            <w:vAlign w:val="center"/>
          </w:tcPr>
          <w:p w14:paraId="28CCC5CE">
            <w:pPr>
              <w:jc w:val="center"/>
              <w:rPr>
                <w:rFonts w:ascii="宋体" w:hAnsi="宋体"/>
                <w:color w:val="auto"/>
                <w:highlight w:val="none"/>
              </w:rPr>
            </w:pPr>
            <w:r>
              <w:rPr>
                <w:rFonts w:hint="eastAsia" w:ascii="宋体" w:hAnsi="宋体"/>
                <w:color w:val="auto"/>
                <w:highlight w:val="none"/>
              </w:rPr>
              <w:t>分值（满分为100分）</w:t>
            </w:r>
          </w:p>
        </w:tc>
        <w:tc>
          <w:tcPr>
            <w:tcW w:w="2270" w:type="dxa"/>
            <w:noWrap w:val="0"/>
            <w:vAlign w:val="center"/>
          </w:tcPr>
          <w:p w14:paraId="6AA30264">
            <w:pPr>
              <w:jc w:val="center"/>
              <w:rPr>
                <w:rFonts w:ascii="宋体" w:hAnsi="宋体"/>
                <w:color w:val="auto"/>
                <w:szCs w:val="21"/>
                <w:highlight w:val="none"/>
              </w:rPr>
            </w:pPr>
            <w:r>
              <w:rPr>
                <w:rFonts w:hint="eastAsia" w:ascii="宋体" w:hAnsi="宋体"/>
                <w:color w:val="auto"/>
                <w:szCs w:val="21"/>
                <w:highlight w:val="none"/>
                <w:lang w:val="en-US" w:eastAsia="zh-CN"/>
              </w:rPr>
              <w:t>70</w:t>
            </w:r>
            <w:r>
              <w:rPr>
                <w:rFonts w:hint="eastAsia" w:ascii="宋体" w:hAnsi="宋体"/>
                <w:color w:val="auto"/>
                <w:szCs w:val="21"/>
                <w:highlight w:val="none"/>
              </w:rPr>
              <w:t>分</w:t>
            </w:r>
          </w:p>
        </w:tc>
        <w:tc>
          <w:tcPr>
            <w:tcW w:w="2271" w:type="dxa"/>
            <w:noWrap w:val="0"/>
            <w:vAlign w:val="center"/>
          </w:tcPr>
          <w:p w14:paraId="72A16DBC">
            <w:pPr>
              <w:jc w:val="center"/>
              <w:rPr>
                <w:rFonts w:ascii="宋体" w:hAnsi="宋体"/>
                <w:color w:val="auto"/>
                <w:szCs w:val="21"/>
                <w:highlight w:val="none"/>
              </w:rPr>
            </w:pPr>
            <w:r>
              <w:rPr>
                <w:rFonts w:hint="eastAsia" w:ascii="宋体" w:hAnsi="宋体"/>
                <w:color w:val="auto"/>
                <w:szCs w:val="21"/>
                <w:highlight w:val="none"/>
                <w:lang w:val="en-US" w:eastAsia="zh-CN"/>
              </w:rPr>
              <w:t>30</w:t>
            </w:r>
            <w:r>
              <w:rPr>
                <w:rFonts w:hint="eastAsia" w:ascii="宋体" w:hAnsi="宋体"/>
                <w:color w:val="auto"/>
                <w:szCs w:val="21"/>
                <w:highlight w:val="none"/>
              </w:rPr>
              <w:t>分</w:t>
            </w:r>
          </w:p>
        </w:tc>
      </w:tr>
    </w:tbl>
    <w:p w14:paraId="74D7D2AC">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lang w:eastAsia="zh-CN"/>
        </w:rPr>
        <w:t>综合得分按以下公式计算：综合得分=商务技术得分+报价得分</w:t>
      </w:r>
    </w:p>
    <w:tbl>
      <w:tblPr>
        <w:tblStyle w:val="15"/>
        <w:tblW w:w="5019" w:type="pct"/>
        <w:jc w:val="center"/>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Layout w:type="autofit"/>
        <w:tblCellMar>
          <w:top w:w="0" w:type="dxa"/>
          <w:left w:w="0" w:type="dxa"/>
          <w:bottom w:w="0" w:type="dxa"/>
          <w:right w:w="0" w:type="dxa"/>
        </w:tblCellMar>
      </w:tblPr>
      <w:tblGrid>
        <w:gridCol w:w="1219"/>
        <w:gridCol w:w="1619"/>
        <w:gridCol w:w="7070"/>
      </w:tblGrid>
      <w:tr w14:paraId="0AC20336">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600" w:hRule="atLeast"/>
          <w:tblHeader/>
          <w:jc w:val="center"/>
        </w:trPr>
        <w:tc>
          <w:tcPr>
            <w:tcW w:w="615" w:type="pct"/>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14:paraId="0E0D8FA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333333"/>
                <w:sz w:val="21"/>
                <w:szCs w:val="21"/>
              </w:rPr>
            </w:pPr>
            <w:r>
              <w:rPr>
                <w:rStyle w:val="18"/>
                <w:rFonts w:hint="eastAsia" w:ascii="宋体" w:hAnsi="宋体" w:eastAsia="宋体" w:cs="宋体"/>
                <w:color w:val="333333"/>
                <w:sz w:val="21"/>
                <w:szCs w:val="21"/>
              </w:rPr>
              <w:t>内容</w:t>
            </w: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04F218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firstLine="0" w:firstLineChars="0"/>
              <w:jc w:val="center"/>
              <w:rPr>
                <w:rStyle w:val="18"/>
                <w:rFonts w:hint="eastAsia" w:ascii="宋体" w:hAnsi="宋体" w:eastAsia="宋体" w:cs="宋体"/>
                <w:color w:val="333333"/>
                <w:sz w:val="21"/>
                <w:szCs w:val="21"/>
                <w:lang w:eastAsia="zh-CN"/>
              </w:rPr>
            </w:pPr>
            <w:r>
              <w:rPr>
                <w:rStyle w:val="18"/>
                <w:rFonts w:hint="eastAsia" w:ascii="宋体" w:hAnsi="宋体" w:eastAsia="宋体" w:cs="宋体"/>
                <w:color w:val="333333"/>
                <w:sz w:val="21"/>
                <w:szCs w:val="21"/>
                <w:lang w:eastAsia="zh-CN"/>
              </w:rPr>
              <w:t>评审项目</w:t>
            </w: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A11D4F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right="0" w:firstLine="420"/>
              <w:jc w:val="center"/>
              <w:rPr>
                <w:rFonts w:hint="eastAsia" w:ascii="宋体" w:hAnsi="宋体" w:eastAsia="宋体" w:cs="宋体"/>
                <w:color w:val="333333"/>
                <w:sz w:val="21"/>
                <w:szCs w:val="21"/>
              </w:rPr>
            </w:pPr>
            <w:r>
              <w:rPr>
                <w:rStyle w:val="18"/>
                <w:rFonts w:hint="eastAsia" w:ascii="宋体" w:hAnsi="宋体" w:eastAsia="宋体" w:cs="宋体"/>
                <w:color w:val="333333"/>
                <w:sz w:val="21"/>
                <w:szCs w:val="21"/>
              </w:rPr>
              <w:t>评分标准</w:t>
            </w:r>
          </w:p>
        </w:tc>
      </w:tr>
      <w:tr w14:paraId="4C7F3674">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15" w:type="pct"/>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14:paraId="15E1FED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价格部分(</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7FFDAD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价格得分</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0分</w:t>
            </w:r>
            <w:r>
              <w:rPr>
                <w:rFonts w:hint="eastAsia" w:ascii="宋体" w:hAnsi="宋体" w:eastAsia="宋体" w:cs="宋体"/>
                <w:color w:val="auto"/>
                <w:sz w:val="21"/>
                <w:szCs w:val="21"/>
                <w:highlight w:val="none"/>
                <w:lang w:eastAsia="zh-CN"/>
              </w:rPr>
              <w:t>）</w:t>
            </w: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948E2E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价格分采用低价优先法计算，即满足</w:t>
            </w:r>
            <w:r>
              <w:rPr>
                <w:rFonts w:hint="eastAsia" w:ascii="宋体" w:hAnsi="宋体" w:eastAsia="宋体" w:cs="宋体"/>
                <w:color w:val="auto"/>
                <w:sz w:val="21"/>
                <w:szCs w:val="21"/>
                <w:highlight w:val="none"/>
                <w:lang w:eastAsia="zh-CN"/>
              </w:rPr>
              <w:t>比选公告</w:t>
            </w:r>
            <w:r>
              <w:rPr>
                <w:rFonts w:hint="eastAsia" w:ascii="宋体" w:hAnsi="宋体" w:eastAsia="宋体" w:cs="宋体"/>
                <w:color w:val="auto"/>
                <w:sz w:val="21"/>
                <w:szCs w:val="21"/>
                <w:highlight w:val="none"/>
              </w:rPr>
              <w:t>要求且</w:t>
            </w:r>
            <w:r>
              <w:rPr>
                <w:rFonts w:hint="eastAsia" w:ascii="宋体" w:hAnsi="宋体" w:eastAsia="宋体" w:cs="宋体"/>
                <w:color w:val="auto"/>
                <w:sz w:val="21"/>
                <w:szCs w:val="21"/>
                <w:highlight w:val="none"/>
                <w:lang w:eastAsia="zh-CN"/>
              </w:rPr>
              <w:t>报价</w:t>
            </w:r>
            <w:r>
              <w:rPr>
                <w:rFonts w:hint="eastAsia" w:ascii="宋体" w:hAnsi="宋体" w:eastAsia="宋体" w:cs="宋体"/>
                <w:color w:val="auto"/>
                <w:sz w:val="21"/>
                <w:szCs w:val="21"/>
                <w:highlight w:val="none"/>
              </w:rPr>
              <w:t>最低的为评</w:t>
            </w:r>
            <w:r>
              <w:rPr>
                <w:rFonts w:hint="eastAsia" w:ascii="宋体" w:hAnsi="宋体" w:cs="宋体"/>
                <w:color w:val="auto"/>
                <w:sz w:val="21"/>
                <w:szCs w:val="21"/>
                <w:highlight w:val="none"/>
                <w:lang w:val="en-US" w:eastAsia="zh-CN"/>
              </w:rPr>
              <w:t>选</w:t>
            </w:r>
            <w:r>
              <w:rPr>
                <w:rFonts w:hint="eastAsia" w:ascii="宋体" w:hAnsi="宋体" w:eastAsia="宋体" w:cs="宋体"/>
                <w:color w:val="auto"/>
                <w:sz w:val="21"/>
                <w:szCs w:val="21"/>
                <w:highlight w:val="none"/>
              </w:rPr>
              <w:t>基准价，其价格分为满分</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0，其他</w:t>
            </w:r>
            <w:r>
              <w:rPr>
                <w:rFonts w:hint="eastAsia" w:ascii="宋体" w:hAnsi="宋体" w:eastAsia="宋体" w:cs="宋体"/>
                <w:color w:val="auto"/>
                <w:sz w:val="21"/>
                <w:szCs w:val="21"/>
                <w:highlight w:val="none"/>
                <w:lang w:eastAsia="zh-CN"/>
              </w:rPr>
              <w:t>响应供应商</w:t>
            </w:r>
            <w:r>
              <w:rPr>
                <w:rFonts w:hint="eastAsia" w:ascii="宋体" w:hAnsi="宋体" w:eastAsia="宋体" w:cs="宋体"/>
                <w:color w:val="auto"/>
                <w:sz w:val="21"/>
                <w:szCs w:val="21"/>
                <w:highlight w:val="none"/>
              </w:rPr>
              <w:t>的价格分统一按照下列公式计算</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lang w:eastAsia="zh-CN"/>
              </w:rPr>
              <w:t>报价得分</w:t>
            </w:r>
            <w:r>
              <w:rPr>
                <w:rFonts w:hint="eastAsia" w:ascii="宋体" w:hAnsi="宋体" w:eastAsia="宋体" w:cs="宋体"/>
                <w:color w:val="auto"/>
                <w:sz w:val="21"/>
                <w:szCs w:val="21"/>
                <w:highlight w:val="none"/>
              </w:rPr>
              <w:t>四舍五入精确到小数点后2位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643E750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rPr>
              <w:t>报价得分=（评</w:t>
            </w:r>
            <w:r>
              <w:rPr>
                <w:rFonts w:hint="eastAsia" w:ascii="宋体" w:hAnsi="宋体" w:cs="宋体"/>
                <w:color w:val="auto"/>
                <w:sz w:val="21"/>
                <w:szCs w:val="21"/>
                <w:highlight w:val="none"/>
                <w:lang w:val="en-US" w:eastAsia="zh-CN"/>
              </w:rPr>
              <w:t>选</w:t>
            </w:r>
            <w:r>
              <w:rPr>
                <w:rFonts w:hint="eastAsia" w:ascii="宋体" w:hAnsi="宋体" w:eastAsia="宋体" w:cs="宋体"/>
                <w:color w:val="auto"/>
                <w:sz w:val="21"/>
                <w:szCs w:val="21"/>
                <w:highlight w:val="none"/>
              </w:rPr>
              <w:t>基准价格/</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rPr>
              <w:t>价格）</w:t>
            </w:r>
            <w:r>
              <w:rPr>
                <w:rFonts w:hint="default" w:ascii="Arial" w:hAnsi="Arial" w:eastAsia="宋体" w:cs="Arial"/>
                <w:b w:val="0"/>
                <w:bCs w:val="0"/>
                <w:color w:val="auto"/>
                <w:szCs w:val="21"/>
                <w:highlight w:val="none"/>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0</w:t>
            </w:r>
          </w:p>
        </w:tc>
      </w:tr>
      <w:tr w14:paraId="59BD82CE">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507" w:hRule="atLeast"/>
          <w:jc w:val="center"/>
        </w:trPr>
        <w:tc>
          <w:tcPr>
            <w:tcW w:w="615" w:type="pct"/>
            <w:vMerge w:val="restart"/>
            <w:tcBorders>
              <w:top w:val="single" w:color="auto" w:sz="4" w:space="0"/>
              <w:left w:val="single" w:color="auto" w:sz="4" w:space="0"/>
              <w:right w:val="single" w:color="auto" w:sz="4" w:space="0"/>
            </w:tcBorders>
            <w:shd w:val="clear" w:color="auto" w:fill="auto"/>
            <w:noWrap w:val="0"/>
            <w:tcMar>
              <w:left w:w="105" w:type="dxa"/>
              <w:right w:w="105" w:type="dxa"/>
            </w:tcMar>
            <w:vAlign w:val="center"/>
          </w:tcPr>
          <w:p w14:paraId="3B4C2F5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default" w:ascii="宋体" w:hAnsi="宋体" w:eastAsia="宋体" w:cs="宋体"/>
                <w:color w:val="auto"/>
                <w:sz w:val="21"/>
                <w:szCs w:val="21"/>
                <w:highlight w:val="yellow"/>
                <w:lang w:val="en-US" w:eastAsia="zh-CN"/>
              </w:rPr>
            </w:pPr>
            <w:r>
              <w:rPr>
                <w:rFonts w:hint="eastAsia" w:ascii="宋体" w:hAnsi="宋体" w:cs="宋体"/>
                <w:color w:val="auto"/>
                <w:sz w:val="21"/>
                <w:szCs w:val="21"/>
                <w:highlight w:val="none"/>
                <w:lang w:val="en-US" w:eastAsia="zh-CN"/>
              </w:rPr>
              <w:t>商务技术部分   （70分）</w:t>
            </w: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400A271">
            <w:pPr>
              <w:spacing w:line="300" w:lineRule="exact"/>
              <w:jc w:val="center"/>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对采购需求书中技术、商务条款的响应程度</w:t>
            </w:r>
          </w:p>
          <w:p w14:paraId="690CE40A">
            <w:pPr>
              <w:spacing w:line="300" w:lineRule="exact"/>
              <w:jc w:val="center"/>
              <w:rPr>
                <w:rFonts w:hint="eastAsia" w:ascii="宋体" w:hAnsi="宋体" w:eastAsia="宋体" w:cs="宋体"/>
                <w:color w:val="auto"/>
                <w:sz w:val="21"/>
                <w:szCs w:val="21"/>
                <w:highlight w:val="none"/>
                <w:lang w:eastAsia="zh-CN"/>
              </w:rPr>
            </w:pPr>
            <w:r>
              <w:rPr>
                <w:rFonts w:hint="eastAsia" w:ascii="宋体" w:hAnsi="宋体" w:cs="宋体"/>
                <w:bCs/>
                <w:color w:val="auto"/>
                <w:szCs w:val="21"/>
                <w:highlight w:val="none"/>
                <w:lang w:val="en-US" w:eastAsia="zh-CN"/>
              </w:rPr>
              <w:t>(40分)</w:t>
            </w: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9D7D364">
            <w:pPr>
              <w:numPr>
                <w:ilvl w:val="0"/>
                <w:numId w:val="0"/>
              </w:numP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根据各供应商响应文件对</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val="en-US" w:eastAsia="zh-CN"/>
              </w:rPr>
              <w:t>（二）技术规格、参数及要</w:t>
            </w:r>
            <w:r>
              <w:rPr>
                <w:rFonts w:hint="eastAsia" w:ascii="宋体" w:hAnsi="宋体" w:cs="宋体"/>
                <w:color w:val="auto"/>
                <w:sz w:val="21"/>
                <w:szCs w:val="21"/>
                <w:highlight w:val="none"/>
                <w:lang w:val="en-US" w:eastAsia="zh-CN"/>
              </w:rPr>
              <w:t>求”下列</w:t>
            </w:r>
            <w:r>
              <w:rPr>
                <w:rFonts w:hint="eastAsia" w:ascii="宋体" w:hAnsi="宋体" w:cs="宋体"/>
                <w:color w:val="auto"/>
                <w:szCs w:val="21"/>
                <w:highlight w:val="none"/>
                <w:lang w:val="en-US" w:eastAsia="zh-CN"/>
              </w:rPr>
              <w:t>的所有条款</w:t>
            </w:r>
            <w:r>
              <w:rPr>
                <w:rFonts w:hint="eastAsia" w:ascii="宋体" w:hAnsi="宋体" w:eastAsia="宋体" w:cs="宋体"/>
                <w:color w:val="auto"/>
                <w:szCs w:val="21"/>
                <w:highlight w:val="none"/>
              </w:rPr>
              <w:t>（非“★”、非“▲”号条款）共</w:t>
            </w:r>
            <w:r>
              <w:rPr>
                <w:rFonts w:hint="eastAsia" w:ascii="宋体" w:hAnsi="宋体" w:cs="宋体"/>
                <w:color w:val="auto"/>
                <w:szCs w:val="21"/>
                <w:highlight w:val="none"/>
                <w:lang w:val="en-US" w:eastAsia="zh-CN"/>
              </w:rPr>
              <w:t>16</w:t>
            </w:r>
            <w:r>
              <w:rPr>
                <w:rFonts w:hint="eastAsia" w:ascii="宋体" w:hAnsi="宋体" w:eastAsia="宋体" w:cs="宋体"/>
                <w:color w:val="auto"/>
                <w:szCs w:val="21"/>
                <w:highlight w:val="none"/>
              </w:rPr>
              <w:t>项，</w:t>
            </w:r>
            <w:r>
              <w:rPr>
                <w:rFonts w:hint="eastAsia" w:ascii="宋体" w:hAnsi="宋体" w:eastAsia="宋体" w:cs="宋体"/>
                <w:color w:val="auto"/>
                <w:szCs w:val="21"/>
                <w:highlight w:val="none"/>
                <w:lang w:val="en-US" w:eastAsia="zh-CN"/>
              </w:rPr>
              <w:t>本项目满分</w:t>
            </w:r>
            <w:r>
              <w:rPr>
                <w:rFonts w:hint="eastAsia" w:ascii="宋体" w:hAnsi="宋体" w:cs="宋体"/>
                <w:color w:val="auto"/>
                <w:szCs w:val="21"/>
                <w:highlight w:val="none"/>
                <w:lang w:val="en-US" w:eastAsia="zh-CN"/>
              </w:rPr>
              <w:t>32</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评审分数按以下公式计算：优于或完全响应的条款数量</w:t>
            </w:r>
            <w:r>
              <w:rPr>
                <w:rFonts w:hint="default" w:ascii="Arial" w:hAnsi="Arial" w:eastAsia="宋体" w:cs="Arial"/>
                <w:b/>
                <w:bCs/>
                <w:color w:val="auto"/>
                <w:szCs w:val="21"/>
                <w:highlight w:val="none"/>
              </w:rPr>
              <w:t>÷</w:t>
            </w:r>
            <w:r>
              <w:rPr>
                <w:rFonts w:hint="eastAsia" w:ascii="宋体" w:hAnsi="宋体" w:eastAsia="宋体" w:cs="宋体"/>
                <w:color w:val="auto"/>
                <w:szCs w:val="21"/>
                <w:highlight w:val="none"/>
              </w:rPr>
              <w:t>一般条款（非“★”、非“▲”号条款）总数量</w:t>
            </w:r>
            <w:r>
              <w:rPr>
                <w:rFonts w:hint="default" w:ascii="Arial" w:hAnsi="Arial" w:eastAsia="宋体" w:cs="Arial"/>
                <w:b/>
                <w:bCs/>
                <w:color w:val="auto"/>
                <w:szCs w:val="21"/>
                <w:highlight w:val="none"/>
              </w:rPr>
              <w:t>×</w:t>
            </w:r>
            <w:r>
              <w:rPr>
                <w:rFonts w:hint="eastAsia" w:ascii="宋体" w:hAnsi="宋体" w:cs="宋体"/>
                <w:color w:val="auto"/>
                <w:szCs w:val="21"/>
                <w:highlight w:val="none"/>
                <w:lang w:val="en-US" w:eastAsia="zh-CN"/>
              </w:rPr>
              <w:t>32</w:t>
            </w:r>
            <w:r>
              <w:rPr>
                <w:rFonts w:hint="eastAsia" w:ascii="宋体" w:hAnsi="宋体" w:eastAsia="宋体" w:cs="宋体"/>
                <w:color w:val="auto"/>
                <w:szCs w:val="21"/>
                <w:highlight w:val="none"/>
              </w:rPr>
              <w:t>=一般条款响应程度得分（按四舍五入保留两位）。）</w:t>
            </w:r>
          </w:p>
          <w:p w14:paraId="0CDDFC01">
            <w:pPr>
              <w:numPr>
                <w:ilvl w:val="0"/>
                <w:numId w:val="0"/>
              </w:numP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根据各供应商响应文件对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（三）</w:t>
            </w:r>
            <w:r>
              <w:rPr>
                <w:rFonts w:hint="eastAsia" w:ascii="宋体" w:hAnsi="宋体" w:cs="宋体"/>
                <w:color w:val="auto"/>
                <w:sz w:val="21"/>
                <w:szCs w:val="21"/>
                <w:highlight w:val="none"/>
                <w:lang w:val="en-US" w:eastAsia="zh-CN"/>
              </w:rPr>
              <w:t>商务要求”下列</w:t>
            </w:r>
            <w:r>
              <w:rPr>
                <w:rFonts w:hint="eastAsia" w:ascii="宋体" w:hAnsi="宋体" w:cs="宋体"/>
                <w:color w:val="auto"/>
                <w:szCs w:val="21"/>
                <w:highlight w:val="none"/>
                <w:lang w:val="en-US" w:eastAsia="zh-CN"/>
              </w:rPr>
              <w:t>的所有条款</w:t>
            </w:r>
            <w:r>
              <w:rPr>
                <w:rFonts w:hint="eastAsia" w:ascii="宋体" w:hAnsi="宋体" w:eastAsia="宋体" w:cs="宋体"/>
                <w:color w:val="auto"/>
                <w:szCs w:val="21"/>
                <w:highlight w:val="none"/>
              </w:rPr>
              <w:t>（非“★”、非“▲”号条款）共</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项，</w:t>
            </w:r>
            <w:r>
              <w:rPr>
                <w:rFonts w:hint="eastAsia" w:ascii="宋体" w:hAnsi="宋体" w:eastAsia="宋体" w:cs="宋体"/>
                <w:color w:val="auto"/>
                <w:szCs w:val="21"/>
                <w:highlight w:val="none"/>
                <w:lang w:val="en-US" w:eastAsia="zh-CN"/>
              </w:rPr>
              <w:t>本项目满分</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评审分数按以下公式计算：优于或完全响应的条款数量</w:t>
            </w:r>
            <w:r>
              <w:rPr>
                <w:rFonts w:hint="default" w:ascii="Arial" w:hAnsi="Arial" w:eastAsia="宋体" w:cs="Arial"/>
                <w:b/>
                <w:bCs/>
                <w:color w:val="auto"/>
                <w:szCs w:val="21"/>
                <w:highlight w:val="none"/>
              </w:rPr>
              <w:t>÷</w:t>
            </w:r>
            <w:r>
              <w:rPr>
                <w:rFonts w:hint="eastAsia" w:ascii="宋体" w:hAnsi="宋体" w:eastAsia="宋体" w:cs="宋体"/>
                <w:color w:val="auto"/>
                <w:szCs w:val="21"/>
                <w:highlight w:val="none"/>
              </w:rPr>
              <w:t>一般条款（非“★”、非“▲”号条款）总数量</w:t>
            </w:r>
            <w:r>
              <w:rPr>
                <w:rFonts w:hint="default" w:ascii="Arial" w:hAnsi="Arial" w:eastAsia="宋体" w:cs="Arial"/>
                <w:b/>
                <w:bCs/>
                <w:color w:val="auto"/>
                <w:szCs w:val="21"/>
                <w:highlight w:val="none"/>
              </w:rPr>
              <w:t>×</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=一般条款响应程度得分（按四舍五入保留两位）。）</w:t>
            </w:r>
          </w:p>
          <w:p w14:paraId="0006A0C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both"/>
              <w:rPr>
                <w:rFonts w:hint="eastAsia" w:ascii="宋体" w:hAnsi="宋体" w:eastAsia="宋体" w:cs="宋体"/>
                <w:color w:val="auto"/>
                <w:sz w:val="21"/>
                <w:szCs w:val="21"/>
                <w:highlight w:val="none"/>
                <w:lang w:val="zh-CN" w:eastAsia="zh-CN"/>
              </w:rPr>
            </w:pPr>
            <w:r>
              <w:rPr>
                <w:rFonts w:hint="eastAsia" w:ascii="宋体" w:hAnsi="宋体" w:cs="宋体"/>
                <w:b/>
                <w:bCs w:val="0"/>
                <w:color w:val="auto"/>
                <w:sz w:val="21"/>
                <w:szCs w:val="21"/>
                <w:highlight w:val="none"/>
                <w:lang w:val="en-US" w:eastAsia="zh-CN"/>
              </w:rPr>
              <w:t>注：本项满分为40分，以采购需求书中要求提供（如有）的证明材料和“附件2参选文件格式”要求提供相关证明文件及指引页码作为评审依据，未按要求提供不得分。</w:t>
            </w:r>
          </w:p>
        </w:tc>
      </w:tr>
      <w:tr w14:paraId="76A8C231">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507" w:hRule="atLeast"/>
          <w:jc w:val="center"/>
        </w:trPr>
        <w:tc>
          <w:tcPr>
            <w:tcW w:w="615" w:type="pct"/>
            <w:vMerge w:val="continue"/>
            <w:tcBorders>
              <w:left w:val="single" w:color="auto" w:sz="4" w:space="0"/>
              <w:right w:val="single" w:color="auto" w:sz="4" w:space="0"/>
            </w:tcBorders>
            <w:shd w:val="clear" w:color="auto" w:fill="auto"/>
            <w:noWrap w:val="0"/>
            <w:tcMar>
              <w:left w:w="105" w:type="dxa"/>
              <w:right w:w="105" w:type="dxa"/>
            </w:tcMar>
            <w:vAlign w:val="center"/>
          </w:tcPr>
          <w:p w14:paraId="20319EC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yellow"/>
                <w:lang w:eastAsia="zh-CN"/>
              </w:rPr>
            </w:pP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C8D43E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eastAsia="zh-CN"/>
              </w:rPr>
              <w:t>业绩经验</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w:t>
            </w: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32EB9EE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both"/>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20</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zh-CN" w:eastAsia="zh-CN"/>
              </w:rPr>
              <w:t>年1月1日</w:t>
            </w:r>
            <w:r>
              <w:rPr>
                <w:rFonts w:hint="eastAsia" w:ascii="宋体" w:hAnsi="宋体" w:cs="宋体"/>
                <w:color w:val="auto"/>
                <w:sz w:val="21"/>
                <w:szCs w:val="21"/>
                <w:highlight w:val="none"/>
                <w:lang w:val="en-US" w:eastAsia="zh-CN"/>
              </w:rPr>
              <w:t>起至参选截止时间止（</w:t>
            </w:r>
            <w:r>
              <w:rPr>
                <w:rFonts w:hint="eastAsia" w:ascii="宋体" w:hAnsi="宋体" w:eastAsia="宋体" w:cs="宋体"/>
                <w:color w:val="auto"/>
                <w:sz w:val="21"/>
                <w:szCs w:val="21"/>
                <w:highlight w:val="none"/>
                <w:lang w:val="zh-CN" w:eastAsia="zh-CN"/>
              </w:rPr>
              <w:t>以合同签订时间为准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zh-CN" w:eastAsia="zh-CN"/>
              </w:rPr>
              <w:t>响应供应商承接过同类项目，每提供一个有效业绩得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zh-CN" w:eastAsia="zh-CN"/>
              </w:rPr>
              <w:t>分，最高得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zh-CN" w:eastAsia="zh-CN"/>
              </w:rPr>
              <w:t>分。</w:t>
            </w:r>
          </w:p>
          <w:p w14:paraId="5667593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rightChars="0"/>
              <w:jc w:val="both"/>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sz w:val="21"/>
                <w:szCs w:val="21"/>
                <w:highlight w:val="none"/>
                <w:lang w:val="zh-CN" w:eastAsia="zh-CN"/>
              </w:rPr>
              <w:t>注：</w:t>
            </w:r>
            <w:r>
              <w:rPr>
                <w:rFonts w:hint="eastAsia" w:ascii="宋体" w:hAnsi="宋体" w:cs="宋体"/>
                <w:color w:val="auto"/>
                <w:sz w:val="21"/>
                <w:szCs w:val="21"/>
                <w:highlight w:val="none"/>
                <w:lang w:val="en-US" w:eastAsia="zh-CN"/>
              </w:rPr>
              <w:t>须提供同类项目的《业绩情况一览表》，须</w:t>
            </w:r>
            <w:r>
              <w:rPr>
                <w:rFonts w:hint="eastAsia" w:ascii="宋体" w:hAnsi="宋体" w:eastAsia="宋体" w:cs="宋体"/>
                <w:color w:val="auto"/>
                <w:sz w:val="21"/>
                <w:szCs w:val="21"/>
                <w:highlight w:val="none"/>
                <w:lang w:val="zh-CN" w:eastAsia="zh-CN"/>
              </w:rPr>
              <w:t>提供项目合同关键页复印件</w:t>
            </w:r>
            <w:r>
              <w:rPr>
                <w:rFonts w:hint="eastAsia" w:ascii="宋体" w:hAnsi="宋体" w:eastAsia="宋体" w:cs="宋体"/>
                <w:b/>
                <w:bCs/>
                <w:color w:val="auto"/>
                <w:sz w:val="21"/>
                <w:szCs w:val="21"/>
                <w:highlight w:val="none"/>
                <w:lang w:val="zh-CN" w:eastAsia="zh-CN"/>
              </w:rPr>
              <w:t>（包括签订合同双方的单位名称、</w:t>
            </w:r>
            <w:r>
              <w:rPr>
                <w:rFonts w:hint="eastAsia" w:ascii="宋体" w:hAnsi="宋体" w:eastAsia="宋体" w:cs="宋体"/>
                <w:b/>
                <w:bCs/>
                <w:color w:val="auto"/>
                <w:sz w:val="21"/>
                <w:szCs w:val="21"/>
                <w:highlight w:val="none"/>
                <w:lang w:val="en-US" w:eastAsia="zh-CN"/>
              </w:rPr>
              <w:t>合同金额、</w:t>
            </w:r>
            <w:r>
              <w:rPr>
                <w:rFonts w:hint="eastAsia" w:ascii="宋体" w:hAnsi="宋体" w:eastAsia="宋体" w:cs="宋体"/>
                <w:b/>
                <w:bCs/>
                <w:color w:val="auto"/>
                <w:sz w:val="21"/>
                <w:szCs w:val="21"/>
                <w:highlight w:val="none"/>
                <w:lang w:val="zh-CN" w:eastAsia="zh-CN"/>
              </w:rPr>
              <w:t>项目内容、合同项目名称与含签订合同双方的落款盖章、签订日期</w:t>
            </w:r>
            <w:r>
              <w:rPr>
                <w:rFonts w:hint="eastAsia" w:ascii="宋体" w:hAnsi="宋体" w:eastAsia="宋体" w:cs="宋体"/>
                <w:b/>
                <w:bCs/>
                <w:color w:val="auto"/>
                <w:sz w:val="21"/>
                <w:szCs w:val="21"/>
                <w:highlight w:val="none"/>
                <w:lang w:val="en-US" w:eastAsia="zh-CN"/>
              </w:rPr>
              <w:t>等</w:t>
            </w:r>
            <w:r>
              <w:rPr>
                <w:rFonts w:hint="eastAsia" w:ascii="宋体" w:hAnsi="宋体" w:eastAsia="宋体" w:cs="宋体"/>
                <w:b/>
                <w:bCs/>
                <w:color w:val="auto"/>
                <w:sz w:val="21"/>
                <w:szCs w:val="21"/>
                <w:highlight w:val="none"/>
                <w:lang w:val="zh-CN" w:eastAsia="zh-CN"/>
              </w:rPr>
              <w:t>）</w:t>
            </w:r>
            <w:r>
              <w:rPr>
                <w:rFonts w:hint="eastAsia" w:ascii="宋体" w:hAnsi="宋体" w:eastAsia="宋体" w:cs="宋体"/>
                <w:b/>
                <w:bCs/>
                <w:color w:val="auto"/>
                <w:sz w:val="21"/>
                <w:szCs w:val="21"/>
                <w:highlight w:val="none"/>
                <w:lang w:val="en-US" w:eastAsia="zh-CN"/>
              </w:rPr>
              <w:t>并</w:t>
            </w:r>
            <w:r>
              <w:rPr>
                <w:rFonts w:hint="eastAsia" w:ascii="宋体" w:hAnsi="宋体" w:eastAsia="宋体" w:cs="宋体"/>
                <w:b/>
                <w:bCs/>
                <w:color w:val="auto"/>
                <w:sz w:val="21"/>
                <w:szCs w:val="21"/>
                <w:highlight w:val="none"/>
                <w:lang w:val="zh-CN" w:eastAsia="zh-CN"/>
              </w:rPr>
              <w:t>加盖供应商公章，不</w:t>
            </w:r>
            <w:r>
              <w:rPr>
                <w:rFonts w:hint="eastAsia" w:ascii="宋体" w:hAnsi="宋体" w:cs="宋体"/>
                <w:b/>
                <w:bCs/>
                <w:color w:val="auto"/>
                <w:sz w:val="21"/>
                <w:szCs w:val="21"/>
                <w:highlight w:val="none"/>
                <w:lang w:val="en-US" w:eastAsia="zh-CN"/>
              </w:rPr>
              <w:t>按要求</w:t>
            </w:r>
            <w:r>
              <w:rPr>
                <w:rFonts w:hint="eastAsia" w:ascii="宋体" w:hAnsi="宋体" w:eastAsia="宋体" w:cs="宋体"/>
                <w:b/>
                <w:bCs/>
                <w:color w:val="auto"/>
                <w:sz w:val="21"/>
                <w:szCs w:val="21"/>
                <w:highlight w:val="none"/>
                <w:lang w:val="zh-CN" w:eastAsia="zh-CN"/>
              </w:rPr>
              <w:t>提供不得分。</w:t>
            </w:r>
          </w:p>
        </w:tc>
      </w:tr>
      <w:tr w14:paraId="5225A165">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507" w:hRule="atLeast"/>
          <w:jc w:val="center"/>
        </w:trPr>
        <w:tc>
          <w:tcPr>
            <w:tcW w:w="615" w:type="pct"/>
            <w:vMerge w:val="continue"/>
            <w:tcBorders>
              <w:left w:val="single" w:color="auto" w:sz="4" w:space="0"/>
              <w:right w:val="single" w:color="auto" w:sz="4" w:space="0"/>
            </w:tcBorders>
            <w:shd w:val="clear" w:color="auto" w:fill="auto"/>
            <w:noWrap w:val="0"/>
            <w:tcMar>
              <w:left w:w="105" w:type="dxa"/>
              <w:right w:w="105" w:type="dxa"/>
            </w:tcMar>
            <w:vAlign w:val="center"/>
          </w:tcPr>
          <w:p w14:paraId="1C5336D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yellow"/>
                <w:lang w:eastAsia="zh-CN"/>
              </w:rPr>
            </w:pP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F9F1C1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right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rPr>
              <w:t>设备授权情况（</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w:t>
            </w: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6954925">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供应商提供设备制造商或代理商针对本</w:t>
            </w:r>
            <w:r>
              <w:rPr>
                <w:rFonts w:hint="eastAsia" w:asciiTheme="minorEastAsia" w:hAnsiTheme="minorEastAsia" w:eastAsiaTheme="minorEastAsia" w:cstheme="minorEastAsia"/>
                <w:sz w:val="21"/>
                <w:szCs w:val="21"/>
                <w:highlight w:val="none"/>
                <w:lang w:eastAsia="zh-CN"/>
              </w:rPr>
              <w:t>项目</w:t>
            </w:r>
            <w:r>
              <w:rPr>
                <w:rFonts w:hint="eastAsia" w:asciiTheme="minorEastAsia" w:hAnsiTheme="minorEastAsia" w:eastAsiaTheme="minorEastAsia" w:cstheme="minorEastAsia"/>
                <w:sz w:val="21"/>
                <w:szCs w:val="21"/>
                <w:highlight w:val="none"/>
              </w:rPr>
              <w:t>所投产品有效的授权文件（如为所投产品制造商，则提供制造商证明文件）的</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得</w:t>
            </w:r>
            <w:r>
              <w:rPr>
                <w:rFonts w:hint="eastAsia" w:asciiTheme="minorEastAsia" w:hAnsi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 xml:space="preserve">分，如供应商提供的授权文件为代理商针对本项目所投产品有效的授权文件的，还须同时提供设备制造商对代理商的有效授权文件，未按要求提供的得0分。 </w:t>
            </w:r>
          </w:p>
          <w:p w14:paraId="7DD0FE8F">
            <w:pPr>
              <w:pStyle w:val="25"/>
              <w:numPr>
                <w:ilvl w:val="0"/>
                <w:numId w:val="0"/>
              </w:numPr>
              <w:jc w:val="left"/>
              <w:rPr>
                <w:rFonts w:hint="eastAsia" w:ascii="宋体" w:hAnsi="宋体" w:eastAsia="宋体" w:cs="宋体"/>
                <w:color w:val="auto"/>
                <w:kern w:val="0"/>
                <w:sz w:val="21"/>
                <w:szCs w:val="21"/>
                <w:highlight w:val="none"/>
                <w:lang w:val="zh-CN" w:eastAsia="zh-CN" w:bidi="ar"/>
              </w:rPr>
            </w:pPr>
            <w:r>
              <w:rPr>
                <w:rFonts w:hint="eastAsia" w:asciiTheme="minorEastAsia" w:hAnsiTheme="minorEastAsia" w:eastAsiaTheme="minorEastAsia" w:cstheme="minorEastAsia"/>
                <w:sz w:val="21"/>
                <w:szCs w:val="21"/>
                <w:highlight w:val="none"/>
              </w:rPr>
              <w:t>注：</w:t>
            </w:r>
            <w:r>
              <w:rPr>
                <w:rFonts w:hint="eastAsia" w:asciiTheme="minorEastAsia" w:hAnsiTheme="minorEastAsia" w:eastAsiaTheme="minorEastAsia" w:cstheme="minorEastAsia"/>
                <w:sz w:val="21"/>
                <w:szCs w:val="21"/>
                <w:highlight w:val="none"/>
                <w:lang w:eastAsia="zh-CN"/>
              </w:rPr>
              <w:t>响应</w:t>
            </w:r>
            <w:r>
              <w:rPr>
                <w:rFonts w:hint="eastAsia" w:asciiTheme="minorEastAsia" w:hAnsiTheme="minorEastAsia" w:eastAsiaTheme="minorEastAsia" w:cstheme="minorEastAsia"/>
                <w:sz w:val="21"/>
                <w:szCs w:val="21"/>
                <w:highlight w:val="none"/>
              </w:rPr>
              <w:t>文件中提供授权文件复印件</w:t>
            </w:r>
            <w:r>
              <w:rPr>
                <w:rFonts w:hint="eastAsia" w:asciiTheme="minorEastAsia" w:hAnsiTheme="minorEastAsia" w:eastAsiaTheme="minorEastAsia" w:cstheme="minorEastAsia"/>
                <w:sz w:val="21"/>
                <w:szCs w:val="21"/>
                <w:highlight w:val="none"/>
                <w:lang w:eastAsia="zh-CN"/>
              </w:rPr>
              <w:t>（如为产品制造商的提供相关证明文件）</w:t>
            </w:r>
            <w:r>
              <w:rPr>
                <w:rFonts w:hint="eastAsia" w:asciiTheme="minorEastAsia" w:hAnsiTheme="minorEastAsia" w:eastAsiaTheme="minorEastAsia" w:cstheme="minorEastAsia"/>
                <w:sz w:val="21"/>
                <w:szCs w:val="21"/>
                <w:highlight w:val="none"/>
              </w:rPr>
              <w:t>加盖供应商公章。</w:t>
            </w:r>
          </w:p>
        </w:tc>
      </w:tr>
      <w:tr w14:paraId="4811E1E7">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615" w:type="pct"/>
            <w:vMerge w:val="continue"/>
            <w:tcBorders>
              <w:left w:val="single" w:color="auto" w:sz="4" w:space="0"/>
              <w:right w:val="single" w:color="auto" w:sz="4" w:space="0"/>
            </w:tcBorders>
            <w:shd w:val="clear" w:color="auto" w:fill="auto"/>
            <w:noWrap w:val="0"/>
            <w:tcMar>
              <w:left w:w="105" w:type="dxa"/>
              <w:right w:w="105" w:type="dxa"/>
            </w:tcMar>
            <w:vAlign w:val="center"/>
          </w:tcPr>
          <w:p w14:paraId="4D7D936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yellow"/>
                <w:lang w:eastAsia="zh-CN"/>
              </w:rPr>
            </w:pP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06932EC6">
            <w:pPr>
              <w:keepNext w:val="0"/>
              <w:keepLines w:val="0"/>
              <w:pageBreakBefore w:val="0"/>
              <w:widowControl/>
              <w:kinsoku/>
              <w:wordWrap/>
              <w:overflowPunct/>
              <w:topLinePunct w:val="0"/>
              <w:autoSpaceDE/>
              <w:autoSpaceDN/>
              <w:bidi w:val="0"/>
              <w:adjustRightInd/>
              <w:snapToGrid/>
              <w:spacing w:line="360" w:lineRule="exact"/>
              <w:ind w:left="210" w:leftChars="0" w:hanging="210" w:hangingChars="100"/>
              <w:jc w:val="center"/>
              <w:textAlignment w:val="auto"/>
              <w:rPr>
                <w:rFonts w:hint="eastAsia" w:ascii="宋体" w:hAnsi="宋体" w:eastAsia="宋体" w:cs="宋体"/>
                <w:color w:val="auto"/>
                <w:sz w:val="21"/>
                <w:szCs w:val="21"/>
                <w:highlight w:val="yellow"/>
                <w:lang w:eastAsia="zh-CN"/>
              </w:rPr>
            </w:pPr>
            <w:r>
              <w:rPr>
                <w:rFonts w:hint="eastAsia" w:ascii="宋体" w:hAnsi="宋体" w:cs="宋体"/>
                <w:color w:val="auto"/>
                <w:sz w:val="21"/>
                <w:szCs w:val="21"/>
                <w:highlight w:val="none"/>
                <w:lang w:val="en-US" w:eastAsia="zh-CN" w:bidi="ar"/>
              </w:rPr>
              <w:t>技术服务方案</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7A16BC09">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根据</w:t>
            </w:r>
            <w:r>
              <w:rPr>
                <w:rFonts w:hint="eastAsia" w:asciiTheme="minorEastAsia" w:hAnsiTheme="minorEastAsia" w:eastAsiaTheme="minorEastAsia" w:cstheme="minorEastAsia"/>
                <w:sz w:val="21"/>
                <w:szCs w:val="21"/>
                <w:highlight w:val="none"/>
                <w:lang w:val="en-US" w:eastAsia="zh-CN"/>
              </w:rPr>
              <w:t>供应商</w:t>
            </w:r>
            <w:r>
              <w:rPr>
                <w:rFonts w:hint="eastAsia" w:asciiTheme="minorEastAsia" w:hAnsiTheme="minorEastAsia" w:eastAsiaTheme="minorEastAsia" w:cstheme="minorEastAsia"/>
                <w:sz w:val="21"/>
                <w:szCs w:val="21"/>
                <w:highlight w:val="none"/>
              </w:rPr>
              <w:t>的安装、</w:t>
            </w:r>
            <w:r>
              <w:rPr>
                <w:rFonts w:hint="eastAsia" w:asciiTheme="minorEastAsia" w:hAnsiTheme="minorEastAsia" w:eastAsiaTheme="minorEastAsia" w:cstheme="minorEastAsia"/>
                <w:sz w:val="21"/>
                <w:szCs w:val="21"/>
                <w:highlight w:val="none"/>
                <w:lang w:val="en-US" w:eastAsia="zh-CN"/>
              </w:rPr>
              <w:t>检测、</w:t>
            </w:r>
            <w:r>
              <w:rPr>
                <w:rFonts w:hint="eastAsia" w:asciiTheme="minorEastAsia" w:hAnsiTheme="minorEastAsia" w:eastAsiaTheme="minorEastAsia" w:cstheme="minorEastAsia"/>
                <w:sz w:val="21"/>
                <w:szCs w:val="21"/>
                <w:highlight w:val="none"/>
              </w:rPr>
              <w:t>验收</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 xml:space="preserve">培训计划等情况进行评审： </w:t>
            </w:r>
          </w:p>
          <w:p w14:paraId="0BB85182">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安装、</w:t>
            </w:r>
            <w:r>
              <w:rPr>
                <w:rFonts w:hint="eastAsia" w:asciiTheme="minorEastAsia" w:hAnsiTheme="minorEastAsia" w:eastAsiaTheme="minorEastAsia" w:cstheme="minorEastAsia"/>
                <w:sz w:val="21"/>
                <w:szCs w:val="21"/>
                <w:highlight w:val="none"/>
                <w:lang w:val="en-US" w:eastAsia="zh-CN"/>
              </w:rPr>
              <w:t>检测、</w:t>
            </w:r>
            <w:r>
              <w:rPr>
                <w:rFonts w:hint="eastAsia" w:asciiTheme="minorEastAsia" w:hAnsiTheme="minorEastAsia" w:eastAsiaTheme="minorEastAsia" w:cstheme="minorEastAsia"/>
                <w:sz w:val="21"/>
                <w:szCs w:val="21"/>
                <w:highlight w:val="none"/>
              </w:rPr>
              <w:t>验收</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培训计划条理非常清晰，脉络分明，操作性强，人性化，能体现以人为本、服务至上的售后理念，得</w:t>
            </w:r>
            <w:r>
              <w:rPr>
                <w:rFonts w:hint="eastAsia" w:asciiTheme="minorEastAsia" w:hAnsiTheme="minorEastAsia" w:cstheme="minorEastAsia"/>
                <w:sz w:val="21"/>
                <w:szCs w:val="21"/>
                <w:highlight w:val="none"/>
                <w:lang w:val="en-US" w:eastAsia="zh-CN"/>
              </w:rPr>
              <w:t>10</w:t>
            </w:r>
            <w:r>
              <w:rPr>
                <w:rFonts w:hint="eastAsia" w:asciiTheme="minorEastAsia" w:hAnsiTheme="minorEastAsia" w:eastAsiaTheme="minorEastAsia" w:cstheme="minorEastAsia"/>
                <w:sz w:val="21"/>
                <w:szCs w:val="21"/>
                <w:highlight w:val="none"/>
              </w:rPr>
              <w:t>分；</w:t>
            </w:r>
          </w:p>
          <w:p w14:paraId="7A919F29">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安装、</w:t>
            </w:r>
            <w:r>
              <w:rPr>
                <w:rFonts w:hint="eastAsia" w:asciiTheme="minorEastAsia" w:hAnsiTheme="minorEastAsia" w:eastAsiaTheme="minorEastAsia" w:cstheme="minorEastAsia"/>
                <w:sz w:val="21"/>
                <w:szCs w:val="21"/>
                <w:highlight w:val="none"/>
                <w:lang w:val="en-US" w:eastAsia="zh-CN"/>
              </w:rPr>
              <w:t>检测、</w:t>
            </w:r>
            <w:r>
              <w:rPr>
                <w:rFonts w:hint="eastAsia" w:asciiTheme="minorEastAsia" w:hAnsiTheme="minorEastAsia" w:eastAsiaTheme="minorEastAsia" w:cstheme="minorEastAsia"/>
                <w:sz w:val="21"/>
                <w:szCs w:val="21"/>
                <w:highlight w:val="none"/>
              </w:rPr>
              <w:t>验收</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培训计划条理较清晰，脉络较分明，操作性较强，基本体现以人为本、服务至上的售后理念，得</w:t>
            </w:r>
            <w:r>
              <w:rPr>
                <w:rFonts w:hint="eastAsia" w:asciiTheme="minorEastAsia" w:hAnsiTheme="minorEastAsia" w:cstheme="minorEastAsia"/>
                <w:sz w:val="21"/>
                <w:szCs w:val="21"/>
                <w:highlight w:val="none"/>
                <w:lang w:val="en-US" w:eastAsia="zh-CN"/>
              </w:rPr>
              <w:t>7</w:t>
            </w:r>
            <w:r>
              <w:rPr>
                <w:rFonts w:hint="eastAsia" w:asciiTheme="minorEastAsia" w:hAnsiTheme="minorEastAsia" w:eastAsiaTheme="minorEastAsia" w:cstheme="minorEastAsia"/>
                <w:sz w:val="21"/>
                <w:szCs w:val="21"/>
                <w:highlight w:val="none"/>
              </w:rPr>
              <w:t>分；</w:t>
            </w:r>
          </w:p>
          <w:p w14:paraId="7A1A0D76">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安装、</w:t>
            </w:r>
            <w:r>
              <w:rPr>
                <w:rFonts w:hint="eastAsia" w:asciiTheme="minorEastAsia" w:hAnsiTheme="minorEastAsia" w:eastAsiaTheme="minorEastAsia" w:cstheme="minorEastAsia"/>
                <w:sz w:val="21"/>
                <w:szCs w:val="21"/>
                <w:highlight w:val="none"/>
                <w:lang w:val="en-US" w:eastAsia="zh-CN"/>
              </w:rPr>
              <w:t>检测、</w:t>
            </w:r>
            <w:r>
              <w:rPr>
                <w:rFonts w:hint="eastAsia" w:asciiTheme="minorEastAsia" w:hAnsiTheme="minorEastAsia" w:eastAsiaTheme="minorEastAsia" w:cstheme="minorEastAsia"/>
                <w:sz w:val="21"/>
                <w:szCs w:val="21"/>
                <w:highlight w:val="none"/>
              </w:rPr>
              <w:t>验收</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培训计划条理一般，脉络不分明，操作性一般，以人为本、服务至上的售后理念含糊，得</w:t>
            </w:r>
            <w:r>
              <w:rPr>
                <w:rFonts w:hint="eastAsia" w:asciiTheme="minorEastAsia" w:hAnsi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 xml:space="preserve">分； </w:t>
            </w:r>
          </w:p>
          <w:p w14:paraId="5968769F">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安装、</w:t>
            </w:r>
            <w:r>
              <w:rPr>
                <w:rFonts w:hint="eastAsia" w:asciiTheme="minorEastAsia" w:hAnsiTheme="minorEastAsia" w:eastAsiaTheme="minorEastAsia" w:cstheme="minorEastAsia"/>
                <w:sz w:val="21"/>
                <w:szCs w:val="21"/>
                <w:highlight w:val="none"/>
                <w:lang w:val="en-US" w:eastAsia="zh-CN"/>
              </w:rPr>
              <w:t>检测、</w:t>
            </w:r>
            <w:r>
              <w:rPr>
                <w:rFonts w:hint="eastAsia" w:asciiTheme="minorEastAsia" w:hAnsiTheme="minorEastAsia" w:eastAsiaTheme="minorEastAsia" w:cstheme="minorEastAsia"/>
                <w:sz w:val="21"/>
                <w:szCs w:val="21"/>
                <w:highlight w:val="none"/>
              </w:rPr>
              <w:t>验收</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培训计划条理模糊，脉络混乱，操作性差，不能体现以人为本、服务至上的售后理念，得</w:t>
            </w:r>
            <w:r>
              <w:rPr>
                <w:rFonts w:hint="eastAsia" w:asciiTheme="minorEastAsia" w:hAnsi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 xml:space="preserve">分； </w:t>
            </w:r>
          </w:p>
          <w:p w14:paraId="5DCD6B3B">
            <w:pPr>
              <w:pStyle w:val="25"/>
              <w:numPr>
                <w:ilvl w:val="0"/>
                <w:numId w:val="0"/>
              </w:numPr>
              <w:ind w:left="0" w:leftChars="0" w:firstLine="0" w:firstLineChars="0"/>
              <w:jc w:val="left"/>
              <w:rPr>
                <w:rFonts w:hint="eastAsia"/>
                <w:sz w:val="21"/>
                <w:szCs w:val="21"/>
                <w:highlight w:val="none"/>
                <w:lang w:val="zh-CN" w:eastAsia="zh-CN"/>
              </w:rPr>
            </w:pP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不提供方案的不得分。</w:t>
            </w:r>
          </w:p>
        </w:tc>
      </w:tr>
      <w:tr w14:paraId="267153EF">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615" w:type="pct"/>
            <w:vMerge w:val="continue"/>
            <w:tcBorders>
              <w:left w:val="single" w:color="auto" w:sz="4" w:space="0"/>
              <w:right w:val="single" w:color="auto" w:sz="4" w:space="0"/>
            </w:tcBorders>
            <w:shd w:val="clear" w:color="auto" w:fill="auto"/>
            <w:noWrap w:val="0"/>
            <w:tcMar>
              <w:left w:w="105" w:type="dxa"/>
              <w:right w:w="105" w:type="dxa"/>
            </w:tcMar>
            <w:vAlign w:val="center"/>
          </w:tcPr>
          <w:p w14:paraId="013901B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yellow"/>
                <w:lang w:eastAsia="zh-CN"/>
              </w:rPr>
            </w:pP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7995120D">
            <w:pPr>
              <w:keepNext w:val="0"/>
              <w:keepLines w:val="0"/>
              <w:pageBreakBefore w:val="0"/>
              <w:kinsoku/>
              <w:overflowPunct/>
              <w:topLinePunct w:val="0"/>
              <w:bidi w:val="0"/>
              <w:spacing w:line="360" w:lineRule="exact"/>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sz w:val="21"/>
                <w:szCs w:val="21"/>
                <w:highlight w:val="none"/>
              </w:rPr>
              <w:t>售后服务承诺</w:t>
            </w:r>
            <w:r>
              <w:rPr>
                <w:rFonts w:hint="eastAsia" w:ascii="宋体" w:hAnsi="宋体" w:cs="宋体"/>
                <w:sz w:val="21"/>
                <w:szCs w:val="21"/>
                <w:highlight w:val="none"/>
                <w:lang w:val="en-US" w:eastAsia="zh-CN"/>
              </w:rPr>
              <w:t>方案</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val="en-US" w:eastAsia="zh-CN"/>
              </w:rPr>
              <w:t>13</w:t>
            </w:r>
            <w:r>
              <w:rPr>
                <w:rFonts w:hint="eastAsia" w:ascii="宋体" w:hAnsi="宋体" w:eastAsia="宋体" w:cs="宋体"/>
                <w:sz w:val="21"/>
                <w:szCs w:val="21"/>
                <w:highlight w:val="none"/>
              </w:rPr>
              <w:t>分)</w:t>
            </w: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05955305">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根据供应商的售后服务承诺方案进行评审（包括质</w:t>
            </w:r>
            <w:r>
              <w:rPr>
                <w:rFonts w:hint="eastAsia" w:asciiTheme="minorEastAsia" w:hAnsiTheme="minorEastAsia" w:eastAsiaTheme="minorEastAsia" w:cstheme="minorEastAsia"/>
                <w:sz w:val="21"/>
                <w:szCs w:val="21"/>
                <w:highlight w:val="none"/>
                <w:lang w:val="en-US" w:eastAsia="zh-CN"/>
              </w:rPr>
              <w:t>量保证</w:t>
            </w:r>
            <w:r>
              <w:rPr>
                <w:rFonts w:hint="eastAsia" w:asciiTheme="minorEastAsia" w:hAnsiTheme="minorEastAsia" w:eastAsiaTheme="minorEastAsia" w:cstheme="minorEastAsia"/>
                <w:sz w:val="21"/>
                <w:szCs w:val="21"/>
                <w:highlight w:val="none"/>
              </w:rPr>
              <w:t>期、</w:t>
            </w:r>
            <w:r>
              <w:rPr>
                <w:rFonts w:hint="eastAsia" w:asciiTheme="minorEastAsia" w:hAnsiTheme="minorEastAsia" w:eastAsiaTheme="minorEastAsia" w:cstheme="minorEastAsia"/>
                <w:sz w:val="21"/>
                <w:szCs w:val="21"/>
                <w:highlight w:val="none"/>
                <w:lang w:val="en-US" w:eastAsia="zh-CN"/>
              </w:rPr>
              <w:t>承诺提供的设备生产日期、</w:t>
            </w:r>
            <w:r>
              <w:rPr>
                <w:rFonts w:hint="eastAsia" w:asciiTheme="minorEastAsia" w:hAnsiTheme="minorEastAsia" w:eastAsiaTheme="minorEastAsia" w:cstheme="minorEastAsia"/>
                <w:sz w:val="21"/>
                <w:szCs w:val="21"/>
                <w:highlight w:val="none"/>
              </w:rPr>
              <w:t>维护保养</w:t>
            </w:r>
            <w:r>
              <w:rPr>
                <w:rFonts w:hint="eastAsia" w:asciiTheme="minorEastAsia" w:hAnsiTheme="minorEastAsia" w:cstheme="minorEastAsia"/>
                <w:sz w:val="21"/>
                <w:szCs w:val="21"/>
                <w:highlight w:val="none"/>
                <w:lang w:eastAsia="zh-CN"/>
              </w:rPr>
              <w:t>、</w:t>
            </w:r>
            <w:r>
              <w:rPr>
                <w:rFonts w:hint="eastAsia" w:asciiTheme="minorEastAsia" w:hAnsiTheme="minorEastAsia" w:cstheme="minorEastAsia"/>
                <w:sz w:val="21"/>
                <w:szCs w:val="21"/>
                <w:highlight w:val="none"/>
                <w:lang w:val="en-US" w:eastAsia="zh-CN"/>
              </w:rPr>
              <w:t>服务响应</w:t>
            </w:r>
            <w:r>
              <w:rPr>
                <w:rFonts w:hint="eastAsia" w:asciiTheme="minorEastAsia" w:hAnsiTheme="minorEastAsia" w:eastAsiaTheme="minorEastAsia" w:cstheme="minorEastAsia"/>
                <w:sz w:val="21"/>
                <w:szCs w:val="21"/>
                <w:highlight w:val="none"/>
              </w:rPr>
              <w:t>等内容）：</w:t>
            </w:r>
          </w:p>
          <w:p w14:paraId="5DFA8C8C">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承诺的质量保证期明确</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质量保证期</w:t>
            </w:r>
            <w:r>
              <w:rPr>
                <w:rFonts w:hint="eastAsia" w:asciiTheme="minorEastAsia" w:hAnsiTheme="minorEastAsia" w:cstheme="minorEastAsia"/>
                <w:sz w:val="21"/>
                <w:szCs w:val="21"/>
                <w:highlight w:val="none"/>
                <w:lang w:val="en-US" w:eastAsia="zh-CN"/>
              </w:rPr>
              <w:t>或所提供的设备</w:t>
            </w:r>
            <w:r>
              <w:rPr>
                <w:rFonts w:hint="eastAsia" w:asciiTheme="minorEastAsia" w:hAnsiTheme="minorEastAsia" w:eastAsiaTheme="minorEastAsia" w:cstheme="minorEastAsia"/>
                <w:sz w:val="21"/>
                <w:szCs w:val="21"/>
                <w:highlight w:val="none"/>
              </w:rPr>
              <w:t>优于</w:t>
            </w:r>
            <w:r>
              <w:rPr>
                <w:rFonts w:hint="eastAsia" w:asciiTheme="minorEastAsia" w:hAnsiTheme="minorEastAsia" w:eastAsiaTheme="minorEastAsia" w:cstheme="minorEastAsia"/>
                <w:sz w:val="21"/>
                <w:szCs w:val="21"/>
                <w:highlight w:val="none"/>
                <w:lang w:eastAsia="zh-CN"/>
              </w:rPr>
              <w:t>比选</w:t>
            </w:r>
            <w:r>
              <w:rPr>
                <w:rFonts w:hint="eastAsia" w:asciiTheme="minorEastAsia" w:hAnsiTheme="minorEastAsia" w:eastAsiaTheme="minorEastAsia" w:cstheme="minorEastAsia"/>
                <w:sz w:val="21"/>
                <w:szCs w:val="21"/>
                <w:highlight w:val="none"/>
                <w:lang w:val="en-US" w:eastAsia="zh-CN"/>
              </w:rPr>
              <w:t>文件</w:t>
            </w:r>
            <w:r>
              <w:rPr>
                <w:rFonts w:hint="eastAsia" w:asciiTheme="minorEastAsia" w:hAnsiTheme="minorEastAsia" w:eastAsiaTheme="minorEastAsia" w:cstheme="minorEastAsia"/>
                <w:sz w:val="21"/>
                <w:szCs w:val="21"/>
                <w:highlight w:val="none"/>
              </w:rPr>
              <w:t>要求，售后服务内容详细、可行、操作性强，售后服务专业、解决问题效率高，服务响应到场时间短，零配件供应详细、合理，切合实际，完全响应并满足</w:t>
            </w:r>
            <w:r>
              <w:rPr>
                <w:rFonts w:hint="eastAsia" w:asciiTheme="minorEastAsia" w:hAnsiTheme="minorEastAsia" w:eastAsiaTheme="minorEastAsia" w:cstheme="minorEastAsia"/>
                <w:sz w:val="21"/>
                <w:szCs w:val="21"/>
                <w:highlight w:val="none"/>
                <w:lang w:eastAsia="zh-CN"/>
              </w:rPr>
              <w:t>采购需求</w:t>
            </w:r>
            <w:r>
              <w:rPr>
                <w:rFonts w:hint="eastAsia" w:asciiTheme="minorEastAsia" w:hAnsiTheme="minorEastAsia" w:eastAsiaTheme="minorEastAsia" w:cstheme="minorEastAsia"/>
                <w:sz w:val="21"/>
                <w:szCs w:val="21"/>
                <w:highlight w:val="none"/>
              </w:rPr>
              <w:t>的，得</w:t>
            </w:r>
            <w:r>
              <w:rPr>
                <w:rFonts w:hint="eastAsia" w:asciiTheme="minorEastAsia" w:hAnsiTheme="minorEastAsia" w:cstheme="minorEastAsia"/>
                <w:sz w:val="21"/>
                <w:szCs w:val="21"/>
                <w:highlight w:val="none"/>
                <w:lang w:val="en-US" w:eastAsia="zh-CN"/>
              </w:rPr>
              <w:t>13</w:t>
            </w:r>
            <w:r>
              <w:rPr>
                <w:rFonts w:hint="eastAsia" w:asciiTheme="minorEastAsia" w:hAnsiTheme="minorEastAsia" w:eastAsiaTheme="minorEastAsia" w:cstheme="minorEastAsia"/>
                <w:sz w:val="21"/>
                <w:szCs w:val="21"/>
                <w:highlight w:val="none"/>
              </w:rPr>
              <w:t xml:space="preserve">分； </w:t>
            </w:r>
          </w:p>
          <w:p w14:paraId="5DBA8BB5">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承诺的质量保证期明确，</w:t>
            </w:r>
            <w:r>
              <w:rPr>
                <w:rFonts w:hint="eastAsia" w:asciiTheme="minorEastAsia" w:hAnsiTheme="minorEastAsia" w:eastAsiaTheme="minorEastAsia" w:cstheme="minorEastAsia"/>
                <w:sz w:val="21"/>
                <w:szCs w:val="21"/>
                <w:highlight w:val="none"/>
                <w:lang w:val="en-US" w:eastAsia="zh-CN"/>
              </w:rPr>
              <w:t>质量保证期和</w:t>
            </w:r>
            <w:r>
              <w:rPr>
                <w:rFonts w:hint="eastAsia" w:asciiTheme="minorEastAsia" w:hAnsiTheme="minorEastAsia" w:cstheme="minorEastAsia"/>
                <w:sz w:val="21"/>
                <w:szCs w:val="21"/>
                <w:highlight w:val="none"/>
                <w:lang w:val="en-US" w:eastAsia="zh-CN"/>
              </w:rPr>
              <w:t>所提供的设备</w:t>
            </w:r>
            <w:r>
              <w:rPr>
                <w:rFonts w:hint="eastAsia" w:asciiTheme="minorEastAsia" w:hAnsiTheme="minorEastAsia" w:eastAsiaTheme="minorEastAsia" w:cstheme="minorEastAsia"/>
                <w:sz w:val="21"/>
                <w:szCs w:val="21"/>
                <w:highlight w:val="none"/>
              </w:rPr>
              <w:t>满足</w:t>
            </w:r>
            <w:r>
              <w:rPr>
                <w:rFonts w:hint="eastAsia" w:asciiTheme="minorEastAsia" w:hAnsiTheme="minorEastAsia" w:eastAsiaTheme="minorEastAsia" w:cstheme="minorEastAsia"/>
                <w:sz w:val="21"/>
                <w:szCs w:val="21"/>
                <w:highlight w:val="none"/>
                <w:lang w:eastAsia="zh-CN"/>
              </w:rPr>
              <w:t>比选</w:t>
            </w:r>
            <w:r>
              <w:rPr>
                <w:rFonts w:hint="eastAsia" w:asciiTheme="minorEastAsia" w:hAnsiTheme="minorEastAsia" w:eastAsiaTheme="minorEastAsia" w:cstheme="minorEastAsia"/>
                <w:sz w:val="21"/>
                <w:szCs w:val="21"/>
                <w:highlight w:val="none"/>
                <w:lang w:val="en-US" w:eastAsia="zh-CN"/>
              </w:rPr>
              <w:t>文件</w:t>
            </w:r>
            <w:r>
              <w:rPr>
                <w:rFonts w:hint="eastAsia" w:asciiTheme="minorEastAsia" w:hAnsiTheme="minorEastAsia" w:eastAsiaTheme="minorEastAsia" w:cstheme="minorEastAsia"/>
                <w:sz w:val="21"/>
                <w:szCs w:val="21"/>
                <w:highlight w:val="none"/>
              </w:rPr>
              <w:t>要求，售后服务内容较详细、可行，售后服务较专业、解决问题效率较高，服务响应到场时间较短，零配件供应较详细、合理，较能满足</w:t>
            </w:r>
            <w:r>
              <w:rPr>
                <w:rFonts w:hint="eastAsia" w:asciiTheme="minorEastAsia" w:hAnsiTheme="minorEastAsia" w:eastAsiaTheme="minorEastAsia" w:cstheme="minorEastAsia"/>
                <w:sz w:val="21"/>
                <w:szCs w:val="21"/>
                <w:highlight w:val="none"/>
                <w:lang w:eastAsia="zh-CN"/>
              </w:rPr>
              <w:t>采购需求</w:t>
            </w:r>
            <w:r>
              <w:rPr>
                <w:rFonts w:hint="eastAsia" w:asciiTheme="minorEastAsia" w:hAnsiTheme="minorEastAsia" w:eastAsiaTheme="minorEastAsia" w:cstheme="minorEastAsia"/>
                <w:sz w:val="21"/>
                <w:szCs w:val="21"/>
                <w:highlight w:val="none"/>
              </w:rPr>
              <w:t>的，得</w:t>
            </w:r>
            <w:r>
              <w:rPr>
                <w:rFonts w:hint="eastAsia" w:asciiTheme="minorEastAsia" w:hAnsiTheme="minorEastAsia" w:cstheme="minorEastAsia"/>
                <w:sz w:val="21"/>
                <w:szCs w:val="21"/>
                <w:highlight w:val="none"/>
                <w:lang w:val="en-US" w:eastAsia="zh-CN"/>
              </w:rPr>
              <w:t>9</w:t>
            </w:r>
            <w:r>
              <w:rPr>
                <w:rFonts w:hint="eastAsia" w:asciiTheme="minorEastAsia" w:hAnsiTheme="minorEastAsia" w:eastAsiaTheme="minorEastAsia" w:cstheme="minorEastAsia"/>
                <w:sz w:val="21"/>
                <w:szCs w:val="21"/>
                <w:highlight w:val="none"/>
              </w:rPr>
              <w:t xml:space="preserve">分； </w:t>
            </w:r>
          </w:p>
          <w:p w14:paraId="463C661D">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承诺的质量保证期基本明确，</w:t>
            </w:r>
            <w:r>
              <w:rPr>
                <w:rFonts w:hint="eastAsia" w:asciiTheme="minorEastAsia" w:hAnsiTheme="minorEastAsia" w:eastAsiaTheme="minorEastAsia" w:cstheme="minorEastAsia"/>
                <w:sz w:val="21"/>
                <w:szCs w:val="21"/>
                <w:highlight w:val="none"/>
                <w:lang w:val="en-US" w:eastAsia="zh-CN"/>
              </w:rPr>
              <w:t>质量保证期或</w:t>
            </w:r>
            <w:r>
              <w:rPr>
                <w:rFonts w:hint="eastAsia" w:asciiTheme="minorEastAsia" w:hAnsiTheme="minorEastAsia" w:cstheme="minorEastAsia"/>
                <w:sz w:val="21"/>
                <w:szCs w:val="21"/>
                <w:highlight w:val="none"/>
                <w:lang w:val="en-US" w:eastAsia="zh-CN"/>
              </w:rPr>
              <w:t>所提供的设备基本</w:t>
            </w:r>
            <w:r>
              <w:rPr>
                <w:rFonts w:hint="eastAsia" w:asciiTheme="minorEastAsia" w:hAnsiTheme="minorEastAsia" w:eastAsiaTheme="minorEastAsia" w:cstheme="minorEastAsia"/>
                <w:sz w:val="21"/>
                <w:szCs w:val="21"/>
                <w:highlight w:val="none"/>
                <w:lang w:val="en-US" w:eastAsia="zh-CN"/>
              </w:rPr>
              <w:t>满足比选文件要求，</w:t>
            </w:r>
            <w:r>
              <w:rPr>
                <w:rFonts w:hint="eastAsia" w:asciiTheme="minorEastAsia" w:hAnsiTheme="minorEastAsia" w:eastAsiaTheme="minorEastAsia" w:cstheme="minorEastAsia"/>
                <w:sz w:val="21"/>
                <w:szCs w:val="21"/>
                <w:highlight w:val="none"/>
              </w:rPr>
              <w:t>售后服务内容简单，解决问题效率一般，服务响应到场时间较长，零配件供应不详尽，不能完全响应</w:t>
            </w:r>
            <w:r>
              <w:rPr>
                <w:rFonts w:hint="eastAsia" w:asciiTheme="minorEastAsia" w:hAnsiTheme="minorEastAsia" w:eastAsiaTheme="minorEastAsia" w:cstheme="minorEastAsia"/>
                <w:sz w:val="21"/>
                <w:szCs w:val="21"/>
                <w:highlight w:val="none"/>
                <w:lang w:eastAsia="zh-CN"/>
              </w:rPr>
              <w:t>采购需求</w:t>
            </w:r>
            <w:r>
              <w:rPr>
                <w:rFonts w:hint="eastAsia" w:asciiTheme="minorEastAsia" w:hAnsiTheme="minorEastAsia" w:eastAsiaTheme="minorEastAsia" w:cstheme="minorEastAsia"/>
                <w:sz w:val="21"/>
                <w:szCs w:val="21"/>
                <w:highlight w:val="none"/>
              </w:rPr>
              <w:t>的得</w:t>
            </w:r>
            <w:r>
              <w:rPr>
                <w:rFonts w:hint="eastAsia" w:asciiTheme="minorEastAsia" w:hAnsi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 xml:space="preserve">分； </w:t>
            </w:r>
          </w:p>
          <w:p w14:paraId="48C09BA7">
            <w:pPr>
              <w:pStyle w:val="25"/>
              <w:numPr>
                <w:ilvl w:val="0"/>
                <w:numId w:val="0"/>
              </w:numPr>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售后服务内容、质量保证期模糊不清，</w:t>
            </w:r>
            <w:r>
              <w:rPr>
                <w:rFonts w:hint="eastAsia" w:asciiTheme="minorEastAsia" w:hAnsiTheme="minorEastAsia" w:cstheme="minorEastAsia"/>
                <w:sz w:val="21"/>
                <w:szCs w:val="21"/>
                <w:highlight w:val="none"/>
                <w:lang w:val="en-US" w:eastAsia="zh-CN"/>
              </w:rPr>
              <w:t>所提供的设备</w:t>
            </w:r>
            <w:r>
              <w:rPr>
                <w:rFonts w:hint="eastAsia" w:asciiTheme="minorEastAsia" w:hAnsiTheme="minorEastAsia" w:eastAsiaTheme="minorEastAsia" w:cstheme="minorEastAsia"/>
                <w:sz w:val="21"/>
                <w:szCs w:val="21"/>
                <w:highlight w:val="none"/>
                <w:lang w:val="en-US" w:eastAsia="zh-CN"/>
              </w:rPr>
              <w:t>不能满足比选文件要求，</w:t>
            </w:r>
            <w:r>
              <w:rPr>
                <w:rFonts w:hint="eastAsia" w:asciiTheme="minorEastAsia" w:hAnsiTheme="minorEastAsia" w:eastAsiaTheme="minorEastAsia" w:cstheme="minorEastAsia"/>
                <w:sz w:val="21"/>
                <w:szCs w:val="21"/>
                <w:highlight w:val="none"/>
              </w:rPr>
              <w:t>售后服务差，服务响应到场时间等不满足</w:t>
            </w:r>
            <w:r>
              <w:rPr>
                <w:rFonts w:hint="eastAsia" w:asciiTheme="minorEastAsia" w:hAnsiTheme="minorEastAsia" w:eastAsiaTheme="minorEastAsia" w:cstheme="minorEastAsia"/>
                <w:sz w:val="21"/>
                <w:szCs w:val="21"/>
                <w:highlight w:val="none"/>
                <w:lang w:eastAsia="zh-CN"/>
              </w:rPr>
              <w:t>采购需求或</w:t>
            </w:r>
            <w:r>
              <w:rPr>
                <w:rFonts w:hint="eastAsia" w:asciiTheme="minorEastAsia" w:hAnsiTheme="minorEastAsia" w:eastAsiaTheme="minorEastAsia" w:cstheme="minorEastAsia"/>
                <w:sz w:val="21"/>
                <w:szCs w:val="21"/>
                <w:highlight w:val="none"/>
              </w:rPr>
              <w:t>不提供方案</w:t>
            </w:r>
            <w:r>
              <w:rPr>
                <w:rFonts w:hint="eastAsia" w:asciiTheme="minorEastAsia" w:hAnsiTheme="minorEastAsia" w:eastAsiaTheme="minorEastAsia" w:cstheme="minorEastAsia"/>
                <w:sz w:val="21"/>
                <w:szCs w:val="21"/>
                <w:highlight w:val="none"/>
                <w:lang w:eastAsia="zh-CN"/>
              </w:rPr>
              <w:t>的</w:t>
            </w:r>
            <w:r>
              <w:rPr>
                <w:rFonts w:hint="eastAsia" w:asciiTheme="minorEastAsia" w:hAnsiTheme="minorEastAsia" w:eastAsiaTheme="minorEastAsia" w:cstheme="minorEastAsia"/>
                <w:sz w:val="21"/>
                <w:szCs w:val="21"/>
                <w:highlight w:val="none"/>
              </w:rPr>
              <w:t>，得</w:t>
            </w:r>
            <w:r>
              <w:rPr>
                <w:rFonts w:hint="eastAsia" w:asciiTheme="minorEastAsia" w:hAnsi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分</w:t>
            </w:r>
            <w:r>
              <w:rPr>
                <w:rFonts w:hint="eastAsia" w:asciiTheme="minorEastAsia" w:hAnsiTheme="minorEastAsia" w:eastAsiaTheme="minorEastAsia" w:cstheme="minorEastAsia"/>
                <w:sz w:val="21"/>
                <w:szCs w:val="21"/>
                <w:highlight w:val="none"/>
                <w:lang w:val="en-US" w:eastAsia="zh-CN"/>
              </w:rPr>
              <w:t>；</w:t>
            </w:r>
          </w:p>
          <w:p w14:paraId="52057C87">
            <w:pPr>
              <w:pStyle w:val="25"/>
              <w:numPr>
                <w:ilvl w:val="0"/>
                <w:numId w:val="0"/>
              </w:numPr>
              <w:ind w:left="0" w:leftChars="0" w:firstLine="0" w:firstLineChars="0"/>
              <w:jc w:val="left"/>
              <w:rPr>
                <w:rFonts w:hint="eastAsia" w:ascii="宋体" w:hAnsi="宋体" w:eastAsia="宋体" w:cs="宋体"/>
                <w:color w:val="auto"/>
                <w:sz w:val="21"/>
                <w:szCs w:val="21"/>
                <w:highlight w:val="none"/>
                <w:lang w:val="zh-CN" w:eastAsia="zh-CN" w:bidi="ar"/>
              </w:rPr>
            </w:pPr>
            <w:r>
              <w:rPr>
                <w:rFonts w:hint="eastAsia" w:asciiTheme="minorEastAsia" w:hAnsi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lang w:val="en-US" w:eastAsia="zh-CN"/>
              </w:rPr>
              <w:t>不提供方案不得分。</w:t>
            </w:r>
          </w:p>
        </w:tc>
      </w:tr>
    </w:tbl>
    <w:p w14:paraId="7568A1F1">
      <w:pPr>
        <w:keepNext w:val="0"/>
        <w:keepLines w:val="0"/>
        <w:pageBreakBefore w:val="0"/>
        <w:widowControl w:val="0"/>
        <w:kinsoku/>
        <w:wordWrap/>
        <w:overflowPunct/>
        <w:topLinePunct w:val="0"/>
        <w:bidi w:val="0"/>
        <w:adjustRightInd w:val="0"/>
        <w:snapToGrid w:val="0"/>
        <w:spacing w:line="360" w:lineRule="exact"/>
        <w:ind w:left="0" w:leftChars="0" w:firstLine="422" w:firstLineChars="200"/>
        <w:jc w:val="both"/>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十</w:t>
      </w:r>
      <w:r>
        <w:rPr>
          <w:rFonts w:hint="eastAsia" w:ascii="宋体" w:hAnsi="宋体" w:eastAsia="宋体" w:cs="宋体"/>
          <w:b/>
          <w:bCs/>
          <w:color w:val="auto"/>
          <w:sz w:val="21"/>
          <w:szCs w:val="21"/>
          <w:highlight w:val="none"/>
          <w:lang w:eastAsia="zh-CN"/>
        </w:rPr>
        <w:t>、</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将不承担供应商准备响应文件和递交响应文件以及参加本次</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活动所发生的任何成本或费用。</w:t>
      </w:r>
    </w:p>
    <w:p w14:paraId="43C3739E">
      <w:pPr>
        <w:keepNext w:val="0"/>
        <w:keepLines w:val="0"/>
        <w:pageBreakBefore w:val="0"/>
        <w:widowControl w:val="0"/>
        <w:kinsoku/>
        <w:wordWrap/>
        <w:overflowPunct/>
        <w:topLinePunct w:val="0"/>
        <w:bidi w:val="0"/>
        <w:adjustRightInd w:val="0"/>
        <w:snapToGrid w:val="0"/>
        <w:spacing w:line="360" w:lineRule="exact"/>
        <w:ind w:left="0" w:leftChars="0" w:firstLine="422" w:firstLineChars="2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十</w:t>
      </w:r>
      <w:r>
        <w:rPr>
          <w:rFonts w:hint="eastAsia" w:ascii="宋体" w:hAnsi="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、联系</w:t>
      </w:r>
      <w:r>
        <w:rPr>
          <w:rFonts w:hint="eastAsia" w:ascii="宋体" w:hAnsi="宋体" w:eastAsia="宋体" w:cs="宋体"/>
          <w:b/>
          <w:bCs/>
          <w:color w:val="auto"/>
          <w:sz w:val="21"/>
          <w:szCs w:val="21"/>
          <w:highlight w:val="none"/>
          <w:lang w:eastAsia="zh-CN"/>
        </w:rPr>
        <w:t>信息</w:t>
      </w:r>
    </w:p>
    <w:p w14:paraId="1F80066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default" w:ascii="宋体" w:hAnsi="宋体" w:eastAsia="宋体" w:cs="宋体"/>
          <w:sz w:val="21"/>
          <w:szCs w:val="21"/>
          <w:lang w:val="en-US"/>
        </w:rPr>
      </w:pP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一</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采购人基本信息</w:t>
      </w:r>
    </w:p>
    <w:p w14:paraId="435A6D6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名称：</w:t>
      </w:r>
      <w:r>
        <w:rPr>
          <w:rFonts w:hint="eastAsia" w:ascii="宋体" w:hAnsi="宋体" w:eastAsia="宋体" w:cs="宋体"/>
          <w:color w:val="000000"/>
          <w:sz w:val="21"/>
          <w:szCs w:val="21"/>
          <w:lang w:eastAsia="zh-CN"/>
        </w:rPr>
        <w:t>中山市板芙医院</w:t>
      </w:r>
    </w:p>
    <w:p w14:paraId="33B9F8A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地址：</w:t>
      </w:r>
      <w:r>
        <w:rPr>
          <w:rFonts w:hint="eastAsia" w:ascii="宋体" w:hAnsi="宋体" w:eastAsia="宋体" w:cs="宋体"/>
          <w:color w:val="000000"/>
          <w:sz w:val="21"/>
          <w:szCs w:val="21"/>
          <w:lang w:eastAsia="zh-CN"/>
        </w:rPr>
        <w:t>中山市板芙镇芙中路</w:t>
      </w:r>
      <w:r>
        <w:rPr>
          <w:rFonts w:hint="eastAsia" w:ascii="宋体" w:hAnsi="宋体" w:eastAsia="宋体" w:cs="宋体"/>
          <w:color w:val="000000"/>
          <w:sz w:val="21"/>
          <w:szCs w:val="21"/>
          <w:lang w:val="en-US" w:eastAsia="zh-CN"/>
        </w:rPr>
        <w:t>1号</w:t>
      </w:r>
    </w:p>
    <w:p w14:paraId="7F1F651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rPr>
        <w:t>联系</w:t>
      </w:r>
      <w:r>
        <w:rPr>
          <w:rFonts w:hint="eastAsia" w:ascii="宋体" w:hAnsi="宋体" w:eastAsia="宋体" w:cs="宋体"/>
          <w:color w:val="000000"/>
          <w:sz w:val="21"/>
          <w:szCs w:val="21"/>
          <w:lang w:eastAsia="zh-CN"/>
        </w:rPr>
        <w:t>人</w:t>
      </w: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招采办杨小姐</w:t>
      </w:r>
    </w:p>
    <w:p w14:paraId="3108906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cs="宋体"/>
          <w:color w:val="000000"/>
          <w:sz w:val="21"/>
          <w:szCs w:val="21"/>
          <w:lang w:val="en-US" w:eastAsia="zh-CN"/>
        </w:rPr>
      </w:pPr>
      <w:r>
        <w:rPr>
          <w:rFonts w:hint="eastAsia" w:ascii="宋体" w:hAnsi="宋体" w:eastAsia="宋体" w:cs="宋体"/>
          <w:color w:val="000000"/>
          <w:sz w:val="21"/>
          <w:szCs w:val="21"/>
          <w:lang w:eastAsia="zh-CN"/>
        </w:rPr>
        <w:t>联系电话：</w:t>
      </w:r>
      <w:r>
        <w:rPr>
          <w:rFonts w:hint="eastAsia" w:ascii="宋体" w:hAnsi="宋体" w:eastAsia="宋体" w:cs="宋体"/>
          <w:color w:val="000000"/>
          <w:sz w:val="21"/>
          <w:szCs w:val="21"/>
          <w:lang w:val="en-US" w:eastAsia="zh-CN"/>
        </w:rPr>
        <w:t>0760-2821866</w:t>
      </w:r>
      <w:r>
        <w:rPr>
          <w:rFonts w:hint="eastAsia" w:ascii="宋体" w:hAnsi="宋体" w:cs="宋体"/>
          <w:color w:val="000000"/>
          <w:sz w:val="21"/>
          <w:szCs w:val="21"/>
          <w:lang w:val="en-US" w:eastAsia="zh-CN"/>
        </w:rPr>
        <w:t>2</w:t>
      </w:r>
    </w:p>
    <w:p w14:paraId="6E944E2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rPr>
      </w:pP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二</w:t>
      </w:r>
      <w:r>
        <w:rPr>
          <w:rFonts w:hint="eastAsia" w:ascii="宋体" w:hAnsi="宋体" w:cs="宋体"/>
          <w:color w:val="000000"/>
          <w:sz w:val="21"/>
          <w:szCs w:val="21"/>
          <w:lang w:eastAsia="zh-CN"/>
        </w:rPr>
        <w:t>）</w:t>
      </w:r>
      <w:r>
        <w:rPr>
          <w:rFonts w:hint="eastAsia" w:ascii="宋体" w:hAnsi="宋体" w:eastAsia="宋体" w:cs="宋体"/>
          <w:color w:val="000000"/>
          <w:sz w:val="21"/>
          <w:szCs w:val="21"/>
        </w:rPr>
        <w:t>监督投诉</w:t>
      </w:r>
    </w:p>
    <w:p w14:paraId="0B7A107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名称：纪检</w:t>
      </w:r>
      <w:r>
        <w:rPr>
          <w:rFonts w:hint="eastAsia" w:ascii="宋体" w:hAnsi="宋体" w:cs="宋体"/>
          <w:color w:val="000000"/>
          <w:sz w:val="21"/>
          <w:szCs w:val="21"/>
          <w:lang w:val="en-US" w:eastAsia="zh-CN"/>
        </w:rPr>
        <w:t>室</w:t>
      </w:r>
    </w:p>
    <w:p w14:paraId="755AAE02">
      <w:pPr>
        <w:keepNext w:val="0"/>
        <w:keepLines w:val="0"/>
        <w:pageBreakBefore w:val="0"/>
        <w:kinsoku/>
        <w:wordWrap/>
        <w:overflowPunct/>
        <w:topLinePunct w:val="0"/>
        <w:bidi w:val="0"/>
        <w:spacing w:line="360" w:lineRule="exact"/>
        <w:ind w:left="0" w:leftChars="0" w:firstLine="420" w:firstLineChars="200"/>
        <w:jc w:val="both"/>
        <w:rPr>
          <w:rFonts w:hint="eastAsia" w:ascii="宋体" w:hAnsi="宋体" w:cs="宋体"/>
          <w:color w:val="000000"/>
          <w:sz w:val="21"/>
          <w:szCs w:val="21"/>
          <w:lang w:val="en-US" w:eastAsia="zh-CN"/>
        </w:rPr>
      </w:pPr>
      <w:r>
        <w:rPr>
          <w:rFonts w:hint="eastAsia" w:ascii="宋体" w:hAnsi="宋体" w:eastAsia="宋体" w:cs="宋体"/>
          <w:color w:val="000000"/>
          <w:sz w:val="21"/>
          <w:szCs w:val="21"/>
          <w:lang w:eastAsia="zh-CN"/>
        </w:rPr>
        <w:t>联系</w:t>
      </w:r>
      <w:r>
        <w:rPr>
          <w:rFonts w:hint="eastAsia" w:ascii="宋体" w:hAnsi="宋体" w:eastAsia="宋体" w:cs="宋体"/>
          <w:color w:val="000000"/>
          <w:sz w:val="21"/>
          <w:szCs w:val="21"/>
        </w:rPr>
        <w:t>电话：</w:t>
      </w:r>
      <w:r>
        <w:rPr>
          <w:rFonts w:hint="eastAsia" w:ascii="宋体" w:hAnsi="宋体" w:eastAsia="宋体" w:cs="宋体"/>
          <w:color w:val="000000"/>
          <w:sz w:val="21"/>
          <w:szCs w:val="21"/>
          <w:lang w:val="en-US" w:eastAsia="zh-CN"/>
        </w:rPr>
        <w:t>0760-282186</w:t>
      </w:r>
      <w:r>
        <w:rPr>
          <w:rFonts w:hint="eastAsia" w:ascii="宋体" w:hAnsi="宋体" w:cs="宋体"/>
          <w:color w:val="000000"/>
          <w:sz w:val="21"/>
          <w:szCs w:val="21"/>
          <w:lang w:val="en-US" w:eastAsia="zh-CN"/>
        </w:rPr>
        <w:t>59</w:t>
      </w:r>
    </w:p>
    <w:p w14:paraId="6D4EBE6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如对本公告内容有异议，请在参选文件递交截止时间之前以书面方式提出，逾期不予受理。</w:t>
      </w:r>
    </w:p>
    <w:p w14:paraId="30661C8B">
      <w:pPr>
        <w:keepNext w:val="0"/>
        <w:keepLines w:val="0"/>
        <w:pageBreakBefore w:val="0"/>
        <w:kinsoku/>
        <w:overflowPunct/>
        <w:topLinePunct w:val="0"/>
        <w:bidi w:val="0"/>
        <w:spacing w:line="360" w:lineRule="exact"/>
        <w:rPr>
          <w:rFonts w:hint="eastAsia" w:ascii="宋体" w:hAnsi="宋体" w:eastAsia="宋体" w:cs="宋体"/>
          <w:sz w:val="21"/>
          <w:szCs w:val="21"/>
        </w:rPr>
      </w:pPr>
    </w:p>
    <w:sectPr>
      <w:headerReference r:id="rId3" w:type="default"/>
      <w:footerReference r:id="rId4" w:type="default"/>
      <w:pgSz w:w="11906" w:h="16838"/>
      <w:pgMar w:top="1440" w:right="1066" w:bottom="1440" w:left="11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15C46">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9A9C3A">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9A9C3A">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4B6D5">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8E2F80"/>
    <w:multiLevelType w:val="singleLevel"/>
    <w:tmpl w:val="BF8E2F80"/>
    <w:lvl w:ilvl="0" w:tentative="0">
      <w:start w:val="8"/>
      <w:numFmt w:val="chineseCounting"/>
      <w:suff w:val="nothing"/>
      <w:lvlText w:val="%1、"/>
      <w:lvlJc w:val="left"/>
      <w:rPr>
        <w:rFonts w:hint="eastAsia"/>
      </w:rPr>
    </w:lvl>
  </w:abstractNum>
  <w:abstractNum w:abstractNumId="1">
    <w:nsid w:val="C365D304"/>
    <w:multiLevelType w:val="singleLevel"/>
    <w:tmpl w:val="C365D304"/>
    <w:lvl w:ilvl="0" w:tentative="0">
      <w:start w:val="1"/>
      <w:numFmt w:val="chineseCounting"/>
      <w:suff w:val="nothing"/>
      <w:lvlText w:val="（%1）"/>
      <w:lvlJc w:val="left"/>
      <w:pPr>
        <w:ind w:left="0" w:firstLine="420"/>
      </w:pPr>
      <w:rPr>
        <w:rFonts w:hint="eastAsia"/>
      </w:rPr>
    </w:lvl>
  </w:abstractNum>
  <w:abstractNum w:abstractNumId="2">
    <w:nsid w:val="25AC67AC"/>
    <w:multiLevelType w:val="singleLevel"/>
    <w:tmpl w:val="25AC67AC"/>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yNTNhM2Y5OTY0OTJhYTI5NDdhNDQzYjZhODJkNTQifQ=="/>
  </w:docVars>
  <w:rsids>
    <w:rsidRoot w:val="00C87466"/>
    <w:rsid w:val="002422D3"/>
    <w:rsid w:val="003E5403"/>
    <w:rsid w:val="00544619"/>
    <w:rsid w:val="00C87466"/>
    <w:rsid w:val="0120118E"/>
    <w:rsid w:val="013C7F41"/>
    <w:rsid w:val="01A67E7F"/>
    <w:rsid w:val="020A5FE5"/>
    <w:rsid w:val="02AD51D0"/>
    <w:rsid w:val="05211362"/>
    <w:rsid w:val="05F8476E"/>
    <w:rsid w:val="061D0A8A"/>
    <w:rsid w:val="074F28CD"/>
    <w:rsid w:val="075A0C9C"/>
    <w:rsid w:val="075D0E74"/>
    <w:rsid w:val="088C3CD7"/>
    <w:rsid w:val="08B42162"/>
    <w:rsid w:val="09B87298"/>
    <w:rsid w:val="09F71DE7"/>
    <w:rsid w:val="0A552405"/>
    <w:rsid w:val="0B105E8F"/>
    <w:rsid w:val="0B5A71A0"/>
    <w:rsid w:val="0D485500"/>
    <w:rsid w:val="0F0B6659"/>
    <w:rsid w:val="0F411E6B"/>
    <w:rsid w:val="10FD2C30"/>
    <w:rsid w:val="11F2677F"/>
    <w:rsid w:val="120A5047"/>
    <w:rsid w:val="120C1901"/>
    <w:rsid w:val="12CF2510"/>
    <w:rsid w:val="14F2672C"/>
    <w:rsid w:val="15A110E2"/>
    <w:rsid w:val="16AF68E3"/>
    <w:rsid w:val="17AD667F"/>
    <w:rsid w:val="19C23FFF"/>
    <w:rsid w:val="1A6B3CEF"/>
    <w:rsid w:val="1B902BD0"/>
    <w:rsid w:val="1D1A254A"/>
    <w:rsid w:val="1DAB3FD6"/>
    <w:rsid w:val="207C5308"/>
    <w:rsid w:val="21316930"/>
    <w:rsid w:val="219C3D3D"/>
    <w:rsid w:val="21E441D2"/>
    <w:rsid w:val="23845F4C"/>
    <w:rsid w:val="241A2687"/>
    <w:rsid w:val="252058B0"/>
    <w:rsid w:val="253202CD"/>
    <w:rsid w:val="294A22C2"/>
    <w:rsid w:val="2A7F67B8"/>
    <w:rsid w:val="309A639F"/>
    <w:rsid w:val="31AC32F4"/>
    <w:rsid w:val="32301FF4"/>
    <w:rsid w:val="32862630"/>
    <w:rsid w:val="3360750C"/>
    <w:rsid w:val="33AD6EE0"/>
    <w:rsid w:val="34A84F44"/>
    <w:rsid w:val="34D81478"/>
    <w:rsid w:val="34DE2CD5"/>
    <w:rsid w:val="34F73CF6"/>
    <w:rsid w:val="3A822C5D"/>
    <w:rsid w:val="3AEB754D"/>
    <w:rsid w:val="3C753863"/>
    <w:rsid w:val="3D65276D"/>
    <w:rsid w:val="401C4CC4"/>
    <w:rsid w:val="40B6432D"/>
    <w:rsid w:val="410F24F8"/>
    <w:rsid w:val="41B868E9"/>
    <w:rsid w:val="439D1955"/>
    <w:rsid w:val="44A5275E"/>
    <w:rsid w:val="44F467BC"/>
    <w:rsid w:val="45990596"/>
    <w:rsid w:val="488A14A0"/>
    <w:rsid w:val="48C51D80"/>
    <w:rsid w:val="4AE91161"/>
    <w:rsid w:val="4C4B7443"/>
    <w:rsid w:val="4C703F88"/>
    <w:rsid w:val="4D353BFA"/>
    <w:rsid w:val="4F183C27"/>
    <w:rsid w:val="4FA2515B"/>
    <w:rsid w:val="51961AA3"/>
    <w:rsid w:val="52D05187"/>
    <w:rsid w:val="53BE1870"/>
    <w:rsid w:val="557E41CD"/>
    <w:rsid w:val="57A26C6F"/>
    <w:rsid w:val="57A47613"/>
    <w:rsid w:val="593F0F77"/>
    <w:rsid w:val="5966506E"/>
    <w:rsid w:val="59761BA9"/>
    <w:rsid w:val="5B8247AD"/>
    <w:rsid w:val="5C051DE0"/>
    <w:rsid w:val="5DDA7107"/>
    <w:rsid w:val="5E4647B1"/>
    <w:rsid w:val="5FA04E1F"/>
    <w:rsid w:val="5FC6594D"/>
    <w:rsid w:val="60D948CE"/>
    <w:rsid w:val="62503D99"/>
    <w:rsid w:val="631B1778"/>
    <w:rsid w:val="635D3A99"/>
    <w:rsid w:val="642705C1"/>
    <w:rsid w:val="6631114B"/>
    <w:rsid w:val="676D3727"/>
    <w:rsid w:val="67FD0978"/>
    <w:rsid w:val="69D1193E"/>
    <w:rsid w:val="6AD80A32"/>
    <w:rsid w:val="6BAC3A6B"/>
    <w:rsid w:val="6E3E11D1"/>
    <w:rsid w:val="6F314F9C"/>
    <w:rsid w:val="70C54A6B"/>
    <w:rsid w:val="71B92164"/>
    <w:rsid w:val="721D6DAF"/>
    <w:rsid w:val="728C5C5D"/>
    <w:rsid w:val="729B2CA6"/>
    <w:rsid w:val="73314E5B"/>
    <w:rsid w:val="74332B95"/>
    <w:rsid w:val="74C9421C"/>
    <w:rsid w:val="74EE153D"/>
    <w:rsid w:val="753F4D0B"/>
    <w:rsid w:val="772A52A0"/>
    <w:rsid w:val="795559D4"/>
    <w:rsid w:val="7E540BF3"/>
    <w:rsid w:val="7EFE1AFE"/>
    <w:rsid w:val="7F433A70"/>
    <w:rsid w:val="7F552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US" w:eastAsia="zh-CN" w:bidi="ar-SA"/>
    </w:rPr>
  </w:style>
  <w:style w:type="paragraph" w:styleId="2">
    <w:name w:val="heading 1"/>
    <w:basedOn w:val="1"/>
    <w:next w:val="1"/>
    <w:qFormat/>
    <w:uiPriority w:val="0"/>
    <w:pPr>
      <w:keepNext/>
      <w:keepLines/>
      <w:widowControl w:val="0"/>
      <w:tabs>
        <w:tab w:val="left" w:pos="840"/>
      </w:tabs>
      <w:adjustRightInd w:val="0"/>
      <w:snapToGrid w:val="0"/>
      <w:spacing w:before="240" w:line="300" w:lineRule="auto"/>
      <w:jc w:val="center"/>
      <w:outlineLvl w:val="0"/>
    </w:pPr>
    <w:rPr>
      <w:rFonts w:ascii="宋体" w:hAnsi="宋体"/>
      <w:kern w:val="44"/>
      <w:sz w:val="36"/>
      <w:szCs w:val="36"/>
    </w:rPr>
  </w:style>
  <w:style w:type="paragraph" w:styleId="3">
    <w:name w:val="heading 4"/>
    <w:basedOn w:val="1"/>
    <w:next w:val="1"/>
    <w:qFormat/>
    <w:uiPriority w:val="0"/>
    <w:pPr>
      <w:widowControl w:val="0"/>
      <w:tabs>
        <w:tab w:val="left" w:pos="864"/>
      </w:tabs>
      <w:autoSpaceDE w:val="0"/>
      <w:autoSpaceDN w:val="0"/>
      <w:adjustRightInd w:val="0"/>
      <w:snapToGrid w:val="0"/>
      <w:spacing w:line="360" w:lineRule="auto"/>
      <w:ind w:left="864" w:hanging="864"/>
      <w:jc w:val="both"/>
      <w:outlineLvl w:val="3"/>
    </w:pPr>
    <w:rPr>
      <w:rFonts w:ascii="宋体" w:hAnsi="Arial"/>
      <w:snapToGrid w:val="0"/>
      <w:color w:val="00000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toa heading"/>
    <w:basedOn w:val="1"/>
    <w:next w:val="1"/>
    <w:qFormat/>
    <w:uiPriority w:val="0"/>
    <w:pPr>
      <w:spacing w:before="120" w:beforeLines="0" w:beforeAutospacing="0"/>
    </w:pPr>
    <w:rPr>
      <w:rFonts w:ascii="Arial" w:hAnsi="Arial"/>
      <w:sz w:val="24"/>
    </w:rPr>
  </w:style>
  <w:style w:type="paragraph" w:styleId="6">
    <w:name w:val="annotation text"/>
    <w:basedOn w:val="1"/>
    <w:qFormat/>
    <w:uiPriority w:val="0"/>
    <w:pPr>
      <w:jc w:val="left"/>
    </w:pPr>
  </w:style>
  <w:style w:type="paragraph" w:styleId="7">
    <w:name w:val="Body Text"/>
    <w:basedOn w:val="1"/>
    <w:next w:val="1"/>
    <w:qFormat/>
    <w:uiPriority w:val="0"/>
    <w:pPr>
      <w:widowControl w:val="0"/>
      <w:jc w:val="both"/>
    </w:pPr>
    <w:rPr>
      <w:kern w:val="2"/>
      <w:sz w:val="28"/>
    </w:rPr>
  </w:style>
  <w:style w:type="paragraph" w:styleId="8">
    <w:name w:val="List 2"/>
    <w:basedOn w:val="1"/>
    <w:qFormat/>
    <w:uiPriority w:val="0"/>
    <w:pPr>
      <w:ind w:left="100" w:leftChars="200" w:hanging="200" w:hangingChars="200"/>
    </w:pPr>
  </w:style>
  <w:style w:type="paragraph" w:styleId="9">
    <w:name w:val="toc 5"/>
    <w:basedOn w:val="1"/>
    <w:next w:val="1"/>
    <w:qFormat/>
    <w:uiPriority w:val="39"/>
    <w:pPr>
      <w:widowControl w:val="0"/>
      <w:ind w:left="1680"/>
      <w:jc w:val="both"/>
    </w:pPr>
    <w:rPr>
      <w:kern w:val="2"/>
    </w:rPr>
  </w:style>
  <w:style w:type="paragraph" w:styleId="10">
    <w:name w:val="footer"/>
    <w:basedOn w:val="1"/>
    <w:qFormat/>
    <w:uiPriority w:val="0"/>
    <w:pPr>
      <w:tabs>
        <w:tab w:val="center" w:pos="4153"/>
        <w:tab w:val="right" w:pos="8306"/>
      </w:tabs>
      <w:snapToGrid w:val="0"/>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index 1"/>
    <w:basedOn w:val="1"/>
    <w:next w:val="1"/>
    <w:unhideWhenUsed/>
    <w:qFormat/>
    <w:uiPriority w:val="0"/>
  </w:style>
  <w:style w:type="paragraph" w:styleId="14">
    <w:name w:val="Title"/>
    <w:basedOn w:val="8"/>
    <w:next w:val="1"/>
    <w:qFormat/>
    <w:uiPriority w:val="0"/>
    <w:pPr>
      <w:widowControl w:val="0"/>
      <w:spacing w:before="240" w:after="60"/>
      <w:jc w:val="center"/>
      <w:outlineLvl w:val="0"/>
    </w:pPr>
    <w:rPr>
      <w:rFonts w:ascii="Cambria" w:hAnsi="Cambria"/>
      <w:b/>
      <w:bCs/>
      <w:kern w:val="2"/>
      <w:sz w:val="32"/>
      <w:szCs w:val="32"/>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Hyperlink"/>
    <w:basedOn w:val="17"/>
    <w:qFormat/>
    <w:uiPriority w:val="0"/>
    <w:rPr>
      <w:color w:val="0000FF"/>
      <w:u w:val="single"/>
    </w:rPr>
  </w:style>
  <w:style w:type="paragraph" w:customStyle="1" w:styleId="20">
    <w:name w:val="正文首行缩进1"/>
    <w:basedOn w:val="7"/>
    <w:qFormat/>
    <w:uiPriority w:val="2457"/>
    <w:pPr>
      <w:spacing w:before="0" w:after="120" w:line="240" w:lineRule="auto"/>
      <w:ind w:left="0" w:right="0" w:firstLine="100"/>
    </w:pPr>
    <w:rPr>
      <w:szCs w:val="24"/>
    </w:rPr>
  </w:style>
  <w:style w:type="paragraph" w:customStyle="1" w:styleId="21">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2">
    <w:name w:val="Table Paragraph"/>
    <w:basedOn w:val="1"/>
    <w:qFormat/>
    <w:uiPriority w:val="1"/>
    <w:rPr>
      <w:rFonts w:ascii="宋体" w:hAnsi="宋体" w:eastAsia="宋体" w:cs="宋体"/>
      <w:lang w:val="zh-CN" w:eastAsia="zh-CN" w:bidi="zh-CN"/>
    </w:rPr>
  </w:style>
  <w:style w:type="paragraph" w:customStyle="1" w:styleId="23">
    <w:name w:val="Table Text"/>
    <w:basedOn w:val="1"/>
    <w:semiHidden/>
    <w:qFormat/>
    <w:uiPriority w:val="0"/>
    <w:rPr>
      <w:rFonts w:ascii="仿宋" w:hAnsi="仿宋" w:eastAsia="仿宋" w:cs="仿宋"/>
      <w:sz w:val="28"/>
      <w:szCs w:val="28"/>
      <w:lang w:val="en-US" w:eastAsia="en-US" w:bidi="ar-SA"/>
    </w:rPr>
  </w:style>
  <w:style w:type="table" w:customStyle="1" w:styleId="24">
    <w:name w:val="Table Normal"/>
    <w:unhideWhenUsed/>
    <w:qFormat/>
    <w:uiPriority w:val="0"/>
    <w:tblPr>
      <w:tblCellMar>
        <w:top w:w="0" w:type="dxa"/>
        <w:left w:w="0" w:type="dxa"/>
        <w:bottom w:w="0" w:type="dxa"/>
        <w:right w:w="0" w:type="dxa"/>
      </w:tblCellMar>
    </w:tblPr>
  </w:style>
  <w:style w:type="paragraph" w:customStyle="1" w:styleId="2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3229</Words>
  <Characters>3452</Characters>
  <Lines>0</Lines>
  <Paragraphs>0</Paragraphs>
  <TotalTime>1</TotalTime>
  <ScaleCrop>false</ScaleCrop>
  <LinksUpToDate>false</LinksUpToDate>
  <CharactersWithSpaces>3471</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2023-11-10T09:42:00Z</dcterms:created>
  <dc:creator>秋秋秋秋</dc:creator>
  <cp:lastModifiedBy>郑伟权</cp:lastModifiedBy>
  <cp:lastPrinted>2024-12-27T08:30:00Z</cp:lastPrinted>
  <dcterms:modified xsi:type="dcterms:W3CDTF">2025-10-16T03:46:21Z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09ECCB05D3B74FB9857E198F7286EE9B_13</vt:lpwstr>
  </property>
  <property fmtid="{D5CDD505-2E9C-101B-9397-08002B2CF9AE}" pid="4" name="KSOTemplateDocerSaveRecord">
    <vt:lpwstr>eyJoZGlkIjoiNmM3OTI1NDk3M2U1M2M4YzY1ZjFmOTc5ZWE5MzZiYzUiLCJ1c2VySWQiOiIzMzc0NDkxODMifQ==</vt:lpwstr>
  </property>
</Properties>
</file>