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784C08D5">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eastAsia" w:ascii="黑体" w:hAnsi="黑体" w:eastAsia="黑体" w:cs="黑体"/>
          <w:b/>
          <w:bCs w:val="0"/>
          <w:color w:val="auto"/>
          <w:highlight w:val="none"/>
          <w:lang w:eastAsia="zh-CN"/>
        </w:rPr>
      </w:pPr>
      <w:r>
        <w:rPr>
          <w:rFonts w:hint="eastAsia" w:ascii="黑体" w:hAnsi="黑体" w:eastAsia="黑体" w:cs="黑体"/>
          <w:b/>
          <w:bCs w:val="0"/>
          <w:color w:val="auto"/>
          <w:highlight w:val="none"/>
          <w:lang w:eastAsia="zh-CN"/>
        </w:rPr>
        <w:t>中山市板芙医院</w:t>
      </w:r>
      <w:r>
        <w:rPr>
          <w:rFonts w:hint="eastAsia" w:ascii="黑体" w:hAnsi="黑体" w:eastAsia="黑体" w:cs="黑体"/>
          <w:b/>
          <w:bCs w:val="0"/>
          <w:color w:val="auto"/>
          <w:highlight w:val="none"/>
          <w:lang w:val="en-US" w:eastAsia="zh-CN"/>
        </w:rPr>
        <w:t>根管治疗测量一体机</w:t>
      </w:r>
      <w:r>
        <w:rPr>
          <w:rFonts w:hint="eastAsia" w:ascii="黑体" w:hAnsi="黑体" w:eastAsia="黑体" w:cs="黑体"/>
          <w:b/>
          <w:bCs w:val="0"/>
          <w:color w:val="auto"/>
          <w:highlight w:val="none"/>
          <w:lang w:eastAsia="zh-CN"/>
        </w:rPr>
        <w:t>采购项目</w:t>
      </w:r>
      <w:bookmarkEnd w:id="0"/>
      <w:r>
        <w:rPr>
          <w:rFonts w:hint="eastAsia" w:ascii="黑体" w:hAnsi="黑体" w:eastAsia="黑体" w:cs="黑体"/>
          <w:b/>
          <w:bCs w:val="0"/>
          <w:color w:val="auto"/>
          <w:highlight w:val="none"/>
          <w:lang w:eastAsia="zh-CN"/>
        </w:rPr>
        <w:t>（第二次）</w:t>
      </w:r>
    </w:p>
    <w:p w14:paraId="4B6C7B1C">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lang w:val="en-US" w:eastAsia="zh-CN"/>
        </w:rPr>
      </w:pPr>
      <w:bookmarkStart w:id="1" w:name="_GoBack"/>
      <w:bookmarkEnd w:id="1"/>
      <w:r>
        <w:rPr>
          <w:rFonts w:hint="eastAsia" w:ascii="黑体" w:hAnsi="黑体" w:eastAsia="黑体" w:cs="黑体"/>
          <w:b/>
          <w:bCs w:val="0"/>
          <w:color w:val="auto"/>
          <w:highlight w:val="none"/>
          <w:lang w:eastAsia="zh-CN"/>
        </w:rPr>
        <w:t>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根管治疗测量一体机</w:t>
      </w:r>
      <w:r>
        <w:rPr>
          <w:rFonts w:hint="eastAsia" w:ascii="宋体" w:hAnsi="宋体" w:eastAsia="宋体" w:cs="宋体"/>
          <w:bCs/>
          <w:color w:val="auto"/>
          <w:sz w:val="21"/>
          <w:szCs w:val="21"/>
          <w:highlight w:val="none"/>
          <w:lang w:eastAsia="zh-CN"/>
        </w:rPr>
        <w:t>采购项目（第二次）</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根管治疗测量一体机</w:t>
      </w:r>
      <w:r>
        <w:rPr>
          <w:rFonts w:hint="eastAsia" w:ascii="宋体" w:hAnsi="宋体" w:eastAsia="宋体" w:cs="宋体"/>
          <w:color w:val="auto"/>
          <w:kern w:val="28"/>
          <w:sz w:val="21"/>
          <w:szCs w:val="21"/>
          <w:highlight w:val="none"/>
          <w:lang w:eastAsia="zh-CN"/>
        </w:rPr>
        <w:t>采购项目（第二次）</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12,500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33A7D937">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5"/>
        <w:tblW w:w="4018" w:type="pct"/>
        <w:tblInd w:w="109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89"/>
        <w:gridCol w:w="1077"/>
        <w:gridCol w:w="1208"/>
        <w:gridCol w:w="1204"/>
        <w:gridCol w:w="1258"/>
      </w:tblGrid>
      <w:tr w14:paraId="6894D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2009" w:type="pct"/>
            <w:noWrap w:val="0"/>
            <w:vAlign w:val="center"/>
          </w:tcPr>
          <w:p w14:paraId="1BDB57F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采购标的</w:t>
            </w:r>
          </w:p>
        </w:tc>
        <w:tc>
          <w:tcPr>
            <w:tcW w:w="678" w:type="pct"/>
            <w:noWrap w:val="0"/>
            <w:vAlign w:val="center"/>
          </w:tcPr>
          <w:p w14:paraId="139C05F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（单位）</w:t>
            </w:r>
          </w:p>
        </w:tc>
        <w:tc>
          <w:tcPr>
            <w:tcW w:w="761" w:type="pct"/>
            <w:noWrap w:val="0"/>
            <w:vAlign w:val="center"/>
          </w:tcPr>
          <w:p w14:paraId="6250D57E">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p>
        </w:tc>
        <w:tc>
          <w:tcPr>
            <w:tcW w:w="758" w:type="pct"/>
            <w:noWrap w:val="0"/>
            <w:vAlign w:val="center"/>
          </w:tcPr>
          <w:p w14:paraId="612EF251">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c>
          <w:tcPr>
            <w:tcW w:w="792" w:type="pct"/>
            <w:noWrap w:val="0"/>
            <w:vAlign w:val="center"/>
          </w:tcPr>
          <w:p w14:paraId="562DD1B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是否允许进口产品</w:t>
            </w:r>
          </w:p>
        </w:tc>
      </w:tr>
      <w:tr w14:paraId="6B709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3189" w:type="dxa"/>
            <w:noWrap w:val="0"/>
            <w:vAlign w:val="center"/>
          </w:tcPr>
          <w:p w14:paraId="08A46BC7">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yellow"/>
                <w:u w:val="none"/>
                <w:lang w:val="en-US" w:eastAsia="zh-CN" w:bidi="ar"/>
              </w:rPr>
            </w:pPr>
            <w:r>
              <w:rPr>
                <w:rFonts w:hint="eastAsia" w:ascii="宋体" w:hAnsi="宋体" w:cs="宋体"/>
                <w:i w:val="0"/>
                <w:iCs w:val="0"/>
                <w:color w:val="auto"/>
                <w:kern w:val="0"/>
                <w:sz w:val="21"/>
                <w:szCs w:val="21"/>
                <w:highlight w:val="none"/>
                <w:u w:val="none"/>
                <w:lang w:val="en-US" w:eastAsia="zh-CN" w:bidi="ar"/>
              </w:rPr>
              <w:t>根管治疗测量一体机</w:t>
            </w:r>
          </w:p>
        </w:tc>
        <w:tc>
          <w:tcPr>
            <w:tcW w:w="1077" w:type="dxa"/>
            <w:noWrap w:val="0"/>
            <w:vAlign w:val="center"/>
          </w:tcPr>
          <w:p w14:paraId="1948AE85">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台</w:t>
            </w:r>
          </w:p>
        </w:tc>
        <w:tc>
          <w:tcPr>
            <w:tcW w:w="1208" w:type="dxa"/>
            <w:noWrap w:val="0"/>
            <w:vAlign w:val="center"/>
          </w:tcPr>
          <w:p w14:paraId="6430EE5F">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2,500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1204" w:type="dxa"/>
            <w:noWrap w:val="0"/>
            <w:vAlign w:val="center"/>
          </w:tcPr>
          <w:p w14:paraId="3D268AB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12,500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1258" w:type="dxa"/>
            <w:noWrap w:val="0"/>
            <w:vAlign w:val="center"/>
          </w:tcPr>
          <w:p w14:paraId="1CD72E98">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bl>
    <w:p w14:paraId="6359E862">
      <w:pPr>
        <w:keepNext w:val="0"/>
        <w:keepLines w:val="0"/>
        <w:pageBreakBefore w:val="0"/>
        <w:numPr>
          <w:ilvl w:val="0"/>
          <w:numId w:val="0"/>
        </w:numPr>
        <w:kinsoku/>
        <w:wordWrap/>
        <w:overflowPunct/>
        <w:topLinePunct w:val="0"/>
        <w:bidi w:val="0"/>
        <w:spacing w:line="360" w:lineRule="exact"/>
        <w:ind w:firstLine="422" w:firstLineChars="2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7285EE3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（一）用途</w:t>
      </w:r>
    </w:p>
    <w:p w14:paraId="1388CB6E">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1.主要用于口腔科根管测量与治疗。</w:t>
      </w:r>
    </w:p>
    <w:p w14:paraId="44451B0E">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（二）技术规格、参数及要求</w:t>
      </w:r>
    </w:p>
    <w:p w14:paraId="14C0C46E">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1.包括根管长度高精度测量模块与机扩模块。</w:t>
      </w:r>
    </w:p>
    <w:p w14:paraId="4BCE8D10">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2.根管长度测量精度≤0.5mm。</w:t>
      </w:r>
    </w:p>
    <w:p w14:paraId="24F2052B">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3.机型：无线手持。</w:t>
      </w:r>
    </w:p>
    <w:p w14:paraId="57FFB022">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4.马达最低转速（rpm）：≤150。</w:t>
      </w:r>
    </w:p>
    <w:p w14:paraId="59BA1BB7">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5.马达最高转速（rpm）：≥800。</w:t>
      </w:r>
    </w:p>
    <w:p w14:paraId="4A93591A">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6.马达扭距（N.cm）：≤4。</w:t>
      </w:r>
    </w:p>
    <w:p w14:paraId="0C545D75">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7.配弯手机1把。</w:t>
      </w:r>
    </w:p>
    <w:p w14:paraId="6BEEA89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（三）商务要求</w:t>
      </w:r>
    </w:p>
    <w:p w14:paraId="6FEC976C">
      <w:pPr>
        <w:keepNext w:val="0"/>
        <w:keepLines w:val="0"/>
        <w:pageBreakBefore w:val="0"/>
        <w:kinsoku/>
        <w:overflowPunct/>
        <w:topLinePunct w:val="0"/>
        <w:bidi w:val="0"/>
        <w:spacing w:line="360" w:lineRule="exact"/>
        <w:ind w:firstLine="210" w:firstLineChars="100"/>
        <w:jc w:val="left"/>
        <w:rPr>
          <w:rFonts w:hint="default"/>
          <w:highlight w:val="none"/>
          <w:lang w:val="en-US" w:eastAsia="zh-CN"/>
        </w:rPr>
      </w:pPr>
      <w:r>
        <w:rPr>
          <w:rFonts w:hint="eastAsia" w:ascii="宋体" w:hAnsi="宋体" w:cs="Times New Roman"/>
          <w:bCs/>
          <w:color w:val="auto"/>
          <w:szCs w:val="21"/>
          <w:highlight w:val="none"/>
          <w:lang w:val="en-US" w:eastAsia="zh-CN"/>
        </w:rPr>
        <w:t xml:space="preserve"> </w:t>
      </w:r>
      <w:r>
        <w:rPr>
          <w:rFonts w:hint="eastAsia" w:ascii="宋体" w:hAnsi="宋体" w:cs="宋体"/>
          <w:color w:val="auto"/>
          <w:sz w:val="21"/>
          <w:szCs w:val="21"/>
          <w:highlight w:val="none"/>
          <w:lang w:val="en-US" w:eastAsia="zh-CN"/>
        </w:rPr>
        <w:t>★1.供应商须承诺中选后</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所参选设备的授权文件，在合同签订限期内未能提供的，采购人有权拒绝签订合同。</w:t>
      </w:r>
    </w:p>
    <w:p w14:paraId="4089D5A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2.付款方式：</w:t>
      </w:r>
      <w:r>
        <w:rPr>
          <w:rFonts w:hint="eastAsia" w:ascii="宋体" w:hAnsi="宋体" w:eastAsia="宋体" w:cs="Times New Roman"/>
          <w:bCs/>
          <w:color w:val="auto"/>
          <w:szCs w:val="21"/>
          <w:highlight w:val="none"/>
          <w:lang w:val="en-US" w:eastAsia="zh-CN"/>
        </w:rPr>
        <w:t>合同签订后30天内交货，完成安装测试、运行验收合格后第3个月支付合同金额的100%。</w:t>
      </w:r>
    </w:p>
    <w:p w14:paraId="5DB157C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.验收标准和方法</w:t>
      </w:r>
    </w:p>
    <w:p w14:paraId="6418390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.1提供的设备生产日期在合同签订日期前12个月以内。</w:t>
      </w:r>
      <w:r>
        <w:rPr>
          <w:rFonts w:hint="eastAsia" w:ascii="宋体" w:hAnsi="宋体" w:cs="Times New Roman"/>
          <w:bCs/>
          <w:color w:val="auto"/>
          <w:szCs w:val="21"/>
          <w:highlight w:val="none"/>
          <w:lang w:val="en-US" w:eastAsia="zh-CN"/>
        </w:rPr>
        <w:t>保证所供设备是原厂的全新设备，均为正货，是参选的型号。</w:t>
      </w:r>
    </w:p>
    <w:p w14:paraId="54DC43ED">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.2设备验收在</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和</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双方共同参与下按国家有关的规定、规范进行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如发现所交付的设备有短装、次品、损坏或其它不符合本合同规定之情形者，</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应作出详尽的现场记录，或由</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双方签署备忘录。此现场记录或备忘录可用作补充缺失和更换损坏部件的有效证据。因此产生的有关费用由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61283E8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3.3</w:t>
      </w:r>
      <w:r>
        <w:rPr>
          <w:rFonts w:ascii="Calibri" w:hAnsi="Calibri" w:eastAsia="宋体" w:cs="Times New Roman"/>
          <w:sz w:val="21"/>
          <w:highlight w:val="none"/>
        </w:rPr>
        <w:t>如在验收中发现设备达不到验收标准或合同及合同相关技术文件规定，</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应及时安排更换，以保证合同设备安装调试的成功完成,使设备最终达到合同或合同相关技术文件中规定的性能和要求。更换的相关费用</w:t>
      </w:r>
      <w:r>
        <w:rPr>
          <w:rFonts w:hint="eastAsia" w:ascii="Calibri" w:hAnsi="Calibri" w:eastAsia="宋体" w:cs="Times New Roman"/>
          <w:sz w:val="21"/>
          <w:highlight w:val="none"/>
          <w:lang w:val="en-US" w:eastAsia="zh-CN"/>
        </w:rPr>
        <w:t>全部</w:t>
      </w:r>
      <w:r>
        <w:rPr>
          <w:rFonts w:ascii="Calibri" w:hAnsi="Calibri" w:eastAsia="宋体" w:cs="Times New Roman"/>
          <w:sz w:val="21"/>
          <w:highlight w:val="none"/>
        </w:rPr>
        <w:t>由</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承担并承担由此造成的一切损失</w:t>
      </w:r>
      <w:r>
        <w:rPr>
          <w:rFonts w:hint="eastAsia" w:ascii="Calibri" w:hAnsi="Calibri" w:eastAsia="宋体" w:cs="Times New Roman"/>
          <w:sz w:val="21"/>
          <w:highlight w:val="none"/>
          <w:lang w:eastAsia="zh-CN"/>
        </w:rPr>
        <w:t>。</w:t>
      </w:r>
      <w:r>
        <w:rPr>
          <w:rFonts w:hint="eastAsia" w:ascii="Calibri" w:hAnsi="Calibri" w:eastAsia="宋体" w:cs="Times New Roman"/>
          <w:sz w:val="21"/>
          <w:highlight w:val="none"/>
          <w:lang w:val="en-US" w:eastAsia="zh-CN"/>
        </w:rPr>
        <w:t>如更换后的设备仍达不到验收标准或</w:t>
      </w:r>
      <w:r>
        <w:rPr>
          <w:rFonts w:ascii="Calibri" w:hAnsi="Calibri" w:eastAsia="宋体" w:cs="Times New Roman"/>
          <w:sz w:val="21"/>
          <w:highlight w:val="none"/>
        </w:rPr>
        <w:t>合同及合同相关技术文件规定</w:t>
      </w:r>
      <w:r>
        <w:rPr>
          <w:rFonts w:hint="eastAsia" w:ascii="Calibri" w:hAnsi="Calibri" w:cs="Times New Roman"/>
          <w:sz w:val="21"/>
          <w:highlight w:val="none"/>
          <w:lang w:eastAsia="zh-CN"/>
        </w:rPr>
        <w:t>的，</w:t>
      </w:r>
      <w:r>
        <w:rPr>
          <w:rFonts w:hint="eastAsia" w:ascii="Calibri" w:hAnsi="Calibri" w:cs="Times New Roman"/>
          <w:sz w:val="21"/>
          <w:highlight w:val="none"/>
          <w:lang w:val="en-US" w:eastAsia="zh-CN"/>
        </w:rPr>
        <w:t>采购人可</w:t>
      </w:r>
      <w:r>
        <w:rPr>
          <w:rFonts w:hint="eastAsia" w:ascii="Calibri" w:hAnsi="Calibri" w:cs="Times New Roman"/>
          <w:sz w:val="21"/>
          <w:highlight w:val="none"/>
          <w:lang w:eastAsia="zh-CN"/>
        </w:rPr>
        <w:t>终止全部或部分合同，</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可以依其认为适当的条件和方法购买与未交设备类似的设备或服务，</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应承担</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因购买类似设备或服务而产生的额外支出。但是，</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应继续执行合同中未终止的部分。</w:t>
      </w:r>
      <w:r>
        <w:rPr>
          <w:rFonts w:hint="eastAsia" w:ascii="Calibri" w:hAnsi="Calibri" w:cs="Times New Roman"/>
          <w:sz w:val="21"/>
          <w:highlight w:val="none"/>
          <w:lang w:val="en-US" w:eastAsia="zh-CN"/>
        </w:rPr>
        <w:t>采购人保留法律追究的权利。</w:t>
      </w:r>
    </w:p>
    <w:p w14:paraId="3B5BAE07">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.4如果合同设备运输和安装过程中因事故造成货物短缺、损坏，</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应及时安排补货、换货，以保证合同设备安装的成功完成。换货的相关费用由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1F8082A1">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保证合同项下提供的设备不侵犯任何第三方的专利、商标或版权。否则，</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须承担对第三方的专利或版权的侵权责任并承担因此而发生的所有费用。</w:t>
      </w:r>
    </w:p>
    <w:p w14:paraId="5A7FD446">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4.整机</w:t>
      </w:r>
      <w:r>
        <w:rPr>
          <w:rFonts w:hint="eastAsia" w:ascii="宋体" w:hAnsi="宋体" w:eastAsia="宋体" w:cs="宋体"/>
          <w:i w:val="0"/>
          <w:iCs w:val="0"/>
          <w:color w:val="auto"/>
          <w:kern w:val="0"/>
          <w:sz w:val="21"/>
          <w:szCs w:val="21"/>
          <w:highlight w:val="none"/>
          <w:u w:val="none"/>
          <w:lang w:val="en-US" w:eastAsia="zh-CN" w:bidi="ar"/>
        </w:rPr>
        <w:t>质量保证期不少于2年。</w:t>
      </w:r>
    </w:p>
    <w:p w14:paraId="09ADFE53">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5.保密要求：双方合作中涉及的所有业务、技术资料，均有责任对第三方保密。如其中一方擅自将涉及另一方的商业和技术秘密的资料透漏给第三方，则另一方将保留追究对方法律责任的权利。</w:t>
      </w:r>
    </w:p>
    <w:p w14:paraId="5E4E883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安装调试及技术服务(含培训)要求：供应商负责设备的安装调试，供应商负责对科室技术人员、操作人员进行免费业务培训，培训内容包括设备操作、设备维护、专业知识等，培训保证技术人员、操作人员能够掌握并独立操作为止。</w:t>
      </w:r>
    </w:p>
    <w:p w14:paraId="0831F539">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7.售后服务的要求：维修保修期满,供应商终身提供维修服务，不收取上门费,只收取配件等相关成本费用。仪器出现问题，供应商在接到采购人电话通知后，立即提供电话指导,如无法远程解决，供应商工程</w:t>
      </w:r>
      <w:r>
        <w:rPr>
          <w:rFonts w:hint="eastAsia" w:ascii="宋体" w:hAnsi="宋体" w:eastAsia="宋体" w:cs="宋体"/>
          <w:i w:val="0"/>
          <w:iCs w:val="0"/>
          <w:color w:val="auto"/>
          <w:kern w:val="0"/>
          <w:sz w:val="21"/>
          <w:szCs w:val="21"/>
          <w:highlight w:val="none"/>
          <w:u w:val="none"/>
          <w:lang w:val="en-US" w:eastAsia="zh-CN" w:bidi="ar"/>
        </w:rPr>
        <w:t>师在接到院方电话后24小时内提供解决方案,并负责设备的维修。</w:t>
      </w:r>
    </w:p>
    <w:p w14:paraId="25B8FAF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22D2267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（一）供应商应具备《中华人民共和国政府采购法》第二十二条规定的条件（提供资格声明函）。</w:t>
      </w:r>
    </w:p>
    <w:p w14:paraId="30F7301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供应商须具有有效的《医疗器械生产许可证》（或《医疗器械生产备案凭证》）或具备相关经营范围的《医疗器械经营许可证》（或《食品药品经营许可证》或《医疗器械经营备案凭证》）（提供证明材料复印件加盖供应商公章）。</w:t>
      </w:r>
    </w:p>
    <w:p w14:paraId="43092F5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（三）供应商所投产品须具备有效的医疗器械注册证或备案证明；如为免注册的设备，须提供备案凭证或规定条文（提供证明材料复印件加盖供应商公章）。</w:t>
      </w:r>
    </w:p>
    <w:p w14:paraId="6ACAF3E4">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四）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提供资格声明函）。</w:t>
      </w:r>
    </w:p>
    <w:p w14:paraId="64EEC3A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（五）本项目不接受联合体投标，且不允许转包或分包（提供资格声明函）。</w:t>
      </w:r>
    </w:p>
    <w:p w14:paraId="54919CE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（六）单位负责人为同一人或者存在直接控股、管理关系的不同供应商，不得参加同一合同项下的政府采购活动（提供资格声明函）。</w:t>
      </w:r>
    </w:p>
    <w:p w14:paraId="357BE8F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b/>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（七）为本项目提供整体设计、规范编制或者项目管理、监理、检测等服务的供应商，不得再参与本项目投标（提供资格声明函）。</w:t>
      </w:r>
    </w:p>
    <w:p w14:paraId="7F74161B">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3A19A403">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27</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059789F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p>
    <w:p w14:paraId="707DA607">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587CB7F4">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0B4884EF">
      <w:pPr>
        <w:keepNext w:val="0"/>
        <w:keepLines w:val="0"/>
        <w:pageBreakBefore w:val="0"/>
        <w:widowControl w:val="0"/>
        <w:numPr>
          <w:ilvl w:val="0"/>
          <w:numId w:val="0"/>
        </w:numPr>
        <w:tabs>
          <w:tab w:val="left" w:pos="420"/>
        </w:tabs>
        <w:kinsoku/>
        <w:overflowPunct/>
        <w:topLinePunct w:val="0"/>
        <w:bidi w:val="0"/>
        <w:spacing w:line="360" w:lineRule="exact"/>
        <w:ind w:left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1F175CA1">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7BD77AD8">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须按“附件2参选文件格式（第二次）”要求提供。</w:t>
      </w:r>
    </w:p>
    <w:p w14:paraId="41F6F42B">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1ADC7378">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03C80D7B">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副本一起封装</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1C4DB2A4">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19214B1B">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31602CD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eastAsia="宋体" w:cs="宋体"/>
          <w:bCs/>
          <w:color w:val="auto"/>
          <w:sz w:val="21"/>
          <w:szCs w:val="21"/>
          <w:highlight w:val="none"/>
          <w:lang w:val="en-US" w:eastAsia="zh-CN"/>
        </w:rPr>
        <w:t>。</w:t>
      </w:r>
    </w:p>
    <w:p w14:paraId="470F9077">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01CC1AEA">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3BFE9888">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3097FA9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5DB54EC7">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6C09DF5B">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2.按</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en-US" w:eastAsia="zh-CN"/>
        </w:rPr>
        <w:t>文件规定（</w:t>
      </w:r>
      <w:r>
        <w:rPr>
          <w:rFonts w:hint="eastAsia" w:ascii="宋体" w:hAnsi="宋体" w:eastAsia="宋体" w:cs="宋体"/>
          <w:b/>
          <w:bCs w:val="0"/>
          <w:color w:val="auto"/>
          <w:sz w:val="21"/>
          <w:szCs w:val="21"/>
          <w:highlight w:val="none"/>
          <w:lang w:val="en-US" w:eastAsia="zh-CN"/>
        </w:rPr>
        <w:t>以</w:t>
      </w:r>
      <w:r>
        <w:rPr>
          <w:rFonts w:hint="eastAsia" w:ascii="宋体" w:hAnsi="宋体" w:cs="宋体"/>
          <w:b/>
          <w:bCs w:val="0"/>
          <w:color w:val="auto"/>
          <w:sz w:val="21"/>
          <w:szCs w:val="21"/>
          <w:highlight w:val="none"/>
          <w:lang w:val="en-US" w:eastAsia="zh-CN"/>
        </w:rPr>
        <w:t>“附件2参选</w:t>
      </w:r>
      <w:r>
        <w:rPr>
          <w:rFonts w:hint="eastAsia" w:ascii="宋体" w:hAnsi="宋体" w:eastAsia="宋体" w:cs="宋体"/>
          <w:b/>
          <w:bCs w:val="0"/>
          <w:color w:val="auto"/>
          <w:sz w:val="21"/>
          <w:szCs w:val="21"/>
          <w:highlight w:val="none"/>
          <w:lang w:val="en-US" w:eastAsia="zh-CN"/>
        </w:rPr>
        <w:t>文件格式（第二次）</w:t>
      </w:r>
      <w:r>
        <w:rPr>
          <w:rFonts w:hint="eastAsia" w:ascii="宋体" w:hAnsi="宋体" w:cs="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lang w:val="en-US" w:eastAsia="zh-CN"/>
        </w:rPr>
        <w:t>为准</w:t>
      </w:r>
      <w:r>
        <w:rPr>
          <w:rFonts w:hint="eastAsia" w:ascii="宋体" w:hAnsi="宋体" w:eastAsia="宋体" w:cs="宋体"/>
          <w:bCs/>
          <w:color w:val="auto"/>
          <w:sz w:val="21"/>
          <w:szCs w:val="21"/>
          <w:highlight w:val="none"/>
          <w:lang w:val="en-US" w:eastAsia="zh-CN"/>
        </w:rPr>
        <w:t>）加盖公章和签署</w:t>
      </w:r>
      <w:r>
        <w:rPr>
          <w:rFonts w:hint="eastAsia" w:ascii="宋体" w:hAnsi="宋体" w:cs="宋体"/>
          <w:bCs/>
          <w:color w:val="auto"/>
          <w:sz w:val="21"/>
          <w:szCs w:val="21"/>
          <w:highlight w:val="none"/>
          <w:lang w:val="en-US" w:eastAsia="zh-CN"/>
        </w:rPr>
        <w:t>；</w:t>
      </w:r>
    </w:p>
    <w:p w14:paraId="7458D50C">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olor w:val="auto"/>
          <w:highlight w:val="none"/>
          <w:lang w:val="en-US" w:eastAsia="zh-CN" w:bidi="ar"/>
        </w:rPr>
        <w:t>3.</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6438587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4.参选文件主要资料齐全；</w:t>
      </w:r>
    </w:p>
    <w:p w14:paraId="22CC7E8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5.按本公告规定格式填写，无内容不全或关键字迹模糊、无法辨认；</w:t>
      </w:r>
    </w:p>
    <w:p w14:paraId="3E8D6EE7">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6.满足采购</w:t>
      </w:r>
      <w:r>
        <w:rPr>
          <w:rFonts w:hint="default" w:ascii="宋体" w:hAnsi="宋体" w:cs="宋体"/>
          <w:bCs/>
          <w:color w:val="auto"/>
          <w:sz w:val="21"/>
          <w:szCs w:val="21"/>
          <w:highlight w:val="none"/>
          <w:lang w:val="en-US" w:eastAsia="zh-CN"/>
        </w:rPr>
        <w:t>文件中所有带“★”标识的实质性条款</w:t>
      </w:r>
      <w:r>
        <w:rPr>
          <w:rFonts w:hint="eastAsia" w:ascii="宋体" w:hAnsi="宋体" w:eastAsia="宋体" w:cs="宋体"/>
          <w:color w:val="auto"/>
          <w:sz w:val="21"/>
          <w:szCs w:val="21"/>
          <w:highlight w:val="none"/>
          <w:lang w:val="en-US" w:eastAsia="zh-CN"/>
        </w:rPr>
        <w:t>（如有）</w:t>
      </w:r>
      <w:r>
        <w:rPr>
          <w:rFonts w:hint="eastAsia" w:ascii="宋体" w:hAnsi="宋体" w:cs="宋体"/>
          <w:bCs/>
          <w:color w:val="auto"/>
          <w:sz w:val="21"/>
          <w:szCs w:val="21"/>
          <w:highlight w:val="none"/>
          <w:lang w:val="en-US" w:eastAsia="zh-CN"/>
        </w:rPr>
        <w:t>；</w:t>
      </w:r>
    </w:p>
    <w:p w14:paraId="466DE52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.响应报价</w:t>
      </w:r>
      <w:r>
        <w:rPr>
          <w:rFonts w:hint="eastAsia" w:ascii="宋体" w:hAnsi="宋体" w:cs="宋体"/>
          <w:bCs/>
          <w:color w:val="auto"/>
          <w:sz w:val="21"/>
          <w:szCs w:val="21"/>
          <w:highlight w:val="none"/>
          <w:lang w:val="en-US" w:eastAsia="zh-CN"/>
        </w:rPr>
        <w:t>未超过</w:t>
      </w:r>
      <w:r>
        <w:rPr>
          <w:rFonts w:hint="eastAsia" w:ascii="宋体" w:hAnsi="宋体" w:eastAsia="宋体" w:cs="宋体"/>
          <w:bCs/>
          <w:color w:val="auto"/>
          <w:sz w:val="21"/>
          <w:szCs w:val="21"/>
          <w:highlight w:val="none"/>
          <w:lang w:val="en-US" w:eastAsia="zh-CN"/>
        </w:rPr>
        <w:t>采购预算金额的。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1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19"/>
        <w:gridCol w:w="1619"/>
        <w:gridCol w:w="7070"/>
      </w:tblGrid>
      <w:tr w14:paraId="2DEF0DE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714D5F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5D84A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7487C8A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7E3DDA6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68B5686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29FBE72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7FECEC9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7198A3E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default" w:ascii="Arial" w:hAnsi="Arial" w:eastAsia="宋体" w:cs="Arial"/>
                <w:b w:val="0"/>
                <w:bCs w:val="0"/>
                <w:color w:val="auto"/>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14:paraId="59BD82C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3B4C2F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default"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商务技术部分   （90分）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5400A271">
            <w:pPr>
              <w:spacing w:line="30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对采购需求书中技术、商务条款的响应程度</w:t>
            </w:r>
          </w:p>
          <w:p w14:paraId="690CE40A">
            <w:pPr>
              <w:spacing w:line="300" w:lineRule="exact"/>
              <w:jc w:val="center"/>
              <w:rPr>
                <w:rFonts w:hint="eastAsia" w:ascii="宋体" w:hAnsi="宋体" w:eastAsia="宋体" w:cs="宋体"/>
                <w:color w:val="auto"/>
                <w:sz w:val="21"/>
                <w:szCs w:val="21"/>
                <w:highlight w:val="yellow"/>
                <w:lang w:eastAsia="zh-CN"/>
              </w:rPr>
            </w:pPr>
            <w:r>
              <w:rPr>
                <w:rFonts w:hint="eastAsia" w:ascii="宋体" w:hAnsi="宋体" w:cs="宋体"/>
                <w:bCs/>
                <w:color w:val="auto"/>
                <w:szCs w:val="21"/>
                <w:highlight w:val="none"/>
                <w:lang w:val="en-US" w:eastAsia="zh-CN"/>
              </w:rPr>
              <w:t>(50分)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9D7D364">
            <w:pPr>
              <w:pStyle w:val="13"/>
              <w:numPr>
                <w:ilvl w:val="0"/>
                <w:numId w:val="0"/>
              </w:numPr>
              <w:tabs>
                <w:tab w:val="left" w:pos="7740"/>
              </w:tabs>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（二）技术规格、参数及要</w:t>
            </w:r>
            <w:r>
              <w:rPr>
                <w:rFonts w:hint="eastAsia" w:ascii="宋体" w:hAnsi="宋体" w:cs="宋体"/>
                <w:color w:val="auto"/>
                <w:sz w:val="21"/>
                <w:szCs w:val="21"/>
                <w:highlight w:val="none"/>
                <w:lang w:val="en-US" w:eastAsia="zh-CN"/>
              </w:rPr>
              <w:t>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=一般条款响应程度得分（按四舍五入保留两位）。）</w:t>
            </w:r>
          </w:p>
          <w:p w14:paraId="0CDDFC01">
            <w:pPr>
              <w:numPr>
                <w:ilvl w:val="0"/>
                <w:numId w:val="0"/>
              </w:numP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w:t>
            </w:r>
            <w:r>
              <w:rPr>
                <w:rFonts w:hint="eastAsia" w:ascii="宋体" w:hAnsi="宋体" w:cs="宋体"/>
                <w:color w:val="auto"/>
                <w:sz w:val="21"/>
                <w:szCs w:val="21"/>
                <w:highlight w:val="none"/>
                <w:lang w:val="en-US" w:eastAsia="zh-CN"/>
              </w:rPr>
              <w:t>商务要求”下列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=一般条款响应程度得分（按四舍五入保留两位）。）</w:t>
            </w:r>
          </w:p>
          <w:p w14:paraId="0006A0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yellow"/>
                <w:lang w:val="zh-CN" w:eastAsia="zh-CN"/>
              </w:rPr>
            </w:pPr>
            <w:r>
              <w:rPr>
                <w:rFonts w:hint="eastAsia" w:ascii="宋体" w:hAnsi="宋体" w:cs="宋体"/>
                <w:b/>
                <w:bCs w:val="0"/>
                <w:color w:val="auto"/>
                <w:sz w:val="21"/>
                <w:szCs w:val="21"/>
                <w:highlight w:val="none"/>
                <w:lang w:val="en-US" w:eastAsia="zh-CN"/>
              </w:rPr>
              <w:t>注：本项满分为50分，以采购需求书中要求提供（如有）的证明材料作为评审依据，未按要求提供不得分。</w:t>
            </w:r>
          </w:p>
        </w:tc>
      </w:tr>
      <w:tr w14:paraId="5225A16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1C5336D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F9F1C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设备授权情况（</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695492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供应商提供设备制造商或代理商针对本</w:t>
            </w:r>
            <w:r>
              <w:rPr>
                <w:rFonts w:hint="eastAsia" w:asciiTheme="minorEastAsia" w:hAnsiTheme="minorEastAsia" w:eastAsiaTheme="minorEastAsia" w:cstheme="minorEastAsia"/>
                <w:sz w:val="21"/>
                <w:szCs w:val="21"/>
                <w:highlight w:val="none"/>
                <w:lang w:eastAsia="zh-CN"/>
              </w:rPr>
              <w:t>项目</w:t>
            </w:r>
            <w:r>
              <w:rPr>
                <w:rFonts w:hint="eastAsia" w:asciiTheme="minorEastAsia" w:hAnsiTheme="minorEastAsia" w:eastAsiaTheme="minorEastAsia" w:cstheme="minorEastAsia"/>
                <w:sz w:val="21"/>
                <w:szCs w:val="21"/>
                <w:highlight w:val="none"/>
              </w:rPr>
              <w:t>所投产品有效的授权文件（如为所投产品制造商，则提供制造商证明文件）的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分，如供应商提供的授权文件为代理商针对本项目所投产品有效的授权文件的，还须同时提供设备制造商对代理商的有效授权文件，未按要求提供的得0分。 </w:t>
            </w:r>
          </w:p>
          <w:p w14:paraId="7DD0FE8F">
            <w:pPr>
              <w:pStyle w:val="25"/>
              <w:numPr>
                <w:ilvl w:val="0"/>
                <w:numId w:val="0"/>
              </w:numPr>
              <w:jc w:val="left"/>
              <w:rPr>
                <w:rFonts w:hint="eastAsia" w:ascii="宋体" w:hAnsi="宋体" w:eastAsia="宋体" w:cs="宋体"/>
                <w:color w:val="auto"/>
                <w:kern w:val="0"/>
                <w:sz w:val="21"/>
                <w:szCs w:val="21"/>
                <w:highlight w:val="none"/>
                <w:lang w:val="zh-CN" w:eastAsia="zh-CN" w:bidi="ar"/>
              </w:rPr>
            </w:pPr>
            <w:r>
              <w:rPr>
                <w:rFonts w:hint="eastAsia" w:asciiTheme="minorEastAsia" w:hAnsiTheme="minorEastAsia" w:eastAsiaTheme="minorEastAsia" w:cstheme="minorEastAsia"/>
                <w:sz w:val="21"/>
                <w:szCs w:val="21"/>
                <w:highlight w:val="none"/>
              </w:rPr>
              <w:t>注：</w:t>
            </w:r>
            <w:r>
              <w:rPr>
                <w:rFonts w:hint="eastAsia" w:asciiTheme="minorEastAsia" w:hAnsiTheme="minorEastAsia" w:eastAsiaTheme="minorEastAsia" w:cstheme="minorEastAsia"/>
                <w:sz w:val="21"/>
                <w:szCs w:val="21"/>
                <w:highlight w:val="none"/>
                <w:lang w:eastAsia="zh-CN"/>
              </w:rPr>
              <w:t>响应</w:t>
            </w:r>
            <w:r>
              <w:rPr>
                <w:rFonts w:hint="eastAsia" w:asciiTheme="minorEastAsia" w:hAnsiTheme="minorEastAsia" w:eastAsiaTheme="minorEastAsia" w:cstheme="minorEastAsia"/>
                <w:sz w:val="21"/>
                <w:szCs w:val="21"/>
                <w:highlight w:val="none"/>
              </w:rPr>
              <w:t>文件中提供授权文件复印件</w:t>
            </w:r>
            <w:r>
              <w:rPr>
                <w:rFonts w:hint="eastAsia" w:asciiTheme="minorEastAsia" w:hAnsiTheme="minorEastAsia" w:eastAsiaTheme="minorEastAsia" w:cstheme="minorEastAsia"/>
                <w:sz w:val="21"/>
                <w:szCs w:val="21"/>
                <w:highlight w:val="none"/>
                <w:lang w:eastAsia="zh-CN"/>
              </w:rPr>
              <w:t>（如为产品制造商的提供相关证明文件）</w:t>
            </w:r>
            <w:r>
              <w:rPr>
                <w:rFonts w:hint="eastAsia" w:asciiTheme="minorEastAsia" w:hAnsiTheme="minorEastAsia" w:eastAsiaTheme="minorEastAsia" w:cstheme="minorEastAsia"/>
                <w:sz w:val="21"/>
                <w:szCs w:val="21"/>
                <w:highlight w:val="none"/>
              </w:rPr>
              <w:t>加盖供应商公章。</w:t>
            </w:r>
          </w:p>
        </w:tc>
      </w:tr>
      <w:tr w14:paraId="4811E1E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4D7D93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6932EC6">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yellow"/>
                <w:lang w:eastAsia="zh-CN"/>
              </w:rPr>
            </w:pPr>
            <w:r>
              <w:rPr>
                <w:rFonts w:hint="eastAsia" w:ascii="宋体" w:hAnsi="宋体" w:cs="宋体"/>
                <w:color w:val="auto"/>
                <w:sz w:val="21"/>
                <w:szCs w:val="21"/>
                <w:highlight w:val="none"/>
                <w:lang w:val="en-US" w:eastAsia="zh-CN" w:bidi="ar"/>
              </w:rPr>
              <w:t>技术服务方案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B11E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w:t>
            </w:r>
            <w:r>
              <w:rPr>
                <w:rFonts w:hint="eastAsia" w:asciiTheme="minorEastAsia" w:hAnsiTheme="minorEastAsia" w:eastAsia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的安装、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培训计划等情况进行评审： </w:t>
            </w:r>
          </w:p>
          <w:p w14:paraId="56AD857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培训计划条理非常清晰，脉络分明，操作性强，人性化，能体现以人为本、服务至上的售后理念，得</w:t>
            </w:r>
            <w:r>
              <w:rPr>
                <w:rFonts w:hint="eastAsia" w:asciiTheme="minorEastAsia" w:hAnsi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w:t>
            </w:r>
          </w:p>
          <w:p w14:paraId="2D2D684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培训计划条理较清晰，脉络较分明，操作性较强，基本体现以人为本、服务至上的售后理念，得</w:t>
            </w:r>
            <w:r>
              <w:rPr>
                <w:rFonts w:hint="eastAsia" w:asciiTheme="minorEastAsia" w:hAnsi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p>
          <w:p w14:paraId="10E7B917">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培训计划条理一般，脉络不分明，操作性一般，以人为本、服务至上的售后理念含糊，得</w:t>
            </w:r>
            <w:r>
              <w:rPr>
                <w:rFonts w:hint="eastAsia" w:asciiTheme="minorEastAsia" w:hAnsi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 xml:space="preserve">分； </w:t>
            </w:r>
          </w:p>
          <w:p w14:paraId="146391F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培训计划条理模糊，脉络混乱，操作性差，不能体现以人为本、服务至上的售后理念，得</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 xml:space="preserve">分； </w:t>
            </w:r>
          </w:p>
          <w:p w14:paraId="224866DE">
            <w:pPr>
              <w:pStyle w:val="25"/>
              <w:numPr>
                <w:ilvl w:val="0"/>
                <w:numId w:val="0"/>
              </w:numPr>
              <w:jc w:val="left"/>
              <w:rPr>
                <w:rFonts w:hint="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不提供方案的不得分。</w:t>
            </w:r>
          </w:p>
        </w:tc>
      </w:tr>
      <w:tr w14:paraId="18E709B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60A1D65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C3EF80F">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质量保证承诺方案(8分)</w:t>
            </w:r>
          </w:p>
          <w:p w14:paraId="7995120D">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71F59805">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根据供应商质量保证措施、针对性、可行性情况进行</w:t>
            </w:r>
            <w:r>
              <w:rPr>
                <w:rFonts w:hint="eastAsia" w:asciiTheme="minorEastAsia" w:hAnsiTheme="minorEastAsia" w:cstheme="minorEastAsia"/>
                <w:sz w:val="21"/>
                <w:szCs w:val="21"/>
                <w:highlight w:val="none"/>
                <w:lang w:val="en-US" w:eastAsia="zh-CN"/>
              </w:rPr>
              <w:t>评审</w:t>
            </w:r>
            <w:r>
              <w:rPr>
                <w:rFonts w:hint="eastAsia" w:asciiTheme="minorEastAsia" w:hAnsiTheme="minorEastAsia" w:eastAsiaTheme="minorEastAsia" w:cstheme="minorEastAsia"/>
                <w:sz w:val="21"/>
                <w:szCs w:val="21"/>
                <w:highlight w:val="none"/>
                <w:lang w:val="en-US" w:eastAsia="zh-CN"/>
              </w:rPr>
              <w:t xml:space="preserve">： </w:t>
            </w:r>
          </w:p>
          <w:p w14:paraId="4EC4DAA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质量保证措施详细具体、针对性强、合理可行，得</w:t>
            </w:r>
            <w:r>
              <w:rPr>
                <w:rFonts w:hint="eastAsia" w:asciiTheme="minorEastAsia" w:hAnsi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lang w:val="en-US" w:eastAsia="zh-CN"/>
              </w:rPr>
              <w:t xml:space="preserve">分； </w:t>
            </w:r>
          </w:p>
          <w:p w14:paraId="5068448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质量保证措施较详细具体、针对性较强、较合理可行，得</w:t>
            </w:r>
            <w:r>
              <w:rPr>
                <w:rFonts w:hint="eastAsia" w:asciiTheme="minorEastAsia" w:hAnsi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val="en-US" w:eastAsia="zh-CN"/>
              </w:rPr>
              <w:t>分；</w:t>
            </w:r>
          </w:p>
          <w:p w14:paraId="6B60FCF7">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质量保证措施基本完整、有一定针对性、可行性一般，得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 xml:space="preserve">分； </w:t>
            </w:r>
          </w:p>
          <w:p w14:paraId="78984D10">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质量保证措施不完整、缺乏针对性、可行性差，得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分；</w:t>
            </w:r>
          </w:p>
          <w:p w14:paraId="557C1803">
            <w:pPr>
              <w:pStyle w:val="25"/>
              <w:numPr>
                <w:ilvl w:val="0"/>
                <w:numId w:val="0"/>
              </w:numPr>
              <w:jc w:val="left"/>
              <w:rPr>
                <w:rFonts w:hint="eastAsia" w:ascii="宋体" w:hAnsi="宋体" w:eastAsia="宋体" w:cs="宋体"/>
                <w:color w:val="auto"/>
                <w:sz w:val="21"/>
                <w:szCs w:val="21"/>
                <w:highlight w:val="none"/>
                <w:lang w:val="zh-CN" w:eastAsia="zh-CN" w:bidi="ar"/>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r w14:paraId="1EF4239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67177B1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EF9B908">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售后服务承诺</w:t>
            </w:r>
            <w:r>
              <w:rPr>
                <w:rFonts w:hint="eastAsia" w:ascii="宋体" w:hAnsi="宋体" w:cs="宋体"/>
                <w:sz w:val="21"/>
                <w:szCs w:val="21"/>
                <w:highlight w:val="none"/>
                <w:lang w:val="en-US" w:eastAsia="zh-CN"/>
              </w:rPr>
              <w:t>方案</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0DEB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根据供应商的售后服务承诺方案进行评审（包括质</w:t>
            </w:r>
            <w:r>
              <w:rPr>
                <w:rFonts w:hint="eastAsia" w:asciiTheme="minorEastAsia" w:hAnsiTheme="minorEastAsia" w:eastAsiaTheme="minorEastAsia" w:cstheme="minorEastAsia"/>
                <w:sz w:val="21"/>
                <w:szCs w:val="21"/>
                <w:highlight w:val="none"/>
                <w:lang w:val="en-US" w:eastAsia="zh-CN"/>
              </w:rPr>
              <w:t>量保证</w:t>
            </w:r>
            <w:r>
              <w:rPr>
                <w:rFonts w:hint="eastAsia" w:asciiTheme="minorEastAsia" w:hAnsiTheme="minorEastAsia" w:eastAsiaTheme="minorEastAsia" w:cstheme="minorEastAsia"/>
                <w:sz w:val="21"/>
                <w:szCs w:val="21"/>
                <w:highlight w:val="none"/>
              </w:rPr>
              <w:t>期、</w:t>
            </w:r>
            <w:r>
              <w:rPr>
                <w:rFonts w:hint="eastAsia" w:asciiTheme="minorEastAsia" w:hAnsiTheme="minorEastAsia" w:eastAsiaTheme="minorEastAsia" w:cstheme="minorEastAsia"/>
                <w:sz w:val="21"/>
                <w:szCs w:val="21"/>
                <w:highlight w:val="none"/>
                <w:lang w:val="en-US" w:eastAsia="zh-CN"/>
              </w:rPr>
              <w:t>承诺提供的设备生产日期、</w:t>
            </w:r>
            <w:r>
              <w:rPr>
                <w:rFonts w:hint="eastAsia" w:asciiTheme="minorEastAsia" w:hAnsiTheme="minorEastAsia" w:eastAsiaTheme="minorEastAsia" w:cstheme="minorEastAsia"/>
                <w:sz w:val="21"/>
                <w:szCs w:val="21"/>
                <w:highlight w:val="none"/>
              </w:rPr>
              <w:t>维护保养</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服务响应</w:t>
            </w:r>
            <w:r>
              <w:rPr>
                <w:rFonts w:hint="eastAsia" w:asciiTheme="minorEastAsia" w:hAnsiTheme="minorEastAsia" w:eastAsiaTheme="minorEastAsia" w:cstheme="minorEastAsia"/>
                <w:sz w:val="21"/>
                <w:szCs w:val="21"/>
                <w:highlight w:val="none"/>
              </w:rPr>
              <w:t>等内容）：</w:t>
            </w:r>
          </w:p>
          <w:p w14:paraId="5F071F88">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优于</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要求，售后服务内容详细、可行、操作性强，售后服务专业、解决问题效率高，服务响应到场时间短，零配件供应详细、合理，切合实际，完全响应并满足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 xml:space="preserve">分； </w:t>
            </w:r>
          </w:p>
          <w:p w14:paraId="59589062">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要求，售后服务内容较详细、可行，售后服务较专业、解决问题效率较高，服务响应到场时间较短，零配件供应较详细、合理，较能满足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 xml:space="preserve">分； </w:t>
            </w:r>
          </w:p>
          <w:p w14:paraId="6C674721">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承诺的质量保证期基本明确，</w:t>
            </w:r>
            <w:r>
              <w:rPr>
                <w:rFonts w:hint="eastAsia" w:asciiTheme="minorEastAsia" w:hAnsiTheme="minorEastAsia" w:eastAsiaTheme="minorEastAsia" w:cstheme="minorEastAsia"/>
                <w:sz w:val="21"/>
                <w:szCs w:val="21"/>
                <w:highlight w:val="none"/>
                <w:lang w:val="en-US" w:eastAsia="zh-CN"/>
              </w:rPr>
              <w:t>质量保证期或承诺提供的设备生产日期满足比选文件要求，</w:t>
            </w:r>
            <w:r>
              <w:rPr>
                <w:rFonts w:hint="eastAsia" w:asciiTheme="minorEastAsia" w:hAnsiTheme="minorEastAsia" w:eastAsiaTheme="minorEastAsia" w:cstheme="minorEastAsia"/>
                <w:sz w:val="21"/>
                <w:szCs w:val="21"/>
                <w:highlight w:val="none"/>
              </w:rPr>
              <w:t>售后服务内容简单，解决问题效率一般，服务响应到场时间较长，零配件供应不详尽，不能完全响应</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 xml:space="preserve">分； </w:t>
            </w:r>
          </w:p>
          <w:p w14:paraId="710A1AFF">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售后服务内容、质量保证期模糊不清，</w:t>
            </w:r>
            <w:r>
              <w:rPr>
                <w:rFonts w:hint="eastAsia" w:asciiTheme="minorEastAsia" w:hAnsiTheme="minorEastAsia" w:eastAsiaTheme="minorEastAsia" w:cstheme="minorEastAsia"/>
                <w:sz w:val="21"/>
                <w:szCs w:val="21"/>
                <w:highlight w:val="none"/>
                <w:lang w:val="en-US" w:eastAsia="zh-CN"/>
              </w:rPr>
              <w:t>承诺提供的设备生产日期不能满足比选文件要求，</w:t>
            </w:r>
            <w:r>
              <w:rPr>
                <w:rFonts w:hint="eastAsia" w:asciiTheme="minorEastAsia" w:hAnsiTheme="minorEastAsia" w:eastAsiaTheme="minorEastAsia" w:cstheme="minorEastAsia"/>
                <w:sz w:val="21"/>
                <w:szCs w:val="21"/>
                <w:highlight w:val="none"/>
              </w:rPr>
              <w:t>售后服务差，服务响应到场时间等不满足</w:t>
            </w:r>
            <w:r>
              <w:rPr>
                <w:rFonts w:hint="eastAsia" w:asciiTheme="minorEastAsia" w:hAnsiTheme="minorEastAsia" w:eastAsiaTheme="minorEastAsia" w:cstheme="minorEastAsia"/>
                <w:sz w:val="21"/>
                <w:szCs w:val="21"/>
                <w:highlight w:val="none"/>
                <w:lang w:eastAsia="zh-CN"/>
              </w:rPr>
              <w:t>采购需求或</w:t>
            </w:r>
            <w:r>
              <w:rPr>
                <w:rFonts w:hint="eastAsia" w:asciiTheme="minorEastAsia" w:hAnsiTheme="minorEastAsia" w:eastAsiaTheme="minorEastAsia" w:cstheme="minorEastAsia"/>
                <w:sz w:val="21"/>
                <w:szCs w:val="21"/>
                <w:highlight w:val="none"/>
              </w:rPr>
              <w:t>不提供方案</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w:t>
            </w:r>
          </w:p>
          <w:p w14:paraId="1A42104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bl>
    <w:p w14:paraId="2E4466CD">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补充事项</w:t>
      </w:r>
    </w:p>
    <w:p w14:paraId="6462357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一）当在参选截止时间前提交参选文件的参选人只有两家或经评审符合资格条件的参选人只有两家或对参选文件作实质响应的参选人只有两家时，评选小组继续按照本次公告的评审方法对参选人进行详细评审，确定拟中选单位（如经评审符合资格条件或对参选文件作实质响应的参选人剩下一家，则确定其为拟中选单位）；</w:t>
      </w:r>
    </w:p>
    <w:p w14:paraId="72E7A29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b/>
          <w:bCs/>
          <w:color w:val="auto"/>
          <w:sz w:val="21"/>
          <w:szCs w:val="21"/>
          <w:highlight w:val="none"/>
          <w:lang w:val="en-US" w:eastAsia="zh-CN"/>
        </w:rPr>
      </w:pPr>
      <w:r>
        <w:rPr>
          <w:rFonts w:hint="eastAsia" w:ascii="宋体" w:hAnsi="宋体" w:cs="宋体"/>
          <w:color w:val="000000"/>
          <w:sz w:val="21"/>
          <w:szCs w:val="21"/>
          <w:lang w:val="en-US" w:eastAsia="zh-CN"/>
        </w:rPr>
        <w:t>（二）当在参选截止时间前提交参选文件的参选人只有一家，经评审符合资格条件且已对参选文件作实质响应的，则确定其为拟中选单位。</w:t>
      </w:r>
    </w:p>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十一、</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5905438D">
      <w:pPr>
        <w:keepNext w:val="0"/>
        <w:keepLines w:val="0"/>
        <w:pageBreakBefore w:val="0"/>
        <w:kinsoku/>
        <w:wordWrap/>
        <w:overflowPunct/>
        <w:topLinePunct w:val="0"/>
        <w:bidi w:val="0"/>
        <w:spacing w:line="360" w:lineRule="exact"/>
        <w:ind w:left="0" w:leftChars="0" w:firstLine="420" w:firstLineChars="200"/>
        <w:jc w:val="both"/>
        <w:rPr>
          <w:rFonts w:hint="default" w:ascii="宋体" w:hAnsi="宋体" w:cs="宋体"/>
          <w:b w:val="0"/>
          <w:bCs/>
          <w:color w:val="auto"/>
          <w:sz w:val="21"/>
          <w:szCs w:val="21"/>
          <w:highlight w:val="none"/>
          <w:lang w:val="en-US" w:eastAsia="zh-CN"/>
        </w:rPr>
      </w:pPr>
    </w:p>
    <w:p w14:paraId="6EE192EC">
      <w:pPr>
        <w:keepNext w:val="0"/>
        <w:keepLines w:val="0"/>
        <w:pageBreakBefore w:val="0"/>
        <w:kinsoku/>
        <w:overflowPunct/>
        <w:topLinePunct w:val="0"/>
        <w:bidi w:val="0"/>
        <w:spacing w:line="360" w:lineRule="exact"/>
        <w:rPr>
          <w:rFonts w:hint="eastAsia" w:ascii="宋体" w:hAnsi="宋体" w:eastAsia="宋体" w:cs="宋体"/>
          <w:sz w:val="21"/>
          <w:szCs w:val="21"/>
        </w:rPr>
      </w:pPr>
    </w:p>
    <w:p w14:paraId="70C575D8">
      <w:pPr>
        <w:keepNext w:val="0"/>
        <w:keepLines w:val="0"/>
        <w:pageBreakBefore w:val="0"/>
        <w:kinsoku/>
        <w:overflowPunct/>
        <w:topLinePunct w:val="0"/>
        <w:bidi w:val="0"/>
        <w:spacing w:line="360" w:lineRule="exact"/>
        <w:rPr>
          <w:rFonts w:hint="eastAsia" w:ascii="宋体" w:hAnsi="宋体" w:eastAsia="宋体" w:cs="宋体"/>
          <w:sz w:val="21"/>
          <w:szCs w:val="21"/>
        </w:rPr>
      </w:pPr>
    </w:p>
    <w:p w14:paraId="199496C4">
      <w:pPr>
        <w:keepNext w:val="0"/>
        <w:keepLines w:val="0"/>
        <w:pageBreakBefore w:val="0"/>
        <w:kinsoku/>
        <w:overflowPunct/>
        <w:topLinePunct w:val="0"/>
        <w:bidi w:val="0"/>
        <w:spacing w:line="360" w:lineRule="exact"/>
        <w:rPr>
          <w:rFonts w:hint="eastAsia" w:ascii="宋体" w:hAnsi="宋体" w:eastAsia="宋体" w:cs="宋体"/>
          <w:sz w:val="21"/>
          <w:szCs w:val="21"/>
        </w:rPr>
      </w:pPr>
    </w:p>
    <w:p w14:paraId="5E1B42E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45D24521">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3D17AC0">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E66E66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1">
    <w:nsid w:val="25AC67AC"/>
    <w:multiLevelType w:val="singleLevel"/>
    <w:tmpl w:val="25AC67A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3E5403"/>
    <w:rsid w:val="004E7DE6"/>
    <w:rsid w:val="00544619"/>
    <w:rsid w:val="00C87466"/>
    <w:rsid w:val="0120118E"/>
    <w:rsid w:val="013C7F41"/>
    <w:rsid w:val="020A5FE5"/>
    <w:rsid w:val="02AD51D0"/>
    <w:rsid w:val="03192A63"/>
    <w:rsid w:val="04E27430"/>
    <w:rsid w:val="05E30E00"/>
    <w:rsid w:val="06CB0177"/>
    <w:rsid w:val="074F28CD"/>
    <w:rsid w:val="075A0C9C"/>
    <w:rsid w:val="075D0E74"/>
    <w:rsid w:val="088C3CD7"/>
    <w:rsid w:val="08B42162"/>
    <w:rsid w:val="08D860D6"/>
    <w:rsid w:val="09D81B4F"/>
    <w:rsid w:val="0A552405"/>
    <w:rsid w:val="0AAA604C"/>
    <w:rsid w:val="0B105E8F"/>
    <w:rsid w:val="0B5A71A0"/>
    <w:rsid w:val="0B816D4C"/>
    <w:rsid w:val="0D303E96"/>
    <w:rsid w:val="0D5356A5"/>
    <w:rsid w:val="0F411E6B"/>
    <w:rsid w:val="10FD2C30"/>
    <w:rsid w:val="11F2677F"/>
    <w:rsid w:val="11FD4E35"/>
    <w:rsid w:val="120A5047"/>
    <w:rsid w:val="12810D5F"/>
    <w:rsid w:val="16AF68E3"/>
    <w:rsid w:val="176123BD"/>
    <w:rsid w:val="17AD667F"/>
    <w:rsid w:val="19C23FFF"/>
    <w:rsid w:val="1ACB09B1"/>
    <w:rsid w:val="1B902BD0"/>
    <w:rsid w:val="1D1A254A"/>
    <w:rsid w:val="1DAB3FD6"/>
    <w:rsid w:val="1E431A19"/>
    <w:rsid w:val="21316930"/>
    <w:rsid w:val="219C3D3D"/>
    <w:rsid w:val="21E441D2"/>
    <w:rsid w:val="241A2687"/>
    <w:rsid w:val="253202CD"/>
    <w:rsid w:val="29B10698"/>
    <w:rsid w:val="2C4E34C1"/>
    <w:rsid w:val="2CB27DEF"/>
    <w:rsid w:val="2F942FD1"/>
    <w:rsid w:val="30366115"/>
    <w:rsid w:val="32301FF4"/>
    <w:rsid w:val="32862630"/>
    <w:rsid w:val="33AD6EE0"/>
    <w:rsid w:val="34D81478"/>
    <w:rsid w:val="384D4FD8"/>
    <w:rsid w:val="39E61657"/>
    <w:rsid w:val="3A822C5D"/>
    <w:rsid w:val="3AEB754D"/>
    <w:rsid w:val="3C11515E"/>
    <w:rsid w:val="3C545C86"/>
    <w:rsid w:val="3D064E51"/>
    <w:rsid w:val="410F24F8"/>
    <w:rsid w:val="41B868E9"/>
    <w:rsid w:val="47977F8E"/>
    <w:rsid w:val="488A14A0"/>
    <w:rsid w:val="49FB0CA3"/>
    <w:rsid w:val="4A612ED3"/>
    <w:rsid w:val="4AE91161"/>
    <w:rsid w:val="4C9854C5"/>
    <w:rsid w:val="4E534068"/>
    <w:rsid w:val="4ED176DC"/>
    <w:rsid w:val="4F183C27"/>
    <w:rsid w:val="4FA2515B"/>
    <w:rsid w:val="52D05187"/>
    <w:rsid w:val="53BE1870"/>
    <w:rsid w:val="54FD72FC"/>
    <w:rsid w:val="557E41CD"/>
    <w:rsid w:val="55DF5D85"/>
    <w:rsid w:val="57A26C6F"/>
    <w:rsid w:val="57A47613"/>
    <w:rsid w:val="5966506E"/>
    <w:rsid w:val="59761BA9"/>
    <w:rsid w:val="5AF56DED"/>
    <w:rsid w:val="5B3C6189"/>
    <w:rsid w:val="5B8247AD"/>
    <w:rsid w:val="5BCA515F"/>
    <w:rsid w:val="5DDA7107"/>
    <w:rsid w:val="5E4647B1"/>
    <w:rsid w:val="5FA04E1F"/>
    <w:rsid w:val="5FC6594D"/>
    <w:rsid w:val="60766E58"/>
    <w:rsid w:val="60802BED"/>
    <w:rsid w:val="61560A3B"/>
    <w:rsid w:val="62503D99"/>
    <w:rsid w:val="631B1778"/>
    <w:rsid w:val="642705C1"/>
    <w:rsid w:val="657038D9"/>
    <w:rsid w:val="66895538"/>
    <w:rsid w:val="676D3727"/>
    <w:rsid w:val="69D1193E"/>
    <w:rsid w:val="6A256A3F"/>
    <w:rsid w:val="6AD80A32"/>
    <w:rsid w:val="6E11703B"/>
    <w:rsid w:val="70C54A6B"/>
    <w:rsid w:val="71B92164"/>
    <w:rsid w:val="721D6DAF"/>
    <w:rsid w:val="728C5C5D"/>
    <w:rsid w:val="729B2CA6"/>
    <w:rsid w:val="73314E5B"/>
    <w:rsid w:val="74C9421C"/>
    <w:rsid w:val="78C30A2E"/>
    <w:rsid w:val="795559D4"/>
    <w:rsid w:val="79B128AE"/>
    <w:rsid w:val="7C69286B"/>
    <w:rsid w:val="7E540BF3"/>
    <w:rsid w:val="7EFE1AFE"/>
    <w:rsid w:val="7F5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4">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qFormat/>
    <w:uiPriority w:val="0"/>
    <w:pPr>
      <w:widowControl w:val="0"/>
      <w:jc w:val="both"/>
    </w:pPr>
    <w:rPr>
      <w:kern w:val="2"/>
      <w:sz w:val="28"/>
    </w:r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7"/>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3001</Words>
  <Characters>3159</Characters>
  <Lines>0</Lines>
  <Paragraphs>0</Paragraphs>
  <TotalTime>1</TotalTime>
  <ScaleCrop>false</ScaleCrop>
  <LinksUpToDate>false</LinksUpToDate>
  <CharactersWithSpaces>3174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мìττý</cp:lastModifiedBy>
  <cp:lastPrinted>2024-12-27T08:30:00Z</cp:lastPrinted>
  <dcterms:modified xsi:type="dcterms:W3CDTF">2025-08-18T01:52:30Z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09ECCB05D3B74FB9857E198F7286EE9B_13</vt:lpwstr>
  </property>
  <property fmtid="{D5CDD505-2E9C-101B-9397-08002B2CF9AE}" pid="4" name="KSOTemplateDocerSaveRecord">
    <vt:lpwstr>eyJoZGlkIjoiNmM3OTI1NDk3M2U1M2M4YzY1ZjFmOTc5ZWE5MzZiYzUiLCJ1c2VySWQiOiIzMzc0NDkxODMifQ==</vt:lpwstr>
  </property>
</Properties>
</file>