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微软简标宋" w:hAnsi="微软简标宋" w:eastAsia="微软简标宋" w:cs="微软简标宋"/>
          <w:kern w:val="2"/>
          <w:sz w:val="44"/>
          <w:szCs w:val="44"/>
          <w:lang w:val="en-US" w:eastAsia="zh-CN"/>
        </w:rPr>
        <w:t>板芙镇2023年度财政决算草案报告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——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2024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bCs/>
          <w:sz w:val="32"/>
          <w:szCs w:val="32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日在板芙镇第十七届人民代表大会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第八次会议上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 w:bidi="ar-SA"/>
        </w:rPr>
        <w:t>各位代表：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我受镇人民政府的委托，向大会作板芙镇2023年度财政决算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草案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报告，请予审查。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2023年，财政工作在镇委、镇政府的坚强领导和镇人大的监督指导下，始终坚持以习近平新时代中国特色社会主义思想为指导，全面贯彻落实党的二十大精神，以助推高质量发展为着力点，不断深化财政管理改革，积极落实财政管理新要求，全力保障重点领域支出，兜牢兜实“三保”底线，财政运行总体平稳，为全镇经济社会发展提供有效财力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一、2023年财政决算情况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（一）一般公共预算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1.一般公共预算收入。2023年全镇一般公共预算收入43475.36万元，完成年度调整预算的108.86%，其中：税收分成14739.91万元、非税收入28735.45万元。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.上级补助收入。2023年全镇一般公共预算上级补助收入17303.17万元，完成年度调整预算的129.26%，其中：税收基数返还1207万元、均衡性转移支付收入7437.70万元、政策性转移支付收入741万元、专项转移支付收入6191.47万元、临时救助资金1400万元、其他一般性转移支付收入326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3.一般公共预算支出。2023年全镇一般公共预算支出58589.71万元，完成年度调整预算的83.05%。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4.一般公共预算结余。2023年全镇一般公共预算收入43475.36万元，加上级补助收入17303.17万元、债务转贷收入1140万元、调入资金11365.21万元，合计73283.74万元；减一般公共预算支出58589.71万元、上解支出14694.03万元，无结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（二）政府性基金预算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2023年全镇政府性基金预算收入9306.51万元（国有土地使用权出让收入8178.96万元、污水处理费收入1127.55万元），加上级补助收入87.23万元、债务转贷收入80707万元、调入资金57639.11万元，合计147739.85万元；减政府性基金预算支出80253.08万元、调出资金65020.39万元、上解支出2466.38万元，无结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（三）财政专户资金情况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2023年全镇财政专户结余结转调整-3548.67万元，加上上年结余结转5472.59万元，本年结余结转1923.92万元。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（四）财政代管资金情况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2023年全镇财政代管资金收入3915.01万元，加上上年结余242.13万元，减去财政代管资金支出1579.48万元、调出资金2138.38万元，财政代管资金结余结转439.28万元。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（五）债务管理情况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2023年全镇地方政府债券余额100912.30万元，其中：一般债券余额3800万元，专项债券余额97112.30万元。全年偿还到期专项债券本金2377万元，偿还债券利息及支付手续费1349.80万元。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二、2023年重点领域支出政策落实情况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（一）政策支持有保障，重点领域促发展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一是着力促进经济发展。拨付14738万元加快重大产业平台扩园增效，启动建设芙中分园，加强智装园招商引资，着力推动智装园项目优势转为发展胜势。拨付427万元推进低效工业园改造升级，“工改”项目捷报频传，工业强镇建设再上新台阶。拨付10000万元壮大镇属企业，强化镇属企业运营，促进镇属企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二是深入推进“百千万工程”。拨付50450万元顺利实施芙中路、工业大道、迎宾大道、板芙大道等升级改造工程，不断优化镇内主次干道，提升交通运输力，疏通经济动脉。投入2400万元打响老旧小区改造“大会战”，老旧小区“旧貌换新颜”，公共设施和治理服务得到更大提升。拨付447万元推进木围、庙滘、禾尾、福荏围、华益围、寿围水闸等重建工程，进一步提升防洪排涝、防灾减灾能力。拨付3338万元推动污水治理踏步前进，促进板芙村、板尾村生活污水治理、40个小区支管到户改造等项目落地见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三是持续加强农村发展建设。拨付13540万元扎实推进乡村振兴和农村人居环境整治，成功打造里溪村成为特色精品村，金钟村、广福村成为美丽宜居村，整合辖区文旅特色资源，启动“深湾-里溪-金钟-广福”美丽乡村示范带项目，建成农村“四小园”，形成独具我镇特色的“绿色生态游”“红色乡村游”精品路线，将村里的资源转变为有形资产，增加村集体经济收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（二）优化结构补短板，民生事业再改善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一是兜牢兜实“三保”底线。始终把“三保”工作摆在突出位置，坚持“三保”支出在财政支出中的优先顺序，强化“三保”预算执行监控，密切监控库款余额，评估财政运行风险，全年省定“三保”支出23035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二是推进教育事业提质增效。拨付14895万元支持加快镇级办学能力提升，推进基础教育均衡优质发展。其中：拨付504万元用于公民办中小学生均经费及教科书经费，落实教学资源均衡配置。拨付140万元顺利完成领美幼儿园装修及教学设施改造工程，优化硬件建设，提升办学水平。拨付947万元推进学前教育更加优质普惠，新增学前教育优质学位270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三是全力支持医疗卫生事业。拨付卫生健康事业3093万元，完善疾病预防控制体系，深化健康板芙建设。其中：拨付687万元健全基本公共卫生服务体系，努力提升全镇医疗保障水平。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四是不断提高社会保障体系。拨付社会保障和就业事业7362万元，进一步完善城乡社会保障制度，加强基本民生保障。其中：拨付546万元着力做好高校毕业生、退役军人、就业困难人员、农村剩余劳动力等创业就业工作，坚持就业优先，全年新增就业1600多人；拨付422万元用于残疾人事业发展，进一步保障残疾人的生活水平，减轻残疾家庭生活负担；拨付843万元用于发放低保对象、优抚对象、临时困难等各类生活补助，加强基本民生保障；拨付207万元用于敬老院运转和老年人事业发展，持续提升养老服务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三、其他财政重点工作情况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（一）多措并举聚财力，提质增效强保障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一是落实财政收入组织措施，加速推进产业平台建设，大力支持招商引资，涵养优质税源，增强财政可持续增长后劲。深挖财政收入潜力，通过促进镇公共资源盘活增效,成功以公共停车泊位项目为抓手，增创非税收入25011万元，果敢蹚出一条“资源变资产、资产换资金”的板芙特色发展道路。全年实现镇级一般公共预算非税收入26595万元，完成率全市排名第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二是主动对接上级部门，积极争取上级资金支持，全年获批均衡性转移支付资金6900万元、临时救助资金5400万元、专项转移支付资金7335万元，有效缓解镇财政压力。用好用实中央直达资金政策，压实预算执行主体责任，全年累计使用直达资金2071万元，切实将“真金白银”用于市场主体和人民群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三是牢牢把握专项债券政策窗口期，以坐不住的紧迫感、慢不得的危机感、等不起的责任感，精准谋划、申报、储备一批专项债券项目，努力将债券资金提速增效、稳投资、破需求、补短板的作用最大化。全年成功争取专项债券资金79470万元，规模创历史新高，项目涵盖乡村振兴、基建、工改、教育、水体等领域，为我镇城镇建设和经济发展注入强大动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（二）厉行节约办事业，有促有控稳运行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牢固树立过“紧日子”思想，建立节约型财政保障机制，坚持勤俭办一切事业，维持财政收支紧平衡状态，确保财政运行风险可控。完善支出标准体系建设，持续压减机关事业单位运行成本，在编人员和非在编人员定员定额公用经费标准较2022年分别压减36%和25%。持续强化“三公”经费管理，2023年“三公”经费预算206万元，实际执行126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（三）预算管理强约束，财政改革再增效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一是推进农村财务改革，全面实施村级会计代理记账，建立健全农村财务管理制度，顺利完成农村集体三资和财务监管一体化服务平台上线应用。二是推进建章立制，持续提升绩效管理工作理论水平，全方位开展项目评价，初步形成部门自评和第三方评价并行的绩效管理工作体系。三是扎实开展工程审核，严把“评审资料关”“中介选取关”“现场踏勘关”，全年审减2694万元，切实节约财政资金，提高财政资金使用效率。四是扎实推进政府采购政策工作，建立健全本单位政府采购管理制度和内部工作规程，主动防范各类风险，提高政府采购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总体上看，2023年我镇财政运行总体平稳，但仍面临不少困难和问题：经济增长放缓，财政增收难度加大；刚性支出和发展支出持续增大，财政资金保障能力不足，财政收支矛盾突出；资金监管存在薄弱环节，部分资金使用绩效不高。针对这些问题，我们将高度重视，采取切实有效措施，努力加以解决。下一步，按照“勤俭节约、绩效导向、加强统筹、突出重点”四方面要求，围绕镇委、镇政府重要决策部署，我们将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（一）加强财政收支管理，增强财政保障能力。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积极挖潜增收，加强收入组织，认真落实“提质增效、更可持续”的积极财政政策，树立组织财政收入的目标意识，坚持抓大不放小，集中零星一起管，全力拓宽收入渠道，在政策允许范围内应收尽收。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（二）支持重点项目发展，致力改善民生福祉。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坚持发展优先，做大做强产业平台，大力招商引资，着力开创高质量发展新格局。深入实施“百千万工程”，持续推进乡村振兴，打好“工改”“治水”两大攻坚战，推动城镇发展。坚持人民至上，持续不懈改善民生福祉、兜牢兜实“三保”底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</w:rPr>
        <w:t>（三）深化预算管理改革，提升财政监管水平。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强化预算绩效监管，稳步提升预算绩效管理质量，促进绩效管理与预算编制、执行、监督融合提升。落实财政风险防控，坚守底线思维，加强政府债务风险监控，确保不发生区域性风险。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各位代表，做好财政工作任务繁重而艰巨，我们将坚持以党的二十大精神为指引，在镇委、镇政府的坚强领导下，在镇人大的监督和支持下，凝心聚力、真抓实干，踔厉奋发、勇毅前行，高质量做好财政各项工作，为加快建成“山水板芙、智造新城”贡献更多财政力量！</w:t>
      </w:r>
    </w:p>
    <w:p>
      <w:pPr>
        <w:pStyle w:val="2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headerReference r:id="rId5" w:type="default"/>
      <w:footerReference r:id="rId6" w:type="default"/>
      <w:pgSz w:w="11906" w:h="16838"/>
      <w:pgMar w:top="1134" w:right="1587" w:bottom="1134" w:left="1587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678"/>
      </w:tabs>
      <w:rPr>
        <w:rFonts w:hint="eastAsia" w:ascii="仿宋_GB2312" w:hAnsi="仿宋_GB2312" w:eastAsia="仿宋_GB2312" w:cs="仿宋_GB2312"/>
        <w:sz w:val="44"/>
        <w:szCs w:val="44"/>
      </w:rPr>
    </w:pPr>
    <w:r>
      <w:rPr>
        <w:rFonts w:hint="eastAsia" w:ascii="仿宋_GB2312" w:hAnsi="仿宋_GB2312" w:eastAsia="仿宋_GB2312" w:cs="仿宋_GB2312"/>
        <w:sz w:val="32"/>
        <w:szCs w:val="32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172A27"/>
    <w:rsid w:val="00323B43"/>
    <w:rsid w:val="003D37D8"/>
    <w:rsid w:val="00426133"/>
    <w:rsid w:val="004358AB"/>
    <w:rsid w:val="008B7726"/>
    <w:rsid w:val="00D31D50"/>
    <w:rsid w:val="019839AC"/>
    <w:rsid w:val="01EC3436"/>
    <w:rsid w:val="01F30842"/>
    <w:rsid w:val="02506AFC"/>
    <w:rsid w:val="047E45D5"/>
    <w:rsid w:val="04BD0CD5"/>
    <w:rsid w:val="06C14C23"/>
    <w:rsid w:val="09E92ED1"/>
    <w:rsid w:val="0AB822A5"/>
    <w:rsid w:val="0AEC727C"/>
    <w:rsid w:val="0D22141A"/>
    <w:rsid w:val="0D8F1A4E"/>
    <w:rsid w:val="0E4946FF"/>
    <w:rsid w:val="0E4A2181"/>
    <w:rsid w:val="127D1BE6"/>
    <w:rsid w:val="14D50377"/>
    <w:rsid w:val="152775FA"/>
    <w:rsid w:val="18517A73"/>
    <w:rsid w:val="1872382B"/>
    <w:rsid w:val="1B741899"/>
    <w:rsid w:val="1BA558EC"/>
    <w:rsid w:val="1C8C131D"/>
    <w:rsid w:val="1D7522E4"/>
    <w:rsid w:val="1E467139"/>
    <w:rsid w:val="1F192EAC"/>
    <w:rsid w:val="1F744AD0"/>
    <w:rsid w:val="1FDC04D4"/>
    <w:rsid w:val="23A32E08"/>
    <w:rsid w:val="242C12E4"/>
    <w:rsid w:val="24A63930"/>
    <w:rsid w:val="24FC0860"/>
    <w:rsid w:val="250C10D6"/>
    <w:rsid w:val="25E023B3"/>
    <w:rsid w:val="299B3453"/>
    <w:rsid w:val="2E63592A"/>
    <w:rsid w:val="2E9F1F0C"/>
    <w:rsid w:val="30F523E0"/>
    <w:rsid w:val="329E499A"/>
    <w:rsid w:val="330C4FCE"/>
    <w:rsid w:val="33980436"/>
    <w:rsid w:val="352F7252"/>
    <w:rsid w:val="35FF7B94"/>
    <w:rsid w:val="3629746A"/>
    <w:rsid w:val="362A4EEC"/>
    <w:rsid w:val="36381C83"/>
    <w:rsid w:val="368A620A"/>
    <w:rsid w:val="36A003AE"/>
    <w:rsid w:val="37BE2D84"/>
    <w:rsid w:val="389C6EEF"/>
    <w:rsid w:val="3D53112B"/>
    <w:rsid w:val="3DF33233"/>
    <w:rsid w:val="3DF71C39"/>
    <w:rsid w:val="3F5F7F07"/>
    <w:rsid w:val="422D6DA0"/>
    <w:rsid w:val="455C49D9"/>
    <w:rsid w:val="455E7EDC"/>
    <w:rsid w:val="478665E8"/>
    <w:rsid w:val="47E9088B"/>
    <w:rsid w:val="48850709"/>
    <w:rsid w:val="488D565D"/>
    <w:rsid w:val="49190F7D"/>
    <w:rsid w:val="49E95DD2"/>
    <w:rsid w:val="4A8D0ADE"/>
    <w:rsid w:val="4BBD7F80"/>
    <w:rsid w:val="4CF621D2"/>
    <w:rsid w:val="4E1E2F39"/>
    <w:rsid w:val="4E7613C9"/>
    <w:rsid w:val="4F194455"/>
    <w:rsid w:val="504F5206"/>
    <w:rsid w:val="54E164CF"/>
    <w:rsid w:val="5780666D"/>
    <w:rsid w:val="5AE503AE"/>
    <w:rsid w:val="5D545BA9"/>
    <w:rsid w:val="5E3C172A"/>
    <w:rsid w:val="5E4D41F2"/>
    <w:rsid w:val="65031149"/>
    <w:rsid w:val="659970BE"/>
    <w:rsid w:val="660776F2"/>
    <w:rsid w:val="666E039B"/>
    <w:rsid w:val="669F43ED"/>
    <w:rsid w:val="6AD904A6"/>
    <w:rsid w:val="6B2D5466"/>
    <w:rsid w:val="6B416685"/>
    <w:rsid w:val="6BA563A9"/>
    <w:rsid w:val="6F4D234E"/>
    <w:rsid w:val="71A74D85"/>
    <w:rsid w:val="72F737AD"/>
    <w:rsid w:val="73946B2F"/>
    <w:rsid w:val="74597E2D"/>
    <w:rsid w:val="74936A51"/>
    <w:rsid w:val="7A03263B"/>
    <w:rsid w:val="7A8C4B1E"/>
    <w:rsid w:val="7AEF6DC1"/>
    <w:rsid w:val="7AF04842"/>
    <w:rsid w:val="7C62341F"/>
    <w:rsid w:val="7F32323D"/>
    <w:rsid w:val="7F6270BB"/>
    <w:rsid w:val="7FC1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336" w:lineRule="auto"/>
      <w:outlineLvl w:val="0"/>
    </w:pPr>
    <w:rPr>
      <w:rFonts w:ascii="黑体" w:hAnsi="黑体" w:eastAsia="黑体"/>
      <w:b/>
      <w:kern w:val="44"/>
    </w:rPr>
  </w:style>
  <w:style w:type="paragraph" w:styleId="5">
    <w:name w:val="heading 2"/>
    <w:basedOn w:val="1"/>
    <w:next w:val="1"/>
    <w:link w:val="10"/>
    <w:unhideWhenUsed/>
    <w:qFormat/>
    <w:uiPriority w:val="9"/>
    <w:pPr>
      <w:keepNext/>
      <w:keepLines/>
      <w:spacing w:beforeLines="0" w:beforeAutospacing="0" w:afterLines="0" w:afterAutospacing="0" w:line="360" w:lineRule="auto"/>
      <w:outlineLvl w:val="1"/>
    </w:pPr>
    <w:rPr>
      <w:rFonts w:ascii="楷体_GB2312" w:hAnsi="楷体_GB2312" w:eastAsia="楷体_GB2312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adjustRightInd w:val="0"/>
      <w:snapToGrid w:val="0"/>
      <w:spacing w:line="360" w:lineRule="auto"/>
    </w:pPr>
    <w:rPr>
      <w:rFonts w:hint="default" w:ascii="仿宋_GB2312" w:hAnsi="宋体"/>
      <w:kern w:val="0"/>
      <w:sz w:val="28"/>
      <w:szCs w:val="28"/>
    </w:rPr>
  </w:style>
  <w:style w:type="paragraph" w:styleId="3">
    <w:name w:val="Title"/>
    <w:next w:val="1"/>
    <w:qFormat/>
    <w:uiPriority w:val="0"/>
    <w:pPr>
      <w:widowControl w:val="0"/>
      <w:spacing w:line="0" w:lineRule="atLeast"/>
      <w:ind w:leftChars="0" w:firstLine="880" w:firstLineChars="200"/>
      <w:jc w:val="center"/>
    </w:pPr>
    <w:rPr>
      <w:rFonts w:ascii="Arial" w:hAnsi="Arial" w:eastAsia="黑体" w:cs="Times New Roman"/>
      <w:kern w:val="2"/>
      <w:sz w:val="52"/>
      <w:szCs w:val="52"/>
      <w:lang w:val="en-US" w:eastAsia="zh-CN" w:bidi="ar-SA"/>
    </w:rPr>
  </w:style>
  <w:style w:type="paragraph" w:styleId="6">
    <w:name w:val="footer"/>
    <w:basedOn w:val="1"/>
    <w:qFormat/>
    <w:uiPriority w:val="0"/>
    <w:pPr>
      <w:snapToGrid w:val="0"/>
      <w:jc w:val="left"/>
    </w:pPr>
    <w:rPr>
      <w:rFonts w:hint="default" w:ascii="Times New Roman" w:hAnsi="Times New Roman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character" w:customStyle="1" w:styleId="10">
    <w:name w:val="标题 2 Char"/>
    <w:link w:val="5"/>
    <w:qFormat/>
    <w:uiPriority w:val="0"/>
    <w:rPr>
      <w:rFonts w:ascii="楷体_GB2312" w:hAnsi="楷体_GB2312"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2024-08-13T08:54:20Z</cp:lastPrinted>
  <dcterms:modified xsi:type="dcterms:W3CDTF">2024-08-13T08:54:27Z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A408316ED77848F795DE02B922551A60</vt:lpwstr>
  </property>
</Properties>
</file>