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中山市应急管理局202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年行政许可实施和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监督管理情况报告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市政府：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根据《关于开展行政许可实施和监督管理情况年度报告工作的通知》要求，现将我局202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年行政许可实施和监督管理情况报告如下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64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pacing w:val="6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6"/>
          <w:sz w:val="32"/>
          <w:szCs w:val="32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64" w:firstLineChars="200"/>
        <w:textAlignment w:val="auto"/>
        <w:outlineLvl w:val="9"/>
        <w:rPr>
          <w:rFonts w:hint="default" w:ascii="Times New Roman" w:hAnsi="Times New Roman" w:cs="Times New Roman"/>
          <w:color w:val="auto"/>
          <w:spacing w:val="6"/>
          <w:sz w:val="32"/>
          <w:szCs w:val="32"/>
        </w:rPr>
      </w:pPr>
      <w:r>
        <w:rPr>
          <w:rFonts w:hint="default" w:ascii="Times New Roman" w:hAnsi="Times New Roman" w:eastAsia="楷体_GB2312" w:cs="Times New Roman"/>
          <w:bCs w:val="0"/>
          <w:spacing w:val="6"/>
          <w:sz w:val="32"/>
          <w:szCs w:val="32"/>
        </w:rPr>
        <w:t>（一）现有事项及办理情况。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我局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现有行政许可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事项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val="en" w:eastAsia="zh-CN"/>
        </w:rPr>
        <w:t>41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项，已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全部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进驻广东省政务服务网中山分站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val="en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val="en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  <w:t>全年行政许可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eastAsia="zh-CN"/>
        </w:rPr>
        <w:t>事项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  <w:t>申请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eastAsia="zh-CN"/>
        </w:rPr>
        <w:t>数共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59221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  <w:t>宗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eastAsia="zh-CN"/>
        </w:rPr>
        <w:t>，受理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59221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  <w:t>宗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当年度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办结59206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</w:rPr>
        <w:t>宗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其中，未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在当年度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办结的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宗为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val="en" w:eastAsia="zh-CN"/>
        </w:rPr>
        <w:t>202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val="en" w:eastAsia="zh-CN"/>
        </w:rPr>
        <w:t>年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至202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年跨年办理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核查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事项，已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在2026年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按程序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时限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和有关法律法规核查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要求</w:t>
      </w:r>
      <w:r>
        <w:rPr>
          <w:rFonts w:hint="eastAsia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办结</w:t>
      </w:r>
      <w:r>
        <w:rPr>
          <w:rFonts w:hint="default" w:ascii="Times New Roman" w:hAnsi="Times New Roman" w:eastAsia="仿宋_GB2312" w:cs="Times New Roman"/>
          <w:color w:val="auto"/>
          <w:spacing w:val="6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64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spacing w:val="6"/>
          <w:sz w:val="32"/>
          <w:szCs w:val="32"/>
        </w:rPr>
        <w:t>（二）依法实施情况</w:t>
      </w:r>
      <w:r>
        <w:rPr>
          <w:rFonts w:hint="default" w:ascii="Times New Roman" w:hAnsi="Times New Roman" w:eastAsia="楷体_GB2312" w:cs="Times New Roman"/>
          <w:spacing w:val="6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我局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严格遵守法律法规规定的审批权限、范围、程序、条件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，严格把关企业是否符合有关法律、行政法规和国家标准或者行业标准规定的安全生产条件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不断完善各项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行政审批管理工作制度，明确了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各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审批流程办理环节的经办人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、审核人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和审批人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；不断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优化办事流程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，目前所有行政审批事项均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压减至1个工作日办结，平均跑动0次，即办件实现“1小时办结”，即办率100%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64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Cs w:val="0"/>
          <w:spacing w:val="6"/>
          <w:sz w:val="32"/>
          <w:szCs w:val="32"/>
        </w:rPr>
        <w:t>（三）公开公示情况。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我局在中山市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应急管理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官方网站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和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eastAsia="zh-CN"/>
        </w:rPr>
        <w:t>全国一体化在线政务服务平台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广东政务服务网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中山市统一申办受理平台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公开公示行政许可实施主体、依据、程序、条件、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时限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、裁量标准、申请材料及办法、收费标准、申请书格式文本、咨询投诉途径等信息内容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行政许可事项受理、审批、办结后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，同步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通过广东政务服务网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统一申办平台自动短信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告知申请人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，同时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电话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通知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申请人。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行政许可事项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办结情况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同时录入“信用中国广东中山（信用中山）”信息系统、“广东省行政执法信息公示平台”，向社会公开公示。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64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6"/>
          <w:sz w:val="32"/>
          <w:szCs w:val="32"/>
        </w:rPr>
        <w:t>（四）监督管理情况。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我局在中山市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应急管理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局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官方网站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和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eastAsia="zh-CN"/>
        </w:rPr>
        <w:t>全国一体化在线政务服务平台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广东政务服务网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中山市统一申办受理平台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公开公示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了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咨询投诉途径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建立行政审批重大决策事项办件法制审核内部审查机制，局长办公会、局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党委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会议议定机制；常态化定期开展案卷质量评查，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定期组织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开展对危险化学品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eastAsia="zh-CN"/>
        </w:rPr>
        <w:t>、烟花爆竹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高频事项安全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eastAsia="zh-CN"/>
        </w:rPr>
        <w:t>行政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许可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回头看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”工作（包括委托镇街实施的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eastAsia="zh-CN"/>
        </w:rPr>
        <w:t>安全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行政许可事项）。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eastAsia="zh-CN"/>
        </w:rPr>
        <w:t>至目前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，没有发现违法违规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eastAsia="zh-CN"/>
        </w:rPr>
        <w:t>行政审批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64" w:firstLineChars="200"/>
        <w:textAlignment w:val="auto"/>
        <w:outlineLvl w:val="9"/>
        <w:rPr>
          <w:rFonts w:hint="default" w:ascii="Times New Roman" w:hAnsi="Times New Roman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楷体_GB2312" w:cs="Times New Roman"/>
          <w:spacing w:val="6"/>
          <w:sz w:val="32"/>
          <w:szCs w:val="32"/>
        </w:rPr>
        <w:t>（五）实施效果情况。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通过优化和规范审批流程、方便行政相对人、提高审批效率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提高了行政相对人的认可度和满意度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，达到设立行政许可预期效果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64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pacing w:val="6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6"/>
          <w:sz w:val="32"/>
          <w:szCs w:val="32"/>
        </w:rPr>
        <w:t>二、存在问题和困难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64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（一）审批专业人员不足，基层能力参差不齐。我局大部分行政许可事项需组织现场核查和整改复查，涉及数百项专业技术，对审批人员专业能力要求高。但审批办定编少、持执法证人员有限，人手不足，常需加班加点。镇街应急管理局人员数量有限，从事许可工作的人员不固定，专业多为非化工、安全相关，且流动大、队伍不稳，能力参差不齐，易出现错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64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val="en-US" w:eastAsia="zh-CN"/>
        </w:rPr>
        <w:t>（二）工程建设项目审批管理平台智能化程度不高，涉及安全审查的建设项目流转不顺畅。当前，涉及我局的安全审查事项（如危险化学品、烟花爆竹、非煤矿山、金属冶炼等）需通过市工建平台申请，再转至我局一体化平台。但平台无法自动识别并流转此类项目，需人工提醒管理人员操作，导致安全审查迟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64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pacing w:val="6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6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楷体_GB2312" w:cs="Times New Roman"/>
          <w:spacing w:val="6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部分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eastAsia="zh-CN"/>
        </w:rPr>
        <w:t>企业、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群众对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国家有关法律法规不熟悉，对涉及我局行政许可职能的业务范围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不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清晰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对我局委托镇街办理的事项不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eastAsia="zh-CN"/>
        </w:rPr>
        <w:t>了解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，因而出现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较多咨询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eastAsia="zh-CN"/>
        </w:rPr>
        <w:t>业务内、外事项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的情况，需要花</w:t>
      </w:r>
      <w:r>
        <w:rPr>
          <w:rFonts w:hint="eastAsia" w:ascii="Times New Roman" w:hAnsi="Times New Roman" w:eastAsia="仿宋_GB2312" w:cs="Times New Roman"/>
          <w:spacing w:val="6"/>
          <w:sz w:val="32"/>
          <w:szCs w:val="32"/>
          <w:lang w:eastAsia="zh-CN"/>
        </w:rPr>
        <w:t>大量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时间进行答疑解惑。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64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spacing w:val="6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 w:cs="Times New Roman"/>
          <w:spacing w:val="6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楷体_GB2312" w:cs="Times New Roman"/>
          <w:spacing w:val="6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</w:rPr>
        <w:t>城市化进程加快，城市发展方式、产业结构和区域布局发生深刻变化，新产业、新技术、新工艺、新业态不断涌现（例如危险化学品企业设置光伏发电，新能源、加氢站、醇基燃料、加油站设置充电设施设备等），其发展过程中产生的新问题、新风险、新挑战</w:t>
      </w:r>
      <w:r>
        <w:rPr>
          <w:rFonts w:hint="default" w:ascii="Times New Roman" w:hAnsi="Times New Roman" w:eastAsia="仿宋_GB2312" w:cs="Times New Roman"/>
          <w:spacing w:val="6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0" w:leftChars="0" w:right="0" w:rightChars="0" w:firstLine="666" w:firstLineChars="200"/>
        <w:textAlignment w:val="auto"/>
        <w:outlineLvl w:val="9"/>
        <w:rPr>
          <w:rFonts w:hint="default" w:ascii="Times New Roman" w:hAnsi="Times New Roman" w:eastAsia="黑体" w:cs="Times New Roman"/>
          <w:spacing w:val="6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pacing w:val="6"/>
          <w:sz w:val="32"/>
          <w:szCs w:val="32"/>
        </w:rPr>
        <w:t>三、下一步工作措施及有关建议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64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Cs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pacing w:val="6"/>
          <w:sz w:val="32"/>
          <w:szCs w:val="32"/>
          <w:lang w:val="en-US" w:eastAsia="zh-CN"/>
        </w:rPr>
        <w:t>（一）坚持人民至上、生命至上，严格安全生产准入条件审查，统筹审批效率与安全底线，不片面压减时限，重在增加专业人员配备、提升工作质量、严把安全关。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64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Cs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pacing w:val="6"/>
          <w:sz w:val="32"/>
          <w:szCs w:val="32"/>
          <w:lang w:val="en-US" w:eastAsia="zh-CN"/>
        </w:rPr>
        <w:t>（二）加强业务能力及法治培训，规范行政审批权力运行。针对镇街应急管理局人员能力不足、队伍不稳等问题，坚持问题导向，组织业务骨干采取“面对面”“一对一”方式，系统梳理委托许可事项的子项及权限职责，在办理程序、条件、材料、法律标准适用、政策口径、文书制作、卷宗归档等方面作出明确指导，纠正随意增设条件、材料、环节等行为，提升镇街业务能力和审批质量，确保委托事项“接得住、办得好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64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Cs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pacing w:val="6"/>
          <w:sz w:val="32"/>
          <w:szCs w:val="32"/>
          <w:lang w:val="en-US" w:eastAsia="zh-CN"/>
        </w:rPr>
        <w:t>（三）加大线上线下宣传力度，提高企业和群众对许可事项办理的知晓度，重点推广网上办理和信息公开，加强媒体协作，提升安全行政许可法律法规的宣贯影响力。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64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Cs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pacing w:val="6"/>
          <w:sz w:val="32"/>
          <w:szCs w:val="32"/>
          <w:lang w:val="en-US" w:eastAsia="zh-CN"/>
        </w:rPr>
        <w:t>（四）强化事中事后监管，重点加强重大风险、危险作业管控。深化新业态风险规律研究，推动企业全面辨识风险、落实管控措施，实现本质安全，在守牢安全底线的前提下服务发展。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 w:firstLine="664" w:firstLineChars="200"/>
        <w:jc w:val="left"/>
        <w:textAlignment w:val="auto"/>
        <w:outlineLvl w:val="9"/>
        <w:rPr>
          <w:rFonts w:hint="eastAsia" w:ascii="Times New Roman" w:hAnsi="Times New Roman" w:eastAsia="仿宋_GB2312" w:cs="Times New Roman"/>
          <w:bCs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pacing w:val="6"/>
          <w:sz w:val="32"/>
          <w:szCs w:val="32"/>
          <w:lang w:val="en-US" w:eastAsia="zh-CN"/>
        </w:rPr>
        <w:t>我局将坚决贯彻落实市委、市政府决策部署，统筹发展和安全，持续加强法治意识与业务培训，严谨规范实施行政许可，优化审批服务与安全准入的协调，提升工作效能，打造公平高效营商环境，以应急管理高质量保障经济社会高水平发展，为全市筑牢安全基础，护航年度经济社会发展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bCs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pacing w:val="6"/>
          <w:sz w:val="32"/>
          <w:szCs w:val="32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bCs/>
          <w:spacing w:val="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bCs/>
          <w:spacing w:val="6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pacing w:val="6"/>
          <w:sz w:val="32"/>
          <w:szCs w:val="32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bCs/>
          <w:spacing w:val="6"/>
          <w:sz w:val="32"/>
          <w:szCs w:val="32"/>
          <w:lang w:val="en-US" w:eastAsia="zh-CN"/>
        </w:rPr>
        <w:t>中山市应急管理局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right="0" w:right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pacing w:val="6"/>
          <w:sz w:val="32"/>
          <w:szCs w:val="32"/>
          <w:lang w:val="en-US" w:eastAsia="zh-CN"/>
        </w:rPr>
        <w:t xml:space="preserve">                 </w:t>
      </w:r>
      <w:r>
        <w:rPr>
          <w:rFonts w:hint="default" w:ascii="Times New Roman" w:hAnsi="Times New Roman" w:eastAsia="仿宋_GB2312" w:cs="Times New Roman"/>
          <w:bCs/>
          <w:spacing w:val="6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bCs/>
          <w:spacing w:val="6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spacing w:val="6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Cs/>
          <w:spacing w:val="6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Cs/>
          <w:spacing w:val="6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Cs/>
          <w:spacing w:val="6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bCs/>
          <w:spacing w:val="6"/>
          <w:sz w:val="32"/>
          <w:szCs w:val="32"/>
          <w:lang w:val="en-US" w:eastAsia="zh-CN"/>
        </w:rPr>
        <w:t>日</w:t>
      </w:r>
    </w:p>
    <w:sectPr>
      <w:footerReference r:id="rId3" w:type="default"/>
      <w:pgSz w:w="11906" w:h="16838"/>
      <w:pgMar w:top="2098" w:right="1587" w:bottom="209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3">
    <w:panose1 w:val="050401020108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xMDgyODg2ODE5ZmNiMzVhNmU0Y2E5ZjRiZTFjODQifQ=="/>
  </w:docVars>
  <w:rsids>
    <w:rsidRoot w:val="F9FF1FF8"/>
    <w:rsid w:val="09DCFCE4"/>
    <w:rsid w:val="0D627C85"/>
    <w:rsid w:val="1968031B"/>
    <w:rsid w:val="1FFCE173"/>
    <w:rsid w:val="274DAC79"/>
    <w:rsid w:val="29FA04B9"/>
    <w:rsid w:val="2FDFA53A"/>
    <w:rsid w:val="2FFF64DC"/>
    <w:rsid w:val="39FF345B"/>
    <w:rsid w:val="3DDEC5E3"/>
    <w:rsid w:val="3FBF13C9"/>
    <w:rsid w:val="3FD7A37B"/>
    <w:rsid w:val="3FDE17C2"/>
    <w:rsid w:val="3FF5E3C3"/>
    <w:rsid w:val="3FFF6182"/>
    <w:rsid w:val="49E754CE"/>
    <w:rsid w:val="4DD70EE6"/>
    <w:rsid w:val="4F3F922A"/>
    <w:rsid w:val="4F73726F"/>
    <w:rsid w:val="55FB85ED"/>
    <w:rsid w:val="59FE1B20"/>
    <w:rsid w:val="5DDFDB5F"/>
    <w:rsid w:val="617F16C9"/>
    <w:rsid w:val="67FF9C61"/>
    <w:rsid w:val="6BC1A4B4"/>
    <w:rsid w:val="6BFD0269"/>
    <w:rsid w:val="6EF6F180"/>
    <w:rsid w:val="6F7ED674"/>
    <w:rsid w:val="6FAF0F37"/>
    <w:rsid w:val="6FFCF424"/>
    <w:rsid w:val="6FFD632B"/>
    <w:rsid w:val="6FFF46F1"/>
    <w:rsid w:val="7577A961"/>
    <w:rsid w:val="77FFA79B"/>
    <w:rsid w:val="796F6388"/>
    <w:rsid w:val="79EDDBEF"/>
    <w:rsid w:val="7A5D7178"/>
    <w:rsid w:val="7BAD856D"/>
    <w:rsid w:val="7BD59B6A"/>
    <w:rsid w:val="7BF3839A"/>
    <w:rsid w:val="7BFFEF17"/>
    <w:rsid w:val="7CDF8962"/>
    <w:rsid w:val="7DEF66EB"/>
    <w:rsid w:val="7E5AC0AD"/>
    <w:rsid w:val="7EFB45E5"/>
    <w:rsid w:val="7EFFA6E9"/>
    <w:rsid w:val="7F5E0F14"/>
    <w:rsid w:val="7F7E53AC"/>
    <w:rsid w:val="7F7F512A"/>
    <w:rsid w:val="7FDF7397"/>
    <w:rsid w:val="7FF3A06C"/>
    <w:rsid w:val="8F3F84F6"/>
    <w:rsid w:val="8F76EAAE"/>
    <w:rsid w:val="9BBF2EF9"/>
    <w:rsid w:val="A7FB354E"/>
    <w:rsid w:val="B1FFB063"/>
    <w:rsid w:val="BBFF0824"/>
    <w:rsid w:val="BF963CD0"/>
    <w:rsid w:val="BFEBA974"/>
    <w:rsid w:val="BFFFA7BE"/>
    <w:rsid w:val="C6E3C37C"/>
    <w:rsid w:val="C77B4D4A"/>
    <w:rsid w:val="C7FD08A4"/>
    <w:rsid w:val="CBFDD6E6"/>
    <w:rsid w:val="CEAD107F"/>
    <w:rsid w:val="CFFF9222"/>
    <w:rsid w:val="D4FE20F6"/>
    <w:rsid w:val="D6F652EF"/>
    <w:rsid w:val="DAAFAE58"/>
    <w:rsid w:val="DBEAC91C"/>
    <w:rsid w:val="DD6EC64F"/>
    <w:rsid w:val="DDEF8426"/>
    <w:rsid w:val="DE6F5D04"/>
    <w:rsid w:val="DEBD7173"/>
    <w:rsid w:val="DFED6ECA"/>
    <w:rsid w:val="DFEFD864"/>
    <w:rsid w:val="DFF19F27"/>
    <w:rsid w:val="DFFE4A1B"/>
    <w:rsid w:val="DFFF3C26"/>
    <w:rsid w:val="E2FF6109"/>
    <w:rsid w:val="E35F06A5"/>
    <w:rsid w:val="E6DD29E4"/>
    <w:rsid w:val="EA3FC27A"/>
    <w:rsid w:val="EB1F746D"/>
    <w:rsid w:val="EBDD75E4"/>
    <w:rsid w:val="EBF9F51D"/>
    <w:rsid w:val="ED77F6FA"/>
    <w:rsid w:val="EDFF6D1A"/>
    <w:rsid w:val="EFAF2E29"/>
    <w:rsid w:val="F3D71F8F"/>
    <w:rsid w:val="F3FCE67F"/>
    <w:rsid w:val="F5F4DB83"/>
    <w:rsid w:val="F7EA7C70"/>
    <w:rsid w:val="F7FD9E02"/>
    <w:rsid w:val="F9B3E0D5"/>
    <w:rsid w:val="F9FF1FF8"/>
    <w:rsid w:val="FB39B190"/>
    <w:rsid w:val="FBFAF020"/>
    <w:rsid w:val="FC70E418"/>
    <w:rsid w:val="FDC14620"/>
    <w:rsid w:val="FDCEBC45"/>
    <w:rsid w:val="FE3BB9DC"/>
    <w:rsid w:val="FE68C41E"/>
    <w:rsid w:val="FEBFD1FB"/>
    <w:rsid w:val="FEFFC201"/>
    <w:rsid w:val="FF4FB49A"/>
    <w:rsid w:val="FF5BD745"/>
    <w:rsid w:val="FFBC6FD7"/>
    <w:rsid w:val="FFEFA7B0"/>
    <w:rsid w:val="FFFD9923"/>
    <w:rsid w:val="FFFE21A4"/>
    <w:rsid w:val="FFFF3F24"/>
    <w:rsid w:val="FFFFC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3169</Words>
  <Characters>3212</Characters>
  <Lines>0</Lines>
  <Paragraphs>0</Paragraphs>
  <TotalTime>102</TotalTime>
  <ScaleCrop>false</ScaleCrop>
  <LinksUpToDate>false</LinksUpToDate>
  <CharactersWithSpaces>3244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2023-04-02T18:43:00Z</dcterms:created>
  <dc:creator>孙鹏</dc:creator>
  <cp:lastModifiedBy>zyn</cp:lastModifiedBy>
  <dcterms:modified xsi:type="dcterms:W3CDTF">2026-05-11T16:11:33Z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ED1936CC694BA85692F6DD6999443966_43</vt:lpwstr>
  </property>
  <property fmtid="{D5CDD505-2E9C-101B-9397-08002B2CF9AE}" pid="4" name="KSOTemplateDocerSaveRecord">
    <vt:lpwstr>eyJoZGlkIjoiOWNkNDY2YWE4NzJhMTA3ZjY4YWEzODNiZGY2MTlmOTAiLCJ1c2VySWQiOiIzMTg4NDczNjQifQ==</vt:lpwstr>
  </property>
</Properties>
</file>