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宋体" w:hAnsi="宋体"/>
          <w:b/>
          <w:bCs/>
          <w:spacing w:val="20"/>
          <w:sz w:val="28"/>
          <w:szCs w:val="28"/>
        </w:rPr>
      </w:pPr>
      <w:r>
        <w:rPr>
          <w:rFonts w:hint="eastAsia" w:ascii="宋体" w:hAnsi="宋体"/>
          <w:b/>
          <w:bCs/>
          <w:spacing w:val="20"/>
          <w:lang w:val="en-US" w:eastAsia="zh-CN"/>
        </w:rPr>
        <w:t>`</w:t>
      </w:r>
      <w:r>
        <w:rPr>
          <w:rFonts w:hint="eastAsia" w:ascii="宋体" w:hAnsi="宋体"/>
          <w:b/>
          <w:bCs/>
          <w:spacing w:val="20"/>
        </w:rPr>
        <w:t>附表：</w:t>
      </w:r>
      <w:r>
        <w:rPr>
          <w:rFonts w:hint="eastAsia" w:ascii="宋体" w:hAnsi="宋体"/>
          <w:b/>
          <w:bCs/>
          <w:spacing w:val="20"/>
          <w:sz w:val="28"/>
          <w:szCs w:val="28"/>
        </w:rPr>
        <w:t xml:space="preserve">                 </w:t>
      </w:r>
    </w:p>
    <w:p>
      <w:pPr>
        <w:jc w:val="center"/>
        <w:rPr>
          <w:rFonts w:hint="eastAsia" w:ascii="宋体" w:hAnsi="宋体"/>
          <w:b/>
          <w:bCs/>
          <w:spacing w:val="20"/>
          <w:sz w:val="36"/>
          <w:szCs w:val="36"/>
        </w:rPr>
      </w:pPr>
      <w:r>
        <w:rPr>
          <w:rFonts w:hint="eastAsia" w:ascii="宋体" w:hAnsi="宋体"/>
          <w:b/>
          <w:bCs/>
          <w:spacing w:val="20"/>
          <w:sz w:val="36"/>
          <w:szCs w:val="36"/>
        </w:rPr>
        <w:t xml:space="preserve">评分表 </w:t>
      </w:r>
    </w:p>
    <w:tbl>
      <w:tblPr>
        <w:tblStyle w:val="5"/>
        <w:tblW w:w="126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780"/>
        <w:gridCol w:w="662"/>
        <w:gridCol w:w="7618"/>
        <w:gridCol w:w="465"/>
        <w:gridCol w:w="510"/>
        <w:gridCol w:w="570"/>
        <w:gridCol w:w="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序号</w:t>
            </w:r>
          </w:p>
        </w:tc>
        <w:tc>
          <w:tcPr>
            <w:tcW w:w="17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评审项目</w:t>
            </w:r>
          </w:p>
        </w:tc>
        <w:tc>
          <w:tcPr>
            <w:tcW w:w="66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分配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分数</w:t>
            </w:r>
          </w:p>
        </w:tc>
        <w:tc>
          <w:tcPr>
            <w:tcW w:w="76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评议内容</w:t>
            </w: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项目负责人技术实力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</w:p>
        </w:tc>
        <w:tc>
          <w:tcPr>
            <w:tcW w:w="7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项目负责人（1人）的资质资格情况：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具有2013年以来负责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地级市以上（含地级市）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能源发展专项规划或能源领域发展专题研究工作经历的并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具有高级技术职称资格的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得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分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具有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高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级技术职称的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得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分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不符合以上要求的不得分。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lang w:eastAsia="zh-CN"/>
              </w:rPr>
              <w:t xml:space="preserve"> </w:t>
            </w: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项目组其他人员（除项目负责人外）技术实力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</w:t>
            </w:r>
          </w:p>
        </w:tc>
        <w:tc>
          <w:tcPr>
            <w:tcW w:w="7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项目组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  <w:lang w:eastAsia="zh-CN"/>
              </w:rPr>
              <w:t>其他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人员的资质资格情况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  <w:lang w:eastAsia="zh-CN"/>
              </w:rPr>
              <w:t>（要求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  <w:lang w:val="en-US" w:eastAsia="zh-CN"/>
              </w:rPr>
              <w:t>不少于5人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（满分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分）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：</w:t>
            </w:r>
          </w:p>
          <w:p>
            <w:pPr>
              <w:numPr>
                <w:ilvl w:val="0"/>
                <w:numId w:val="0"/>
              </w:num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1、具有2013年以来参加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能源发展规划或研究工作经历的并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具有高级技术职称的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，每人得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分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2、具有2013年以来参加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能源发展规划或研究工作经历的并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具有中级技术职称的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，每人得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分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40" w:lineRule="exac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无技术职称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但学位为博士或硕士并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具有2013年以来参加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能源发展规划或研究工作经历的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每人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得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分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4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无技术职称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但学位为学士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的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并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具有2013年以来参加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能源发展规划或研究工作经历的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每人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得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分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项目负责人和主要成员相关研究成果、业绩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</w:p>
        </w:tc>
        <w:tc>
          <w:tcPr>
            <w:tcW w:w="7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负责人和主要成员的前期相关研究成果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  <w:lang w:eastAsia="zh-CN"/>
              </w:rPr>
              <w:t>情况：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完成</w:t>
            </w:r>
            <w:r>
              <w:rPr>
                <w:rFonts w:hint="eastAsia" w:ascii="宋体" w:hAnsi="宋体"/>
                <w:lang w:eastAsia="zh-CN"/>
              </w:rPr>
              <w:t>地级市以上（含地级市）</w:t>
            </w:r>
            <w:r>
              <w:rPr>
                <w:rFonts w:hint="eastAsia" w:ascii="宋体" w:hAnsi="宋体"/>
                <w:lang w:eastAsia="zh-CN"/>
              </w:rPr>
              <w:t>能源发展规划</w:t>
            </w:r>
            <w:r>
              <w:rPr>
                <w:rFonts w:hint="eastAsia" w:ascii="宋体" w:hAnsi="宋体"/>
                <w:lang w:eastAsia="zh-CN"/>
              </w:rPr>
              <w:t>或研究</w:t>
            </w:r>
            <w:r>
              <w:rPr>
                <w:rFonts w:hint="eastAsia" w:ascii="宋体" w:hAnsi="宋体"/>
                <w:lang w:eastAsia="zh-CN"/>
              </w:rPr>
              <w:t>等成果每个得</w:t>
            </w:r>
            <w:r>
              <w:rPr>
                <w:rFonts w:hint="eastAsia" w:ascii="宋体" w:hAnsi="宋体"/>
                <w:lang w:val="en-US" w:eastAsia="zh-CN"/>
              </w:rPr>
              <w:t>5分（满分30分）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响应时间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</w:t>
            </w:r>
          </w:p>
        </w:tc>
        <w:tc>
          <w:tcPr>
            <w:tcW w:w="7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受委托方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接到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委托方关于商讨规划编制事项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通知后，赶赴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委托方办公地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，与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委托方沟通衔接规划编制工作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小时内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到达采购人办公地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（含）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得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小时内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到达采购人办公地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（含）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得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15分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小时内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到达采购人办公地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（含）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得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小时（不含）以上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到达采购人办公地得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对项目的理解及认识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</w:t>
            </w:r>
          </w:p>
        </w:tc>
        <w:tc>
          <w:tcPr>
            <w:tcW w:w="7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投标人对项目背景、现状、研究目标和内容的理解是否准确、认识是否深刻透彻</w:t>
            </w:r>
            <w:r>
              <w:rPr>
                <w:rFonts w:hint="eastAsia" w:ascii="宋体" w:hAnsi="宋体"/>
                <w:color w:val="000000"/>
              </w:rPr>
              <w:t>。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jc w:val="left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7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合计得分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注：评委对各投标文件进行比较后打分</w:t>
      </w:r>
      <w:r>
        <w:rPr>
          <w:rFonts w:hint="eastAsia" w:ascii="宋体" w:hAnsi="宋体"/>
          <w:lang w:eastAsia="zh-CN"/>
        </w:rPr>
        <w:t>，</w:t>
      </w:r>
      <w:r>
        <w:rPr>
          <w:rFonts w:hint="eastAsia" w:ascii="宋体" w:hAnsi="宋体"/>
        </w:rPr>
        <w:t>总分低于</w:t>
      </w:r>
      <w:r>
        <w:rPr>
          <w:rFonts w:hint="eastAsia" w:ascii="宋体" w:hAnsi="宋体"/>
          <w:lang w:val="en-US" w:eastAsia="zh-CN"/>
        </w:rPr>
        <w:t>60</w:t>
      </w:r>
      <w:r>
        <w:rPr>
          <w:rFonts w:hint="eastAsia" w:ascii="宋体" w:hAnsi="宋体"/>
        </w:rPr>
        <w:t>分需文字说明。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评委签名：                               </w:t>
      </w:r>
      <w:bookmarkStart w:id="0" w:name="_GoBack"/>
      <w:bookmarkEnd w:id="0"/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日期</w:t>
      </w:r>
      <w:r>
        <w:rPr>
          <w:rFonts w:hint="eastAsia" w:ascii="宋体" w:hAnsi="宋体"/>
          <w:lang w:eastAsia="zh-CN"/>
        </w:rPr>
        <w:t>：</w:t>
      </w:r>
    </w:p>
    <w:sectPr>
      <w:headerReference r:id="rId3" w:type="default"/>
      <w:footerReference r:id="rId4" w:type="default"/>
      <w:pgSz w:w="15840" w:h="12240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9865BE"/>
    <w:multiLevelType w:val="singleLevel"/>
    <w:tmpl w:val="A79865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ED"/>
    <w:rsid w:val="005F2369"/>
    <w:rsid w:val="00D53A9E"/>
    <w:rsid w:val="00EF55ED"/>
    <w:rsid w:val="011F1399"/>
    <w:rsid w:val="01BB2EF7"/>
    <w:rsid w:val="02C4233B"/>
    <w:rsid w:val="03311E25"/>
    <w:rsid w:val="03856D7E"/>
    <w:rsid w:val="03E56149"/>
    <w:rsid w:val="045560BF"/>
    <w:rsid w:val="04C53234"/>
    <w:rsid w:val="05103F9A"/>
    <w:rsid w:val="05635329"/>
    <w:rsid w:val="05D52EAD"/>
    <w:rsid w:val="06277A40"/>
    <w:rsid w:val="066376B7"/>
    <w:rsid w:val="067902A0"/>
    <w:rsid w:val="06A85196"/>
    <w:rsid w:val="06F84B0B"/>
    <w:rsid w:val="07422257"/>
    <w:rsid w:val="08F64D29"/>
    <w:rsid w:val="09434D06"/>
    <w:rsid w:val="09C32ED9"/>
    <w:rsid w:val="0A012D4D"/>
    <w:rsid w:val="0A2515F3"/>
    <w:rsid w:val="0AAA19D7"/>
    <w:rsid w:val="0AFF4262"/>
    <w:rsid w:val="0B187FB4"/>
    <w:rsid w:val="0BB136F4"/>
    <w:rsid w:val="0BB244DE"/>
    <w:rsid w:val="0C11279F"/>
    <w:rsid w:val="0C3C3007"/>
    <w:rsid w:val="0DD0155A"/>
    <w:rsid w:val="0DE86726"/>
    <w:rsid w:val="0EA50223"/>
    <w:rsid w:val="0F13023F"/>
    <w:rsid w:val="0F3140A7"/>
    <w:rsid w:val="0F9104CA"/>
    <w:rsid w:val="102A2A82"/>
    <w:rsid w:val="103A77DB"/>
    <w:rsid w:val="104D16FE"/>
    <w:rsid w:val="1159416D"/>
    <w:rsid w:val="11F8729C"/>
    <w:rsid w:val="121C5AD1"/>
    <w:rsid w:val="12C61B6B"/>
    <w:rsid w:val="12E03753"/>
    <w:rsid w:val="13E21DBD"/>
    <w:rsid w:val="140A19A9"/>
    <w:rsid w:val="14491121"/>
    <w:rsid w:val="145374B7"/>
    <w:rsid w:val="15DF6E85"/>
    <w:rsid w:val="17345CEB"/>
    <w:rsid w:val="176357F2"/>
    <w:rsid w:val="17685A76"/>
    <w:rsid w:val="18676781"/>
    <w:rsid w:val="19CD2450"/>
    <w:rsid w:val="19F803BA"/>
    <w:rsid w:val="1A254467"/>
    <w:rsid w:val="1A424FF2"/>
    <w:rsid w:val="1A9F76FB"/>
    <w:rsid w:val="1AA457D9"/>
    <w:rsid w:val="1CCE6CB6"/>
    <w:rsid w:val="1CEB209F"/>
    <w:rsid w:val="1D262947"/>
    <w:rsid w:val="1E793E55"/>
    <w:rsid w:val="1F9F65EB"/>
    <w:rsid w:val="20231D74"/>
    <w:rsid w:val="2060496D"/>
    <w:rsid w:val="20644F7F"/>
    <w:rsid w:val="20695B04"/>
    <w:rsid w:val="20B01079"/>
    <w:rsid w:val="219711C9"/>
    <w:rsid w:val="23917D16"/>
    <w:rsid w:val="243D1550"/>
    <w:rsid w:val="25096F9A"/>
    <w:rsid w:val="25362832"/>
    <w:rsid w:val="26B86B04"/>
    <w:rsid w:val="26DE564C"/>
    <w:rsid w:val="26ED06CF"/>
    <w:rsid w:val="28AE72FB"/>
    <w:rsid w:val="28FC277B"/>
    <w:rsid w:val="29C825B5"/>
    <w:rsid w:val="2BC66276"/>
    <w:rsid w:val="2C893C1B"/>
    <w:rsid w:val="2CB13FBD"/>
    <w:rsid w:val="2CB17DC1"/>
    <w:rsid w:val="2E364091"/>
    <w:rsid w:val="2F706CA2"/>
    <w:rsid w:val="2F9D2355"/>
    <w:rsid w:val="3160340C"/>
    <w:rsid w:val="31C34625"/>
    <w:rsid w:val="31C566CF"/>
    <w:rsid w:val="31DC4D47"/>
    <w:rsid w:val="32045D14"/>
    <w:rsid w:val="321B2BC8"/>
    <w:rsid w:val="327316A0"/>
    <w:rsid w:val="329A0ECC"/>
    <w:rsid w:val="32F45CDD"/>
    <w:rsid w:val="336A53C0"/>
    <w:rsid w:val="33890B2A"/>
    <w:rsid w:val="33E51EBC"/>
    <w:rsid w:val="34294898"/>
    <w:rsid w:val="343A3D55"/>
    <w:rsid w:val="34A071CE"/>
    <w:rsid w:val="354128D9"/>
    <w:rsid w:val="358A0E66"/>
    <w:rsid w:val="360B03CE"/>
    <w:rsid w:val="37353856"/>
    <w:rsid w:val="37786EB0"/>
    <w:rsid w:val="37CD18CD"/>
    <w:rsid w:val="3AD05645"/>
    <w:rsid w:val="3AE505CA"/>
    <w:rsid w:val="3B3D06AC"/>
    <w:rsid w:val="3BF71138"/>
    <w:rsid w:val="3C9031D2"/>
    <w:rsid w:val="3E2622B1"/>
    <w:rsid w:val="3E5507E8"/>
    <w:rsid w:val="3E5965A5"/>
    <w:rsid w:val="3E91618E"/>
    <w:rsid w:val="3ECE75A7"/>
    <w:rsid w:val="3F4E7011"/>
    <w:rsid w:val="3F592233"/>
    <w:rsid w:val="3FB96D22"/>
    <w:rsid w:val="4017503B"/>
    <w:rsid w:val="40CE20B6"/>
    <w:rsid w:val="410A6C4B"/>
    <w:rsid w:val="413F223D"/>
    <w:rsid w:val="41EA41A6"/>
    <w:rsid w:val="42184E54"/>
    <w:rsid w:val="42E01184"/>
    <w:rsid w:val="42F66D1F"/>
    <w:rsid w:val="43516E13"/>
    <w:rsid w:val="43C00159"/>
    <w:rsid w:val="44365D56"/>
    <w:rsid w:val="44651545"/>
    <w:rsid w:val="449B3F32"/>
    <w:rsid w:val="454A35F9"/>
    <w:rsid w:val="45954784"/>
    <w:rsid w:val="45B80703"/>
    <w:rsid w:val="47385D5A"/>
    <w:rsid w:val="48476FAC"/>
    <w:rsid w:val="487D0D9A"/>
    <w:rsid w:val="48CC579C"/>
    <w:rsid w:val="499776E9"/>
    <w:rsid w:val="49F879B9"/>
    <w:rsid w:val="4A4714AC"/>
    <w:rsid w:val="4A895010"/>
    <w:rsid w:val="4B8859DC"/>
    <w:rsid w:val="4BE56CB0"/>
    <w:rsid w:val="4C9457AC"/>
    <w:rsid w:val="4CCF49E9"/>
    <w:rsid w:val="4D6B3EEB"/>
    <w:rsid w:val="4D97302D"/>
    <w:rsid w:val="4DA149DB"/>
    <w:rsid w:val="4DFD78BD"/>
    <w:rsid w:val="4E0C7070"/>
    <w:rsid w:val="4E3601AB"/>
    <w:rsid w:val="4E870D71"/>
    <w:rsid w:val="4EAA6A8B"/>
    <w:rsid w:val="4EE7271D"/>
    <w:rsid w:val="4F4062F0"/>
    <w:rsid w:val="4F48432E"/>
    <w:rsid w:val="4F8D5FF0"/>
    <w:rsid w:val="4FA1332E"/>
    <w:rsid w:val="513B0352"/>
    <w:rsid w:val="51811413"/>
    <w:rsid w:val="51BD1F88"/>
    <w:rsid w:val="520D6275"/>
    <w:rsid w:val="52D44CA4"/>
    <w:rsid w:val="5384723E"/>
    <w:rsid w:val="548774CC"/>
    <w:rsid w:val="54F84E6A"/>
    <w:rsid w:val="55326F65"/>
    <w:rsid w:val="55AD3A2E"/>
    <w:rsid w:val="566847F1"/>
    <w:rsid w:val="57215E9D"/>
    <w:rsid w:val="59806FC9"/>
    <w:rsid w:val="59A85BFE"/>
    <w:rsid w:val="5A407087"/>
    <w:rsid w:val="5AC55CDE"/>
    <w:rsid w:val="5AF97810"/>
    <w:rsid w:val="5B9328DF"/>
    <w:rsid w:val="5BB05DF8"/>
    <w:rsid w:val="5C302D6C"/>
    <w:rsid w:val="5D9A6D3C"/>
    <w:rsid w:val="5E3B3DF0"/>
    <w:rsid w:val="5EB221F0"/>
    <w:rsid w:val="5F375429"/>
    <w:rsid w:val="5F586906"/>
    <w:rsid w:val="5F6D5048"/>
    <w:rsid w:val="602821B5"/>
    <w:rsid w:val="605365D5"/>
    <w:rsid w:val="60557AE4"/>
    <w:rsid w:val="606457F0"/>
    <w:rsid w:val="60CE5A1A"/>
    <w:rsid w:val="619D52B6"/>
    <w:rsid w:val="61D376D0"/>
    <w:rsid w:val="62192437"/>
    <w:rsid w:val="623F21E9"/>
    <w:rsid w:val="62690005"/>
    <w:rsid w:val="65A71B4F"/>
    <w:rsid w:val="66A6795D"/>
    <w:rsid w:val="66A92048"/>
    <w:rsid w:val="675F2D67"/>
    <w:rsid w:val="67623EEE"/>
    <w:rsid w:val="67880AAC"/>
    <w:rsid w:val="68A07902"/>
    <w:rsid w:val="68C00EE7"/>
    <w:rsid w:val="697F0673"/>
    <w:rsid w:val="69836102"/>
    <w:rsid w:val="6A886A60"/>
    <w:rsid w:val="6AD767B8"/>
    <w:rsid w:val="6BAA4E8C"/>
    <w:rsid w:val="6BF11EB7"/>
    <w:rsid w:val="6CFC629A"/>
    <w:rsid w:val="6D166B81"/>
    <w:rsid w:val="6D4405CE"/>
    <w:rsid w:val="6D602B4A"/>
    <w:rsid w:val="6DEE6B19"/>
    <w:rsid w:val="6E95102B"/>
    <w:rsid w:val="6E982A49"/>
    <w:rsid w:val="6FB1173F"/>
    <w:rsid w:val="6FE05FBE"/>
    <w:rsid w:val="707B68A6"/>
    <w:rsid w:val="712831BF"/>
    <w:rsid w:val="71C837B0"/>
    <w:rsid w:val="71FA4973"/>
    <w:rsid w:val="721A6E08"/>
    <w:rsid w:val="72B04128"/>
    <w:rsid w:val="739759F1"/>
    <w:rsid w:val="739B447D"/>
    <w:rsid w:val="748A5651"/>
    <w:rsid w:val="752B4FAE"/>
    <w:rsid w:val="76A6152A"/>
    <w:rsid w:val="76C176A8"/>
    <w:rsid w:val="77E4454A"/>
    <w:rsid w:val="7895330B"/>
    <w:rsid w:val="78B60C6D"/>
    <w:rsid w:val="78E45613"/>
    <w:rsid w:val="78EE1593"/>
    <w:rsid w:val="795A1079"/>
    <w:rsid w:val="798D70E8"/>
    <w:rsid w:val="7B4A3A43"/>
    <w:rsid w:val="7B816316"/>
    <w:rsid w:val="7BB36FAB"/>
    <w:rsid w:val="7C461EFC"/>
    <w:rsid w:val="7D842B32"/>
    <w:rsid w:val="7DC16FA7"/>
    <w:rsid w:val="7E0E2F2A"/>
    <w:rsid w:val="7E8D5CFA"/>
    <w:rsid w:val="7E950476"/>
    <w:rsid w:val="7EA64E8D"/>
    <w:rsid w:val="7FFC6B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188</Words>
  <Characters>1077</Characters>
  <Lines>8</Lines>
  <Paragraphs>2</Paragraphs>
  <TotalTime>5</TotalTime>
  <ScaleCrop>false</ScaleCrop>
  <LinksUpToDate>false</LinksUpToDate>
  <CharactersWithSpaces>1263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2018-07-03T03:32:00Z</dcterms:created>
  <dc:creator>NTKO</dc:creator>
  <cp:lastModifiedBy>库里打铁</cp:lastModifiedBy>
  <cp:lastPrinted>2018-07-17T02:32:24Z</cp:lastPrinted>
  <dcterms:modified xsi:type="dcterms:W3CDTF">2018-07-17T02:33:03Z</dcterms:modified>
  <dc:title>附表1：             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