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inorEastAsia" w:hAnsiTheme="minorEastAsia"/>
          <w:b/>
          <w:bCs/>
          <w:color w:val="000000"/>
          <w:sz w:val="28"/>
          <w:szCs w:val="28"/>
        </w:rPr>
      </w:pPr>
      <w:bookmarkStart w:id="1" w:name="_GoBack"/>
      <w:r>
        <w:rPr>
          <w:rFonts w:asciiTheme="minorEastAsia" w:hAnsiTheme="minorEastAsia"/>
          <w:b/>
          <w:bCs/>
          <w:color w:val="000000"/>
          <w:sz w:val="28"/>
          <w:szCs w:val="28"/>
        </w:rPr>
        <w:t>《东凤镇村民住宅建设管理规定》</w:t>
      </w:r>
      <w:r>
        <w:rPr>
          <w:rFonts w:hint="eastAsia" w:asciiTheme="minorEastAsia" w:hAnsiTheme="minorEastAsia"/>
          <w:b/>
          <w:bCs/>
          <w:color w:val="000000"/>
          <w:sz w:val="28"/>
          <w:szCs w:val="28"/>
        </w:rPr>
        <w:t>（征求意见稿）</w:t>
      </w:r>
      <w:r>
        <w:rPr>
          <w:rFonts w:asciiTheme="minorEastAsia" w:hAnsiTheme="minorEastAsia"/>
          <w:b/>
          <w:bCs/>
          <w:color w:val="000000"/>
          <w:sz w:val="28"/>
          <w:szCs w:val="28"/>
        </w:rPr>
        <w:t>和《东凤镇农村宅基地和建房审批工作指引》</w:t>
      </w:r>
      <w:r>
        <w:rPr>
          <w:rFonts w:hint="eastAsia" w:asciiTheme="minorEastAsia" w:hAnsiTheme="minorEastAsia"/>
          <w:b/>
          <w:bCs/>
          <w:color w:val="000000"/>
          <w:sz w:val="28"/>
          <w:szCs w:val="28"/>
        </w:rPr>
        <w:t>（征求意见稿）</w:t>
      </w:r>
    </w:p>
    <w:p>
      <w:pPr>
        <w:jc w:val="center"/>
        <w:rPr>
          <w:rFonts w:hint="eastAsia" w:asciiTheme="minorEastAsia" w:hAnsiTheme="minorEastAsia"/>
          <w:b/>
          <w:bCs/>
          <w:color w:val="000000"/>
          <w:sz w:val="28"/>
          <w:szCs w:val="28"/>
        </w:rPr>
      </w:pPr>
      <w:r>
        <w:rPr>
          <w:rFonts w:hint="eastAsia" w:asciiTheme="minorEastAsia" w:hAnsiTheme="minorEastAsia"/>
          <w:b/>
          <w:bCs/>
          <w:color w:val="000000"/>
          <w:sz w:val="28"/>
          <w:szCs w:val="28"/>
        </w:rPr>
        <w:t>反馈意见汇总表</w:t>
      </w:r>
    </w:p>
    <w:bookmarkEnd w:id="1"/>
    <w:tbl>
      <w:tblPr>
        <w:tblStyle w:val="3"/>
        <w:tblW w:w="14380"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817"/>
        <w:gridCol w:w="4536"/>
        <w:gridCol w:w="1276"/>
        <w:gridCol w:w="7751"/>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51" w:hRule="atLeast"/>
        </w:trPr>
        <w:tc>
          <w:tcPr>
            <w:tcW w:w="817" w:type="dxa"/>
            <w:vAlign w:val="center"/>
          </w:tcPr>
          <w:p>
            <w:pPr>
              <w:jc w:val="center"/>
              <w:rPr>
                <w:rStyle w:val="5"/>
                <w:rFonts w:hint="eastAsia" w:cs="微软简标宋" w:asciiTheme="minorEastAsia" w:hAnsiTheme="minorEastAsia"/>
                <w:b/>
                <w:bCs/>
                <w:sz w:val="24"/>
                <w:szCs w:val="24"/>
              </w:rPr>
            </w:pPr>
            <w:r>
              <w:rPr>
                <w:rStyle w:val="5"/>
                <w:rFonts w:hint="eastAsia" w:cs="微软简标宋" w:asciiTheme="minorEastAsia" w:hAnsiTheme="minorEastAsia"/>
                <w:b/>
                <w:bCs/>
                <w:sz w:val="24"/>
                <w:szCs w:val="24"/>
              </w:rPr>
              <w:t>公众</w:t>
            </w:r>
          </w:p>
        </w:tc>
        <w:tc>
          <w:tcPr>
            <w:tcW w:w="4536" w:type="dxa"/>
            <w:vAlign w:val="center"/>
          </w:tcPr>
          <w:p>
            <w:pPr>
              <w:jc w:val="center"/>
              <w:rPr>
                <w:rStyle w:val="5"/>
                <w:rFonts w:hint="eastAsia" w:cs="微软简标宋" w:asciiTheme="minorEastAsia" w:hAnsiTheme="minorEastAsia"/>
                <w:b/>
                <w:bCs/>
                <w:sz w:val="24"/>
                <w:szCs w:val="24"/>
              </w:rPr>
            </w:pPr>
            <w:r>
              <w:rPr>
                <w:rStyle w:val="5"/>
                <w:rFonts w:hint="eastAsia" w:cs="微软简标宋" w:asciiTheme="minorEastAsia" w:hAnsiTheme="minorEastAsia"/>
                <w:b/>
                <w:bCs/>
                <w:sz w:val="24"/>
                <w:szCs w:val="24"/>
              </w:rPr>
              <w:t>反馈意见或建议</w:t>
            </w:r>
          </w:p>
        </w:tc>
        <w:tc>
          <w:tcPr>
            <w:tcW w:w="1276" w:type="dxa"/>
            <w:vAlign w:val="center"/>
          </w:tcPr>
          <w:p>
            <w:pPr>
              <w:jc w:val="center"/>
              <w:rPr>
                <w:rStyle w:val="5"/>
                <w:rFonts w:hint="eastAsia" w:cs="微软简标宋" w:asciiTheme="minorEastAsia" w:hAnsiTheme="minorEastAsia"/>
                <w:b/>
                <w:bCs/>
                <w:sz w:val="24"/>
                <w:szCs w:val="24"/>
              </w:rPr>
            </w:pPr>
            <w:r>
              <w:rPr>
                <w:rStyle w:val="5"/>
                <w:rFonts w:hint="eastAsia" w:cs="微软简标宋" w:asciiTheme="minorEastAsia" w:hAnsiTheme="minorEastAsia"/>
                <w:b/>
                <w:bCs/>
                <w:sz w:val="24"/>
                <w:szCs w:val="24"/>
              </w:rPr>
              <w:t>采纳情况</w:t>
            </w:r>
          </w:p>
        </w:tc>
        <w:tc>
          <w:tcPr>
            <w:tcW w:w="7751" w:type="dxa"/>
            <w:vAlign w:val="center"/>
          </w:tcPr>
          <w:p>
            <w:pPr>
              <w:jc w:val="center"/>
              <w:rPr>
                <w:rStyle w:val="5"/>
                <w:rFonts w:hint="eastAsia" w:cs="微软简标宋" w:asciiTheme="minorEastAsia" w:hAnsiTheme="minorEastAsia"/>
                <w:b/>
                <w:bCs/>
                <w:sz w:val="24"/>
                <w:szCs w:val="24"/>
              </w:rPr>
            </w:pPr>
            <w:r>
              <w:rPr>
                <w:rStyle w:val="5"/>
                <w:rFonts w:hint="eastAsia" w:cs="微软简标宋" w:asciiTheme="minorEastAsia" w:hAnsiTheme="minorEastAsia"/>
                <w:b/>
                <w:bCs/>
                <w:sz w:val="24"/>
                <w:szCs w:val="24"/>
              </w:rPr>
              <w:t>不采纳原因</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817" w:type="dxa"/>
            <w:vAlign w:val="center"/>
          </w:tcPr>
          <w:p>
            <w:pPr>
              <w:jc w:val="center"/>
              <w:rPr>
                <w:rStyle w:val="5"/>
                <w:rFonts w:hint="eastAsia" w:cs="微软简标宋" w:asciiTheme="minorEastAsia" w:hAnsiTheme="minorEastAsia"/>
                <w:bCs/>
                <w:sz w:val="24"/>
                <w:szCs w:val="24"/>
              </w:rPr>
            </w:pPr>
            <w:r>
              <w:rPr>
                <w:rStyle w:val="5"/>
                <w:rFonts w:hint="eastAsia" w:cs="微软简标宋" w:asciiTheme="minorEastAsia" w:hAnsiTheme="minorEastAsia"/>
                <w:bCs/>
                <w:sz w:val="24"/>
                <w:szCs w:val="24"/>
              </w:rPr>
              <w:t>1</w:t>
            </w:r>
          </w:p>
        </w:tc>
        <w:tc>
          <w:tcPr>
            <w:tcW w:w="4536" w:type="dxa"/>
            <w:vAlign w:val="center"/>
          </w:tcPr>
          <w:p>
            <w:pPr>
              <w:ind w:firstLine="240" w:firstLineChars="100"/>
              <w:rPr>
                <w:rStyle w:val="5"/>
                <w:rFonts w:hint="eastAsia" w:cs="微软简标宋" w:asciiTheme="minorEastAsia" w:hAnsiTheme="minorEastAsia"/>
                <w:bCs/>
                <w:sz w:val="24"/>
                <w:szCs w:val="24"/>
              </w:rPr>
            </w:pPr>
            <w:r>
              <w:rPr>
                <w:rStyle w:val="5"/>
                <w:rFonts w:hint="eastAsia" w:cs="微软简标宋" w:asciiTheme="minorEastAsia" w:hAnsiTheme="minorEastAsia"/>
                <w:bCs/>
                <w:sz w:val="24"/>
                <w:szCs w:val="24"/>
              </w:rPr>
              <w:t>建议采用“</w:t>
            </w:r>
            <w:r>
              <w:rPr>
                <w:rStyle w:val="5"/>
                <w:rFonts w:hint="eastAsia" w:cs="微软简标宋" w:asciiTheme="minorEastAsia" w:hAnsiTheme="minorEastAsia"/>
                <w:sz w:val="24"/>
                <w:szCs w:val="24"/>
              </w:rPr>
              <w:t>新宅新规定</w:t>
            </w:r>
            <w:r>
              <w:rPr>
                <w:rStyle w:val="5"/>
                <w:rFonts w:hint="eastAsia" w:cs="微软简标宋" w:asciiTheme="minorEastAsia" w:hAnsiTheme="minorEastAsia"/>
                <w:bCs/>
                <w:sz w:val="24"/>
                <w:szCs w:val="24"/>
              </w:rPr>
              <w:t>”：新批准村民住宅用地每户面积控制在120平方米以内，建筑总面积不超过350平方米，建筑层数不超过3.5层，首层不高于4.5米，其余每层不高于3.5米，总高不超过15米。“</w:t>
            </w:r>
            <w:r>
              <w:rPr>
                <w:rStyle w:val="5"/>
                <w:rFonts w:hint="eastAsia" w:cs="微软简标宋" w:asciiTheme="minorEastAsia" w:hAnsiTheme="minorEastAsia"/>
                <w:sz w:val="24"/>
                <w:szCs w:val="24"/>
              </w:rPr>
              <w:t>旧宅限时合理建</w:t>
            </w:r>
            <w:r>
              <w:rPr>
                <w:rStyle w:val="5"/>
                <w:rFonts w:hint="eastAsia" w:cs="微软简标宋" w:asciiTheme="minorEastAsia" w:hAnsiTheme="minorEastAsia"/>
                <w:bCs/>
                <w:sz w:val="24"/>
                <w:szCs w:val="24"/>
              </w:rPr>
              <w:t>”：设置合理的过渡期，在过渡期内已有证的住宅可在旧址上进行一次拆旧建新，新建住宅用地每户面积控制在旧宅原地块总面积以内，建筑层数不超过3.5层，首层不高于4.5米，其余每层不高于3.5米，总高不超过15米。</w:t>
            </w:r>
          </w:p>
        </w:tc>
        <w:tc>
          <w:tcPr>
            <w:tcW w:w="1276" w:type="dxa"/>
            <w:vAlign w:val="center"/>
          </w:tcPr>
          <w:p>
            <w:pPr>
              <w:jc w:val="center"/>
              <w:rPr>
                <w:rStyle w:val="5"/>
                <w:rFonts w:hint="eastAsia" w:cs="微软简标宋" w:asciiTheme="minorEastAsia" w:hAnsiTheme="minorEastAsia"/>
                <w:bCs/>
                <w:sz w:val="24"/>
                <w:szCs w:val="24"/>
              </w:rPr>
            </w:pPr>
            <w:r>
              <w:rPr>
                <w:rStyle w:val="5"/>
                <w:rFonts w:hint="eastAsia" w:cs="微软简标宋" w:asciiTheme="minorEastAsia" w:hAnsiTheme="minorEastAsia"/>
                <w:bCs/>
                <w:sz w:val="24"/>
                <w:szCs w:val="24"/>
              </w:rPr>
              <w:t>不采纳</w:t>
            </w:r>
          </w:p>
        </w:tc>
        <w:tc>
          <w:tcPr>
            <w:tcW w:w="7751" w:type="dxa"/>
            <w:vAlign w:val="center"/>
          </w:tcPr>
          <w:p>
            <w:pPr>
              <w:ind w:firstLine="412" w:firstLineChars="172"/>
              <w:rPr>
                <w:rFonts w:hAnsi="宋体"/>
                <w:sz w:val="24"/>
                <w:szCs w:val="24"/>
              </w:rPr>
            </w:pPr>
            <w:r>
              <w:rPr>
                <w:rFonts w:hint="eastAsia" w:hAnsi="宋体"/>
                <w:sz w:val="24"/>
                <w:szCs w:val="24"/>
              </w:rPr>
              <w:t>《东凤镇村民住宅建设管理规定》（征求意见稿）、《东凤镇农村宅基地和建房审批工作指引》（征求意见稿）是严格按照</w:t>
            </w:r>
            <w:r>
              <w:fldChar w:fldCharType="begin"/>
            </w:r>
            <w:r>
              <w:instrText xml:space="preserve"> HYPERLINK "http://mp.weixin.qq.com/s?__biz=MzI5NTA2OTMxNg==&amp;mid=2247484947&amp;idx=1&amp;sn=8181e90635132b5a03746412d811cf1e&amp;chksm=ec5875f8db2ffcee603d361bf01f8e40487a6c8dbad94bb1d84ad9dbe84b238d56a4c346ae0e&amp;scene=21" \l "wechat_redirect" \t "https://mp.weixin.qq.com/_blank" </w:instrText>
            </w:r>
            <w:r>
              <w:fldChar w:fldCharType="separate"/>
            </w:r>
            <w:r>
              <w:rPr>
                <w:rFonts w:hint="eastAsia" w:hAnsi="宋体"/>
                <w:sz w:val="24"/>
                <w:szCs w:val="24"/>
              </w:rPr>
              <w:t>《中华人民共和国土地管理法》</w:t>
            </w:r>
            <w:r>
              <w:rPr>
                <w:rFonts w:hint="eastAsia" w:hAnsi="宋体"/>
                <w:sz w:val="24"/>
                <w:szCs w:val="24"/>
              </w:rPr>
              <w:fldChar w:fldCharType="end"/>
            </w:r>
            <w:r>
              <w:rPr>
                <w:rFonts w:hint="eastAsia" w:hAnsi="宋体"/>
                <w:sz w:val="24"/>
                <w:szCs w:val="24"/>
              </w:rPr>
              <w:t>、</w:t>
            </w:r>
            <w:r>
              <w:fldChar w:fldCharType="begin"/>
            </w:r>
            <w:r>
              <w:instrText xml:space="preserve"> HYPERLINK "http://mp.weixin.qq.com/s?__biz=MzI5NTA2OTMxNg==&amp;mid=2247484176&amp;idx=1&amp;sn=b632d4abc410d52c939f742e4fe23ed7&amp;chksm=ec5870fbdb2ff9ed4a326e8260f55b0beaa0b7cf982539c0845562b1f7335cc3b0c1df16bfd7&amp;scene=21" \l "wechat_redirect" \t "https://mp.weixin.qq.com/_blank" </w:instrText>
            </w:r>
            <w:r>
              <w:fldChar w:fldCharType="separate"/>
            </w:r>
            <w:r>
              <w:rPr>
                <w:rFonts w:hint="eastAsia" w:hAnsi="宋体"/>
                <w:sz w:val="24"/>
                <w:szCs w:val="24"/>
              </w:rPr>
              <w:t>《中央农村工作领导小组办公室 农业农村部关于进一步加强农村宅基地管理的通知》（中农发〔2019〕11号）</w:t>
            </w:r>
            <w:r>
              <w:rPr>
                <w:rFonts w:hint="eastAsia" w:hAnsi="宋体"/>
                <w:sz w:val="24"/>
                <w:szCs w:val="24"/>
              </w:rPr>
              <w:fldChar w:fldCharType="end"/>
            </w:r>
            <w:r>
              <w:rPr>
                <w:rFonts w:hint="eastAsia" w:hAnsi="宋体"/>
                <w:sz w:val="24"/>
                <w:szCs w:val="24"/>
              </w:rPr>
              <w:t>、</w:t>
            </w:r>
            <w:r>
              <w:fldChar w:fldCharType="begin"/>
            </w:r>
            <w:r>
              <w:instrText xml:space="preserve"> HYPERLINK "http://mp.weixin.qq.com/s?__biz=MzI5NTA2OTMxNg==&amp;mid=2247484303&amp;idx=1&amp;sn=8957b19f3b2a888f10ba48000264a60d&amp;chksm=ec587064db2ff97271390892a3ef283c5405e237bff0d2ca50513f586dd0049f023ab5ea59c3&amp;scene=21" \l "wechat_redirect" \t "https://mp.weixin.qq.com/_blank" </w:instrText>
            </w:r>
            <w:r>
              <w:fldChar w:fldCharType="separate"/>
            </w:r>
            <w:r>
              <w:rPr>
                <w:rFonts w:hint="eastAsia" w:hAnsi="宋体"/>
                <w:sz w:val="24"/>
                <w:szCs w:val="24"/>
              </w:rPr>
              <w:t>《农业农村部自然资源部关于规范农村宅基地审批管理的通知》（农经发〔2019〕6号）</w:t>
            </w:r>
            <w:r>
              <w:rPr>
                <w:rFonts w:hint="eastAsia" w:hAnsi="宋体"/>
                <w:sz w:val="24"/>
                <w:szCs w:val="24"/>
              </w:rPr>
              <w:fldChar w:fldCharType="end"/>
            </w:r>
            <w:r>
              <w:rPr>
                <w:rFonts w:hint="eastAsia" w:hAnsi="宋体"/>
                <w:sz w:val="24"/>
                <w:szCs w:val="24"/>
              </w:rPr>
              <w:t>、</w:t>
            </w:r>
            <w:r>
              <w:fldChar w:fldCharType="begin"/>
            </w:r>
            <w:r>
              <w:instrText xml:space="preserve"> HYPERLINK "http://mp.weixin.qq.com/s?__biz=MzI5NTA2OTMxNg==&amp;mid=2247483793&amp;idx=1&amp;sn=7f1bf9138ef6ecaf12d02027187430e0&amp;chksm=ec58727adb2ffb6c0eb06897726689e39b5d194856653e76bbb8d40d6a91ece5a05b5256ffe7&amp;scene=21" \l "wechat_redirect" \t "https://mp.weixin.qq.com/_blank" </w:instrText>
            </w:r>
            <w:r>
              <w:fldChar w:fldCharType="separate"/>
            </w:r>
            <w:r>
              <w:rPr>
                <w:rFonts w:hint="eastAsia" w:hAnsi="宋体"/>
                <w:sz w:val="24"/>
                <w:szCs w:val="24"/>
              </w:rPr>
              <w:t>《广东省农业农村厅广东省自然资源厅关于规范农村宅基地审批管理的通知》（粤农农规〔2020〕3号）</w:t>
            </w:r>
            <w:r>
              <w:rPr>
                <w:rFonts w:hint="eastAsia" w:hAnsi="宋体"/>
                <w:sz w:val="24"/>
                <w:szCs w:val="24"/>
              </w:rPr>
              <w:fldChar w:fldCharType="end"/>
            </w:r>
            <w:r>
              <w:rPr>
                <w:rFonts w:hint="eastAsia" w:hAnsi="宋体"/>
                <w:sz w:val="24"/>
                <w:szCs w:val="24"/>
              </w:rPr>
              <w:t>、《中山市农村宅基地和建房（规划许可）审批工作指引（试行）》（中农农函〔2020〕117号）等有关法律法规及政策文件制定的，《规定》和《指引》内容依法依规，是全面贯彻落实中央决策部署，是农村改革和乡村振兴的关键举措。</w:t>
            </w:r>
          </w:p>
          <w:p>
            <w:pPr>
              <w:rPr>
                <w:rStyle w:val="5"/>
                <w:rFonts w:hint="eastAsia" w:cs="微软简标宋" w:asciiTheme="minorEastAsia" w:hAnsiTheme="minorEastAsia"/>
                <w:bCs/>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817" w:type="dxa"/>
            <w:vAlign w:val="center"/>
          </w:tcPr>
          <w:p>
            <w:pPr>
              <w:jc w:val="center"/>
              <w:rPr>
                <w:rStyle w:val="5"/>
                <w:rFonts w:hint="eastAsia" w:cs="微软简标宋" w:asciiTheme="minorEastAsia" w:hAnsiTheme="minorEastAsia"/>
                <w:bCs/>
                <w:sz w:val="24"/>
                <w:szCs w:val="24"/>
              </w:rPr>
            </w:pPr>
            <w:r>
              <w:rPr>
                <w:rStyle w:val="5"/>
                <w:rFonts w:hint="eastAsia" w:cs="微软简标宋" w:asciiTheme="minorEastAsia" w:hAnsiTheme="minorEastAsia"/>
                <w:bCs/>
                <w:sz w:val="24"/>
                <w:szCs w:val="24"/>
              </w:rPr>
              <w:t>2</w:t>
            </w:r>
          </w:p>
        </w:tc>
        <w:tc>
          <w:tcPr>
            <w:tcW w:w="4536" w:type="dxa"/>
            <w:vAlign w:val="center"/>
          </w:tcPr>
          <w:p>
            <w:pPr>
              <w:ind w:firstLine="240" w:firstLineChars="100"/>
              <w:rPr>
                <w:rStyle w:val="5"/>
                <w:rFonts w:hint="eastAsia" w:cs="微软简标宋" w:asciiTheme="minorEastAsia" w:hAnsiTheme="minorEastAsia"/>
                <w:bCs/>
                <w:sz w:val="24"/>
                <w:szCs w:val="24"/>
              </w:rPr>
            </w:pPr>
            <w:r>
              <w:rPr>
                <w:rStyle w:val="5"/>
                <w:rFonts w:hint="eastAsia" w:cs="微软简标宋" w:asciiTheme="minorEastAsia" w:hAnsiTheme="minorEastAsia"/>
                <w:bCs/>
                <w:sz w:val="24"/>
                <w:szCs w:val="24"/>
              </w:rPr>
              <w:t>1、“新批准的村民住宅用地每户面积控制在</w:t>
            </w:r>
            <w:bookmarkStart w:id="0" w:name="_Hlk93525161"/>
            <w:r>
              <w:rPr>
                <w:rStyle w:val="5"/>
                <w:rFonts w:hint="eastAsia" w:cs="微软简标宋" w:asciiTheme="minorEastAsia" w:hAnsiTheme="minorEastAsia"/>
                <w:bCs/>
                <w:sz w:val="24"/>
                <w:szCs w:val="24"/>
              </w:rPr>
              <w:t>1</w:t>
            </w:r>
            <w:r>
              <w:rPr>
                <w:rStyle w:val="5"/>
                <w:rFonts w:cs="微软简标宋" w:asciiTheme="minorEastAsia" w:hAnsiTheme="minorEastAsia"/>
                <w:bCs/>
                <w:sz w:val="24"/>
                <w:szCs w:val="24"/>
              </w:rPr>
              <w:t>20</w:t>
            </w:r>
            <w:r>
              <w:rPr>
                <w:rStyle w:val="5"/>
                <w:rFonts w:hint="eastAsia" w:cs="微软简标宋" w:asciiTheme="minorEastAsia" w:hAnsiTheme="minorEastAsia"/>
                <w:bCs/>
                <w:sz w:val="24"/>
                <w:szCs w:val="24"/>
              </w:rPr>
              <w:t>平方米以内</w:t>
            </w:r>
            <w:bookmarkEnd w:id="0"/>
            <w:r>
              <w:rPr>
                <w:rStyle w:val="5"/>
                <w:rFonts w:hint="eastAsia" w:cs="微软简标宋" w:asciiTheme="minorEastAsia" w:hAnsiTheme="minorEastAsia"/>
                <w:bCs/>
                <w:sz w:val="24"/>
                <w:szCs w:val="24"/>
              </w:rPr>
              <w:t>”这是对原来无条件建房子而现在有条件建房子的农民不公平。</w:t>
            </w:r>
          </w:p>
          <w:p>
            <w:pPr>
              <w:ind w:firstLine="240" w:firstLineChars="100"/>
              <w:rPr>
                <w:rStyle w:val="5"/>
                <w:rFonts w:hint="eastAsia" w:cs="微软简标宋" w:asciiTheme="minorEastAsia" w:hAnsiTheme="minorEastAsia"/>
                <w:bCs/>
                <w:sz w:val="24"/>
                <w:szCs w:val="24"/>
              </w:rPr>
            </w:pPr>
            <w:r>
              <w:rPr>
                <w:rStyle w:val="5"/>
                <w:rFonts w:hint="eastAsia" w:cs="微软简标宋" w:asciiTheme="minorEastAsia" w:hAnsiTheme="minorEastAsia"/>
                <w:bCs/>
                <w:sz w:val="24"/>
                <w:szCs w:val="24"/>
              </w:rPr>
              <w:t>2、东凤镇内属于宅基地的土地已非常有限，再限制建筑用地面积在1</w:t>
            </w:r>
            <w:r>
              <w:rPr>
                <w:rStyle w:val="5"/>
                <w:rFonts w:cs="微软简标宋" w:asciiTheme="minorEastAsia" w:hAnsiTheme="minorEastAsia"/>
                <w:bCs/>
                <w:sz w:val="24"/>
                <w:szCs w:val="24"/>
              </w:rPr>
              <w:t>20平方米以内</w:t>
            </w:r>
            <w:r>
              <w:rPr>
                <w:rStyle w:val="5"/>
                <w:rFonts w:hint="eastAsia" w:cs="微软简标宋" w:asciiTheme="minorEastAsia" w:hAnsiTheme="minorEastAsia"/>
                <w:bCs/>
                <w:sz w:val="24"/>
                <w:szCs w:val="24"/>
              </w:rPr>
              <w:t>的话，会造成土地资源的浪费。</w:t>
            </w:r>
          </w:p>
          <w:p>
            <w:pPr>
              <w:ind w:firstLine="240" w:firstLineChars="100"/>
              <w:rPr>
                <w:rStyle w:val="5"/>
                <w:rFonts w:hint="eastAsia" w:cs="微软简标宋" w:asciiTheme="minorEastAsia" w:hAnsiTheme="minorEastAsia"/>
                <w:bCs/>
                <w:sz w:val="24"/>
                <w:szCs w:val="24"/>
              </w:rPr>
            </w:pPr>
            <w:r>
              <w:rPr>
                <w:rStyle w:val="5"/>
                <w:rFonts w:hint="eastAsia" w:cs="微软简标宋" w:asciiTheme="minorEastAsia" w:hAnsiTheme="minorEastAsia"/>
                <w:bCs/>
                <w:sz w:val="24"/>
                <w:szCs w:val="24"/>
              </w:rPr>
              <w:t>3、</w:t>
            </w:r>
            <w:r>
              <w:rPr>
                <w:rStyle w:val="5"/>
                <w:rFonts w:hint="eastAsia" w:cs="微软简标宋" w:asciiTheme="minorEastAsia" w:hAnsiTheme="minorEastAsia"/>
                <w:bCs/>
              </w:rPr>
              <w:t>《东凤镇村民住宅建设管理规定》第十条的制定依据？</w:t>
            </w:r>
          </w:p>
          <w:p>
            <w:pPr>
              <w:ind w:firstLine="240" w:firstLineChars="100"/>
              <w:rPr>
                <w:rStyle w:val="5"/>
                <w:rFonts w:hint="eastAsia" w:cs="微软简标宋" w:asciiTheme="minorEastAsia" w:hAnsiTheme="minorEastAsia"/>
                <w:bCs/>
                <w:sz w:val="24"/>
                <w:szCs w:val="24"/>
              </w:rPr>
            </w:pPr>
            <w:r>
              <w:rPr>
                <w:rStyle w:val="5"/>
                <w:rFonts w:hint="eastAsia" w:cs="微软简标宋" w:asciiTheme="minorEastAsia" w:hAnsiTheme="minorEastAsia"/>
                <w:bCs/>
                <w:sz w:val="24"/>
                <w:szCs w:val="24"/>
              </w:rPr>
              <w:t>4、建议不应对住宅用地面积、建筑总面积及首层高度设置限制，按建筑面积来报建，即能为政府创造更多的收入，也能</w:t>
            </w:r>
            <w:r>
              <w:rPr>
                <w:rStyle w:val="5"/>
                <w:rFonts w:cs="微软简标宋" w:asciiTheme="minorEastAsia" w:hAnsiTheme="minorEastAsia"/>
                <w:bCs/>
                <w:sz w:val="24"/>
                <w:szCs w:val="24"/>
              </w:rPr>
              <w:t>充分发挥宅基地及其农房</w:t>
            </w:r>
            <w:r>
              <w:rPr>
                <w:rStyle w:val="5"/>
                <w:rFonts w:hint="eastAsia" w:cs="微软简标宋" w:asciiTheme="minorEastAsia" w:hAnsiTheme="minorEastAsia"/>
                <w:bCs/>
                <w:sz w:val="24"/>
                <w:szCs w:val="24"/>
              </w:rPr>
              <w:t>的价值</w:t>
            </w:r>
            <w:r>
              <w:rPr>
                <w:rStyle w:val="5"/>
                <w:rFonts w:cs="微软简标宋" w:asciiTheme="minorEastAsia" w:hAnsiTheme="minorEastAsia"/>
                <w:bCs/>
                <w:sz w:val="24"/>
                <w:szCs w:val="24"/>
              </w:rPr>
              <w:t>，让其成为农民财产性收入的重要来源。</w:t>
            </w:r>
          </w:p>
        </w:tc>
        <w:tc>
          <w:tcPr>
            <w:tcW w:w="1276" w:type="dxa"/>
            <w:vAlign w:val="center"/>
          </w:tcPr>
          <w:p>
            <w:pPr>
              <w:jc w:val="center"/>
              <w:rPr>
                <w:rStyle w:val="5"/>
                <w:rFonts w:hint="eastAsia" w:cs="微软简标宋" w:asciiTheme="minorEastAsia" w:hAnsiTheme="minorEastAsia"/>
                <w:bCs/>
                <w:sz w:val="24"/>
                <w:szCs w:val="24"/>
              </w:rPr>
            </w:pPr>
            <w:r>
              <w:rPr>
                <w:rStyle w:val="5"/>
                <w:rFonts w:hint="eastAsia" w:cs="微软简标宋" w:asciiTheme="minorEastAsia" w:hAnsiTheme="minorEastAsia"/>
                <w:bCs/>
                <w:sz w:val="24"/>
                <w:szCs w:val="24"/>
              </w:rPr>
              <w:t>不采纳</w:t>
            </w:r>
          </w:p>
        </w:tc>
        <w:tc>
          <w:tcPr>
            <w:tcW w:w="7751" w:type="dxa"/>
            <w:vAlign w:val="center"/>
          </w:tcPr>
          <w:p>
            <w:pPr>
              <w:ind w:firstLine="412" w:firstLineChars="172"/>
              <w:rPr>
                <w:rFonts w:hint="eastAsia" w:hAnsi="宋体"/>
                <w:sz w:val="24"/>
                <w:szCs w:val="24"/>
              </w:rPr>
            </w:pPr>
            <w:r>
              <w:rPr>
                <w:rFonts w:hint="eastAsia" w:hAnsi="宋体"/>
                <w:sz w:val="24"/>
                <w:szCs w:val="24"/>
              </w:rPr>
              <w:t>一、《东凤镇村民住宅建设管理规定》（征求意见稿）是严格按照</w:t>
            </w:r>
            <w:r>
              <w:fldChar w:fldCharType="begin"/>
            </w:r>
            <w:r>
              <w:instrText xml:space="preserve"> HYPERLINK "http://mp.weixin.qq.com/s?__biz=MzI5NTA2OTMxNg==&amp;mid=2247484947&amp;idx=1&amp;sn=8181e90635132b5a03746412d811cf1e&amp;chksm=ec5875f8db2ffcee603d361bf01f8e40487a6c8dbad94bb1d84ad9dbe84b238d56a4c346ae0e&amp;scene=21" \l "wechat_redirect" \t "https://mp.weixin.qq.com/_blank" </w:instrText>
            </w:r>
            <w:r>
              <w:fldChar w:fldCharType="separate"/>
            </w:r>
            <w:r>
              <w:rPr>
                <w:rFonts w:hint="eastAsia" w:hAnsi="宋体"/>
                <w:sz w:val="24"/>
                <w:szCs w:val="24"/>
              </w:rPr>
              <w:t>《中华人民共和国土地管理法》</w:t>
            </w:r>
            <w:r>
              <w:rPr>
                <w:rFonts w:hint="eastAsia" w:hAnsi="宋体"/>
                <w:sz w:val="24"/>
                <w:szCs w:val="24"/>
              </w:rPr>
              <w:fldChar w:fldCharType="end"/>
            </w:r>
            <w:r>
              <w:rPr>
                <w:rFonts w:hint="eastAsia" w:hAnsi="宋体"/>
                <w:sz w:val="24"/>
                <w:szCs w:val="24"/>
              </w:rPr>
              <w:t>、</w:t>
            </w:r>
            <w:r>
              <w:fldChar w:fldCharType="begin"/>
            </w:r>
            <w:r>
              <w:instrText xml:space="preserve"> HYPERLINK "http://mp.weixin.qq.com/s?__biz=MzI5NTA2OTMxNg==&amp;mid=2247484176&amp;idx=1&amp;sn=b632d4abc410d52c939f742e4fe23ed7&amp;chksm=ec5870fbdb2ff9ed4a326e8260f55b0beaa0b7cf982539c0845562b1f7335cc3b0c1df16bfd7&amp;scene=21" \l "wechat_redirect" \t "https://mp.weixin.qq.com/_blank" </w:instrText>
            </w:r>
            <w:r>
              <w:fldChar w:fldCharType="separate"/>
            </w:r>
            <w:r>
              <w:rPr>
                <w:rFonts w:hint="eastAsia" w:hAnsi="宋体"/>
                <w:sz w:val="24"/>
                <w:szCs w:val="24"/>
              </w:rPr>
              <w:t>《中央农村工作领导小组办公室 农业农村部关于进一步加强农村宅基地管理的通知》（中农发〔2019〕11号）</w:t>
            </w:r>
            <w:r>
              <w:rPr>
                <w:rFonts w:hint="eastAsia" w:hAnsi="宋体"/>
                <w:sz w:val="24"/>
                <w:szCs w:val="24"/>
              </w:rPr>
              <w:fldChar w:fldCharType="end"/>
            </w:r>
            <w:r>
              <w:rPr>
                <w:rFonts w:hint="eastAsia" w:hAnsi="宋体"/>
                <w:sz w:val="24"/>
                <w:szCs w:val="24"/>
              </w:rPr>
              <w:t>、</w:t>
            </w:r>
            <w:r>
              <w:fldChar w:fldCharType="begin"/>
            </w:r>
            <w:r>
              <w:instrText xml:space="preserve"> HYPERLINK "http://mp.weixin.qq.com/s?__biz=MzI5NTA2OTMxNg==&amp;mid=2247484303&amp;idx=1&amp;sn=8957b19f3b2a888f10ba48000264a60d&amp;chksm=ec587064db2ff97271390892a3ef283c5405e237bff0d2ca50513f586dd0049f023ab5ea59c3&amp;scene=21" \l "wechat_redirect" \t "https://mp.weixin.qq.com/_blank" </w:instrText>
            </w:r>
            <w:r>
              <w:fldChar w:fldCharType="separate"/>
            </w:r>
            <w:r>
              <w:rPr>
                <w:rFonts w:hint="eastAsia" w:hAnsi="宋体"/>
                <w:sz w:val="24"/>
                <w:szCs w:val="24"/>
              </w:rPr>
              <w:t>《农业农村部自然资源部关于规范农村宅基地审批管理的通知》（农经发〔2019〕6号）</w:t>
            </w:r>
            <w:r>
              <w:rPr>
                <w:rFonts w:hint="eastAsia" w:hAnsi="宋体"/>
                <w:sz w:val="24"/>
                <w:szCs w:val="24"/>
              </w:rPr>
              <w:fldChar w:fldCharType="end"/>
            </w:r>
            <w:r>
              <w:rPr>
                <w:rFonts w:hint="eastAsia" w:hAnsi="宋体"/>
                <w:sz w:val="24"/>
                <w:szCs w:val="24"/>
              </w:rPr>
              <w:t>、</w:t>
            </w:r>
            <w:r>
              <w:fldChar w:fldCharType="begin"/>
            </w:r>
            <w:r>
              <w:instrText xml:space="preserve"> HYPERLINK "http://mp.weixin.qq.com/s?__biz=MzI5NTA2OTMxNg==&amp;mid=2247483793&amp;idx=1&amp;sn=7f1bf9138ef6ecaf12d02027187430e0&amp;chksm=ec58727adb2ffb6c0eb06897726689e39b5d194856653e76bbb8d40d6a91ece5a05b5256ffe7&amp;scene=21" \l "wechat_redirect" \t "https://mp.weixin.qq.com/_blank" </w:instrText>
            </w:r>
            <w:r>
              <w:fldChar w:fldCharType="separate"/>
            </w:r>
            <w:r>
              <w:rPr>
                <w:rFonts w:hint="eastAsia" w:hAnsi="宋体"/>
                <w:sz w:val="24"/>
                <w:szCs w:val="24"/>
              </w:rPr>
              <w:t>《广东省农业农村厅广东省自然资源厅关于规范农村宅基地审批管理的通知》（粤农农规〔2020〕3号）</w:t>
            </w:r>
            <w:r>
              <w:rPr>
                <w:rFonts w:hint="eastAsia" w:hAnsi="宋体"/>
                <w:sz w:val="24"/>
                <w:szCs w:val="24"/>
              </w:rPr>
              <w:fldChar w:fldCharType="end"/>
            </w:r>
            <w:r>
              <w:rPr>
                <w:rFonts w:hint="eastAsia" w:hAnsi="宋体"/>
                <w:sz w:val="24"/>
                <w:szCs w:val="24"/>
              </w:rPr>
              <w:t>、《中山市农村宅基地和建房（规划许可）审批工作指引（试行）》（中农农函〔2020〕117号）等有关法律法规及政策文件制定的，《规定》和《指引》内容依法依规，是全面贯彻落实中央决策部署，是农村改革和乡村振兴的关键举措。</w:t>
            </w:r>
          </w:p>
          <w:p>
            <w:pPr>
              <w:ind w:firstLine="420"/>
              <w:rPr>
                <w:rFonts w:hAnsi="宋体"/>
                <w:sz w:val="24"/>
                <w:szCs w:val="24"/>
              </w:rPr>
            </w:pPr>
            <w:r>
              <w:rPr>
                <w:rFonts w:hint="eastAsia" w:hAnsi="宋体"/>
                <w:sz w:val="24"/>
                <w:szCs w:val="24"/>
              </w:rPr>
              <w:t>二、《东凤镇村民住宅建设管理规定》（征求意见稿）第十条的制定依据如下：</w:t>
            </w:r>
          </w:p>
          <w:p>
            <w:pPr>
              <w:rPr>
                <w:rFonts w:hAnsi="宋体"/>
                <w:sz w:val="24"/>
                <w:szCs w:val="24"/>
              </w:rPr>
            </w:pPr>
            <w:r>
              <w:rPr>
                <w:rFonts w:hint="eastAsia" w:hAnsi="宋体"/>
                <w:sz w:val="24"/>
                <w:szCs w:val="24"/>
              </w:rPr>
              <w:t>1、《广东省实施&lt;中华人民共和国土地管理法&gt;办法》第三十六条规定：“农村村民一户只能拥有一处宅基地，新批准宅基地的面积按如下标准执行:平原地区和城市郊区80平方米以下;丘陵地区120平方米以下;山区150平方米以下。有条件的地区，应当充分利用荒坡地作为宅基地，推广农民公寓式住宅。”，中山市列入丘陵地区，按120平方米以下宅基地面积的标准执行。</w:t>
            </w:r>
          </w:p>
          <w:p>
            <w:pPr>
              <w:rPr>
                <w:rFonts w:hAnsi="宋体"/>
                <w:sz w:val="24"/>
                <w:szCs w:val="24"/>
              </w:rPr>
            </w:pPr>
            <w:r>
              <w:rPr>
                <w:rFonts w:hint="eastAsia" w:hAnsi="宋体"/>
                <w:sz w:val="24"/>
                <w:szCs w:val="24"/>
              </w:rPr>
              <w:t>2、《中山市个人自建住房规划管理办法》第十二条规定：“个人自建住房原则上不得超过四层，第四层只允许建梯间及辅助用房，面积不得超过第三层面积的一半。”</w:t>
            </w:r>
          </w:p>
          <w:p>
            <w:pPr>
              <w:rPr>
                <w:rFonts w:hAnsi="宋体"/>
                <w:sz w:val="24"/>
                <w:szCs w:val="24"/>
              </w:rPr>
            </w:pPr>
            <w:r>
              <w:rPr>
                <w:rFonts w:hint="eastAsia" w:hAnsi="宋体"/>
                <w:sz w:val="24"/>
                <w:szCs w:val="24"/>
              </w:rPr>
              <w:t>3、《中山市全面推进农房管控和乡村风貌建设专项提升实施意见》要求：“农房建设必须符合下列要求：一是建筑层数不超过3.5 层；二是首层不高于4.5米，其余每层不高于3.5米，总高不超过15米；三是建筑总面积不超过350平方米。”</w:t>
            </w:r>
          </w:p>
          <w:p>
            <w:pPr>
              <w:rPr>
                <w:rFonts w:hint="eastAsia" w:hAnsi="宋体"/>
              </w:rPr>
            </w:pPr>
          </w:p>
        </w:tc>
      </w:tr>
    </w:tbl>
    <w:p>
      <w:pPr>
        <w:ind w:firstLine="565" w:firstLineChars="202"/>
        <w:rPr>
          <w:rStyle w:val="5"/>
          <w:rFonts w:hint="eastAsia" w:cs="微软简标宋" w:asciiTheme="minorEastAsia" w:hAnsiTheme="minorEastAsia"/>
          <w:bCs/>
          <w:sz w:val="28"/>
          <w:szCs w:val="28"/>
        </w:rPr>
      </w:pPr>
    </w:p>
    <w:p>
      <w:pPr>
        <w:rPr>
          <w:rFonts w:asciiTheme="minorEastAsia" w:hAnsiTheme="minorEastAsia"/>
          <w:sz w:val="28"/>
          <w:szCs w:val="28"/>
        </w:rPr>
      </w:pPr>
    </w:p>
    <w:p/>
    <w:p/>
    <w:sectPr>
      <w:pgSz w:w="16838" w:h="11906" w:orient="landscape"/>
      <w:pgMar w:top="1797" w:right="1440" w:bottom="1797" w:left="144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简标宋">
    <w:altName w:val="宋体"/>
    <w:panose1 w:val="00000000000000000000"/>
    <w:charset w:val="86"/>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1AB1051"/>
    <w:rsid w:val="71AB10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 w:type="table" w:styleId="3">
    <w:name w:val="Table Grid"/>
    <w:basedOn w:val="2"/>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style>
  <w:style w:type="character" w:customStyle="1" w:styleId="5">
    <w:name w:val="NormalCharacter"/>
    <w:semiHidden/>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其他</Company>
  <Pages>1</Pages>
  <Words>0</Words>
  <Characters>0</Characters>
  <Lines>0</Lines>
  <Paragraphs>0</Paragraphs>
  <TotalTime>0</TotalTime>
  <ScaleCrop>false</ScaleCrop>
  <LinksUpToDate>false</LinksUpToDate>
  <CharactersWithSpaces>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2022-01-26T04:10:00Z</dcterms:created>
  <dc:creator>张天洪</dc:creator>
  <cp:lastModifiedBy>张天洪</cp:lastModifiedBy>
  <dcterms:modified xsi:type="dcterms:W3CDTF">2022-01-26T04:11:24Z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