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C22C2">
      <w:pPr>
        <w:spacing w:line="574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  <w:lang w:eastAsia="zh-CN"/>
        </w:rPr>
        <w:t>南头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</w:rPr>
        <w:t>镇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  <w:lang w:eastAsia="zh-CN"/>
        </w:rPr>
        <w:t>邹群翔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</w:rPr>
        <w:t>“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  <w:lang w:eastAsia="zh-CN"/>
        </w:rPr>
        <w:t>工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</w:rPr>
        <w:t>改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  <w:lang w:eastAsia="zh-CN"/>
        </w:rPr>
        <w:t>工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</w:rPr>
        <w:t>”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  <w:lang w:eastAsia="zh-CN"/>
        </w:rPr>
        <w:t>项目</w:t>
      </w:r>
    </w:p>
    <w:p w14:paraId="25A3FD4E">
      <w:pPr>
        <w:spacing w:line="574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kern w:val="0"/>
          <w:sz w:val="44"/>
          <w:szCs w:val="44"/>
          <w:highlight w:val="none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  <w:lang w:val="en-US" w:eastAsia="zh-CN"/>
        </w:rPr>
        <w:t>低效用地再开发实施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highlight w:val="none"/>
          <w:u w:val="none"/>
        </w:rPr>
        <w:t>方案</w:t>
      </w:r>
    </w:p>
    <w:p w14:paraId="258356F8">
      <w:pPr>
        <w:spacing w:line="574" w:lineRule="exact"/>
        <w:ind w:firstLine="0" w:firstLineChars="0"/>
        <w:jc w:val="both"/>
        <w:rPr>
          <w:rFonts w:ascii="仿宋_GB2312" w:hAnsi="仿宋_GB2312" w:cs="仿宋_GB2312"/>
          <w:spacing w:val="-6"/>
          <w:kern w:val="0"/>
          <w:szCs w:val="32"/>
          <w:u w:val="none"/>
        </w:rPr>
      </w:pPr>
    </w:p>
    <w:p w14:paraId="13D57707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u w:val="none"/>
        </w:rPr>
        <w:t>根据中山市城市更新（“三旧”改造）专项规划和现行控制性详细规划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南头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镇人民政府拟对位于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中山市南头镇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升辉南路69号之二的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邹群翔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的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工业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用地进行改造，由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产权人邹群翔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自主改造，采取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局部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改造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的改造方式。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方案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如下：</w:t>
      </w:r>
    </w:p>
    <w:p w14:paraId="00EFB087">
      <w:pPr>
        <w:spacing w:line="574" w:lineRule="exact"/>
        <w:ind w:firstLine="616" w:firstLineChars="200"/>
        <w:rPr>
          <w:rFonts w:ascii="黑体" w:hAnsi="黑体" w:eastAsia="黑体" w:cs="黑体"/>
          <w:spacing w:val="-6"/>
          <w:kern w:val="0"/>
          <w:szCs w:val="32"/>
          <w:u w:val="none"/>
        </w:rPr>
      </w:pPr>
      <w:r>
        <w:rPr>
          <w:rFonts w:hint="eastAsia" w:ascii="黑体" w:hAnsi="黑体" w:eastAsia="黑体" w:cs="黑体"/>
          <w:spacing w:val="-6"/>
          <w:kern w:val="0"/>
          <w:szCs w:val="32"/>
          <w:u w:val="none"/>
        </w:rPr>
        <w:t>一、改造地块基本情况</w:t>
      </w:r>
    </w:p>
    <w:p w14:paraId="164954F1">
      <w:pPr>
        <w:spacing w:line="574" w:lineRule="exact"/>
        <w:ind w:firstLine="616" w:firstLineChars="200"/>
        <w:rPr>
          <w:rFonts w:ascii="楷体" w:hAnsi="楷体" w:eastAsia="楷体" w:cs="楷体"/>
          <w:spacing w:val="-6"/>
          <w:szCs w:val="32"/>
          <w:u w:val="none"/>
        </w:rPr>
      </w:pPr>
      <w:r>
        <w:rPr>
          <w:rFonts w:hint="eastAsia" w:ascii="楷体" w:hAnsi="楷体" w:eastAsia="楷体" w:cs="楷体"/>
          <w:spacing w:val="-6"/>
          <w:szCs w:val="32"/>
          <w:u w:val="none"/>
        </w:rPr>
        <w:t>（一）总体情况</w:t>
      </w:r>
    </w:p>
    <w:p w14:paraId="0AD054DB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szCs w:val="32"/>
          <w:u w:val="none"/>
        </w:rPr>
        <w:t>改造地块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位于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中山市南头镇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升辉南路69号之二，北至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厂房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，南至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厂房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，东至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厂房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，西至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厂房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，用地面积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0.4705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公顷（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4705.4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平方米，折合约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7.06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亩）。</w:t>
      </w:r>
    </w:p>
    <w:p w14:paraId="7E73A1D6">
      <w:pPr>
        <w:spacing w:line="574" w:lineRule="exact"/>
        <w:ind w:firstLine="616" w:firstLineChars="200"/>
        <w:rPr>
          <w:rFonts w:hint="eastAsia" w:ascii="楷体" w:hAnsi="楷体" w:eastAsia="楷体" w:cs="楷体"/>
          <w:spacing w:val="-6"/>
          <w:szCs w:val="32"/>
          <w:u w:val="none"/>
        </w:rPr>
      </w:pPr>
      <w:r>
        <w:rPr>
          <w:rFonts w:hint="eastAsia" w:ascii="楷体" w:hAnsi="楷体" w:eastAsia="楷体" w:cs="楷体"/>
          <w:spacing w:val="-6"/>
          <w:szCs w:val="32"/>
          <w:u w:val="none"/>
        </w:rPr>
        <w:t>（二）标图入库情况</w:t>
      </w:r>
    </w:p>
    <w:p w14:paraId="350426FA">
      <w:pPr>
        <w:spacing w:line="574" w:lineRule="exact"/>
        <w:ind w:firstLine="616" w:firstLineChars="200"/>
        <w:rPr>
          <w:rFonts w:hint="eastAsia"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szCs w:val="32"/>
          <w:u w:val="none"/>
        </w:rPr>
        <w:t>该改造项目主体地块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0.4705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公顷（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4705.4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平方米，折合约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7.06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亩）于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2026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年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10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月</w:t>
      </w:r>
      <w:r>
        <w:rPr>
          <w:rFonts w:hint="eastAsia" w:ascii="仿宋_GB2312" w:hAnsi="仿宋_GB2312" w:cs="仿宋_GB2312"/>
          <w:spacing w:val="-6"/>
          <w:szCs w:val="32"/>
          <w:u w:val="none"/>
          <w:lang w:eastAsia="zh-CN"/>
        </w:rPr>
        <w:t>申请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纳入</w:t>
      </w:r>
      <w:r>
        <w:rPr>
          <w:rFonts w:hint="eastAsia" w:ascii="仿宋_GB2312" w:hAnsi="仿宋_GB2312" w:cs="仿宋_GB2312"/>
          <w:spacing w:val="-6"/>
          <w:szCs w:val="32"/>
          <w:highlight w:val="none"/>
          <w:u w:val="none"/>
          <w:lang w:val="en-US" w:eastAsia="zh-CN"/>
        </w:rPr>
        <w:t>低效用地数据库</w:t>
      </w:r>
      <w:r>
        <w:rPr>
          <w:rFonts w:hint="eastAsia" w:ascii="仿宋_GB2312" w:hAnsi="仿宋_GB2312" w:cs="仿宋_GB2312"/>
          <w:spacing w:val="-6"/>
          <w:szCs w:val="32"/>
          <w:highlight w:val="none"/>
          <w:u w:val="none"/>
        </w:rPr>
        <w:t>，图斑编号为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442000111000067</w:t>
      </w:r>
      <w:r>
        <w:rPr>
          <w:rFonts w:hint="eastAsia" w:ascii="FangSong_GB2312" w:hAnsi="FangSong_GB2312" w:eastAsia="FangSong_GB2312"/>
          <w:color w:val="auto"/>
          <w:sz w:val="32"/>
          <w:szCs w:val="24"/>
          <w:highlight w:val="none"/>
          <w:u w:val="none"/>
        </w:rPr>
        <w:t>。</w:t>
      </w:r>
    </w:p>
    <w:p w14:paraId="52108CA6">
      <w:pPr>
        <w:spacing w:line="574" w:lineRule="exact"/>
        <w:ind w:firstLine="616" w:firstLineChars="200"/>
        <w:rPr>
          <w:rFonts w:ascii="楷体" w:hAnsi="楷体" w:eastAsia="楷体" w:cs="楷体"/>
          <w:spacing w:val="-6"/>
          <w:szCs w:val="32"/>
          <w:u w:val="none"/>
        </w:rPr>
      </w:pPr>
      <w:r>
        <w:rPr>
          <w:rFonts w:hint="eastAsia" w:ascii="楷体" w:hAnsi="楷体" w:eastAsia="楷体" w:cs="楷体"/>
          <w:spacing w:val="-6"/>
          <w:szCs w:val="32"/>
          <w:u w:val="none"/>
        </w:rPr>
        <w:t>（三）权属情况</w:t>
      </w:r>
    </w:p>
    <w:p w14:paraId="5F707FF5">
      <w:pPr>
        <w:spacing w:line="574" w:lineRule="exact"/>
        <w:ind w:firstLine="592"/>
        <w:rPr>
          <w:rFonts w:ascii="仿宋_GB2312" w:hAnsi="仿宋_GB2312" w:cs="仿宋_GB2312"/>
          <w:color w:val="auto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改造范围内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涉及1宗用地，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属国有建设用地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，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面积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0.4705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公顷（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4705.4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平方米，折合约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7.06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亩）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，土地用途为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工业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。改造涉及的土地已经确权、登记，不动产权证号为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highlight w:val="none"/>
          <w:u w:val="none"/>
          <w:lang w:val="en-US" w:eastAsia="zh-CN"/>
        </w:rPr>
        <w:t>粤（2019）中山市不动产权第182350号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u w:val="none"/>
        </w:rPr>
        <w:t>，为土地权利人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u w:val="none"/>
          <w:lang w:eastAsia="zh-CN"/>
        </w:rPr>
        <w:t>邹群翔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u w:val="none"/>
        </w:rPr>
        <w:t>自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u w:val="none"/>
          <w:lang w:val="en-US" w:eastAsia="zh-CN"/>
        </w:rPr>
        <w:t>2019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u w:val="none"/>
        </w:rPr>
        <w:t>年开始使用。</w:t>
      </w:r>
    </w:p>
    <w:p w14:paraId="17C2EB55">
      <w:pPr>
        <w:spacing w:line="574" w:lineRule="exact"/>
        <w:ind w:firstLine="616" w:firstLineChars="200"/>
        <w:rPr>
          <w:rFonts w:ascii="楷体" w:hAnsi="楷体" w:eastAsia="楷体" w:cs="楷体"/>
          <w:spacing w:val="-6"/>
          <w:szCs w:val="32"/>
          <w:u w:val="none"/>
        </w:rPr>
      </w:pPr>
      <w:r>
        <w:rPr>
          <w:rFonts w:hint="eastAsia" w:ascii="楷体" w:hAnsi="楷体" w:eastAsia="楷体" w:cs="楷体"/>
          <w:spacing w:val="-6"/>
          <w:szCs w:val="32"/>
          <w:u w:val="none"/>
        </w:rPr>
        <w:t>（四）土地现状情况</w:t>
      </w:r>
    </w:p>
    <w:p w14:paraId="31749DA6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改造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涉及地块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“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三调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”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及最新土地利用现状地类建设用地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0.4705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公顷（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4705.4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平方米，折合约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7.06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亩）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。</w:t>
      </w:r>
    </w:p>
    <w:p w14:paraId="4BC844AE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改造主体地块现状为建设用地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0.4705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公顷（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4705.4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平方米，折合约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7.06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亩）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。</w:t>
      </w:r>
    </w:p>
    <w:p w14:paraId="77617532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改造主体地块现有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2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栋建筑物，为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邹群翔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自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2019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年开始使用。已按规定办理规划报建等手续，现有建筑面积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6447.39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平方米，现状容积率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1.37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，作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工业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用途所用。该地块目前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未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拆除建筑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物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，改造前年产值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为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800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u w:val="none"/>
        </w:rPr>
        <w:t>（折合</w:t>
      </w:r>
      <w:r>
        <w:rPr>
          <w:rFonts w:hint="eastAsia" w:cs="Times New Roman"/>
          <w:color w:val="000000"/>
          <w:spacing w:val="-6"/>
          <w:kern w:val="0"/>
          <w:sz w:val="32"/>
          <w:szCs w:val="32"/>
          <w:u w:val="none"/>
          <w:lang w:val="en-US" w:eastAsia="zh-CN"/>
        </w:rPr>
        <w:t>约113.31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u w:val="none"/>
        </w:rPr>
        <w:t>万元/亩）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，年税收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为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20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u w:val="none"/>
        </w:rPr>
        <w:t>（折合</w:t>
      </w:r>
      <w:r>
        <w:rPr>
          <w:rFonts w:hint="eastAsia" w:cs="Times New Roman"/>
          <w:color w:val="000000"/>
          <w:spacing w:val="-6"/>
          <w:kern w:val="0"/>
          <w:sz w:val="32"/>
          <w:szCs w:val="32"/>
          <w:u w:val="none"/>
          <w:lang w:eastAsia="zh-CN"/>
        </w:rPr>
        <w:t>约</w:t>
      </w:r>
      <w:r>
        <w:rPr>
          <w:rFonts w:hint="eastAsia" w:cs="Times New Roman"/>
          <w:color w:val="000000"/>
          <w:spacing w:val="-6"/>
          <w:kern w:val="0"/>
          <w:sz w:val="32"/>
          <w:szCs w:val="32"/>
          <w:u w:val="none"/>
          <w:lang w:val="en-US" w:eastAsia="zh-CN"/>
        </w:rPr>
        <w:t>2.83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u w:val="none"/>
        </w:rPr>
        <w:t>万元/亩）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。</w:t>
      </w:r>
    </w:p>
    <w:p w14:paraId="3BAF29AF">
      <w:pPr>
        <w:spacing w:line="560" w:lineRule="exact"/>
        <w:ind w:firstLine="616" w:firstLineChars="200"/>
        <w:jc w:val="left"/>
        <w:rPr>
          <w:rFonts w:hint="eastAsia"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u w:val="none"/>
        </w:rPr>
        <w:t>改造项目地块不涉及闲置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u w:val="none"/>
        </w:rPr>
        <w:t>、抵押、历史文化资源要素等情况，不属于土壤环境潜在监管地块范围。</w:t>
      </w:r>
    </w:p>
    <w:p w14:paraId="312286E3">
      <w:pPr>
        <w:spacing w:line="574" w:lineRule="exact"/>
        <w:ind w:firstLine="616" w:firstLineChars="200"/>
        <w:rPr>
          <w:rFonts w:ascii="楷体" w:hAnsi="楷体" w:eastAsia="楷体" w:cs="楷体"/>
          <w:spacing w:val="-6"/>
          <w:szCs w:val="32"/>
          <w:u w:val="none"/>
        </w:rPr>
      </w:pPr>
      <w:r>
        <w:rPr>
          <w:rFonts w:hint="eastAsia" w:ascii="楷体" w:hAnsi="楷体" w:eastAsia="楷体" w:cs="楷体"/>
          <w:spacing w:val="-6"/>
          <w:szCs w:val="32"/>
          <w:u w:val="none"/>
        </w:rPr>
        <w:t>（五）规划情况</w:t>
      </w:r>
    </w:p>
    <w:p w14:paraId="69B93EF6">
      <w:pPr>
        <w:spacing w:line="574" w:lineRule="exact"/>
        <w:ind w:firstLine="616" w:firstLineChars="200"/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改造主体地块符合国土空间总体规划、控制性详细规划，已纳入市城市更新（“三旧”改造）专项规划。其中，在国土空间总体规划中，属城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乡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建设用地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0.4705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公顷（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4705.4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平方米，折合约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7.06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亩）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。在《中山市南头镇工业用地规划条件论证报告》（中府函【2022】317号）中，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一类工业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用地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0.4705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公顷（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4705.4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平方米，折合约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7.06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亩）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，规划容积率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1-3.5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，建筑密度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35%-60%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，绿地率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10%-15%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，建筑高度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50米以下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以实际审批情况为准。</w:t>
      </w:r>
    </w:p>
    <w:p w14:paraId="3DA60FBB">
      <w:pPr>
        <w:spacing w:line="574" w:lineRule="exact"/>
        <w:ind w:firstLine="616" w:firstLineChars="200"/>
        <w:rPr>
          <w:rFonts w:hint="eastAsia"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改造项目地块全部位于“三区三线”城镇开发边界内，且不涉及永久基本农田和生态保护红线、森林资源等管控要求。</w:t>
      </w:r>
    </w:p>
    <w:p w14:paraId="1366A0A4">
      <w:pPr>
        <w:spacing w:line="574" w:lineRule="exact"/>
        <w:ind w:firstLine="616" w:firstLineChars="200"/>
        <w:rPr>
          <w:rFonts w:ascii="黑体" w:hAnsi="黑体" w:eastAsia="黑体" w:cs="黑体"/>
          <w:spacing w:val="-6"/>
          <w:kern w:val="0"/>
          <w:szCs w:val="32"/>
          <w:u w:val="none"/>
        </w:rPr>
      </w:pPr>
      <w:r>
        <w:rPr>
          <w:rFonts w:hint="eastAsia" w:ascii="黑体" w:hAnsi="黑体" w:eastAsia="黑体" w:cs="黑体"/>
          <w:spacing w:val="-6"/>
          <w:kern w:val="0"/>
          <w:szCs w:val="32"/>
          <w:u w:val="none"/>
        </w:rPr>
        <w:t>二、改造意愿情况</w:t>
      </w:r>
    </w:p>
    <w:p w14:paraId="5F9B7BAB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改造范围涉及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邹群翔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个权利主体，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南头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镇人民政府已按照法律法规，就改造范围、土地现状、改造主体及拟改造情况、等事项征询涉及所有权利人改造意愿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，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同意将涉及土地、房屋纳入改造范围。</w:t>
      </w:r>
    </w:p>
    <w:p w14:paraId="4264DBA6">
      <w:pPr>
        <w:spacing w:line="574" w:lineRule="exact"/>
        <w:ind w:firstLine="616" w:firstLineChars="200"/>
        <w:rPr>
          <w:rFonts w:ascii="黑体" w:hAnsi="黑体" w:eastAsia="黑体" w:cs="黑体"/>
          <w:spacing w:val="-6"/>
          <w:kern w:val="0"/>
          <w:szCs w:val="32"/>
          <w:u w:val="none"/>
        </w:rPr>
      </w:pPr>
      <w:r>
        <w:rPr>
          <w:rFonts w:hint="eastAsia" w:ascii="黑体" w:hAnsi="黑体" w:eastAsia="黑体" w:cs="黑体"/>
          <w:spacing w:val="-6"/>
          <w:kern w:val="0"/>
          <w:szCs w:val="32"/>
          <w:u w:val="none"/>
        </w:rPr>
        <w:t>三、改造主体及拟改造情况</w:t>
      </w:r>
    </w:p>
    <w:p w14:paraId="4A95D6FE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根据有关规划要求，改造项目严格按照国土空间总体规划、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控制性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详细规划管控要求实施建设。</w:t>
      </w:r>
    </w:p>
    <w:p w14:paraId="3F3D12E1">
      <w:pPr>
        <w:spacing w:line="574" w:lineRule="exact"/>
        <w:ind w:firstLine="616" w:firstLineChars="200"/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该改造项目属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工</w:t>
      </w:r>
      <w:r>
        <w:rPr>
          <w:rFonts w:hint="eastAsia" w:ascii="仿宋_GB2312" w:hAnsi="仿宋_GB2312" w:cs="仿宋_GB2312"/>
          <w:spacing w:val="-6"/>
          <w:szCs w:val="32"/>
          <w:u w:val="none"/>
        </w:rPr>
        <w:t>改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eastAsia="zh-CN"/>
        </w:rPr>
        <w:t>工</w:t>
      </w:r>
      <w:r>
        <w:rPr>
          <w:rFonts w:hint="eastAsia" w:ascii="仿宋_GB2312" w:hAnsi="仿宋_GB2312" w:cs="仿宋_GB2312"/>
          <w:spacing w:val="-6"/>
          <w:szCs w:val="32"/>
          <w:u w:val="none"/>
          <w:lang w:eastAsia="zh-CN"/>
        </w:rPr>
        <w:t>项目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</w:rPr>
        <w:t>，拟采取权利人自主改造方式，拟实施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局部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改造。</w:t>
      </w:r>
    </w:p>
    <w:p w14:paraId="73B66E0A">
      <w:pPr>
        <w:spacing w:line="574" w:lineRule="exact"/>
        <w:ind w:firstLine="616" w:firstLineChars="200"/>
        <w:rPr>
          <w:rFonts w:hint="default" w:ascii="仿宋_GB2312" w:hAnsi="仿宋_GB2312" w:cs="仿宋_GB2312"/>
          <w:spacing w:val="-6"/>
          <w:kern w:val="0"/>
          <w:szCs w:val="32"/>
          <w:highlight w:val="none"/>
          <w:u w:val="none"/>
          <w:lang w:val="en-US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由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邹群翔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作为改造主体，改造后将用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  <w:u w:val="none"/>
        </w:rPr>
        <w:t>于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  <w:u w:val="none"/>
          <w:lang w:val="en-US" w:eastAsia="zh-CN"/>
        </w:rPr>
        <w:t>生产半导体与电子元器件的新型材料</w:t>
      </w: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  <w:u w:val="none"/>
        </w:rPr>
        <w:t>，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在符合详细规划的基础上，容积率不小于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3.0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，总建筑面积不小于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14116.2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平方米，其中新建建筑面积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不小于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8561.03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平方米，保留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原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建筑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物面积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5555.17平方米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。</w:t>
      </w:r>
    </w:p>
    <w:p w14:paraId="2A064071">
      <w:pPr>
        <w:spacing w:line="574" w:lineRule="exact"/>
        <w:ind w:firstLine="616" w:firstLineChars="200"/>
        <w:rPr>
          <w:rFonts w:ascii="仿宋_GB2312" w:hAnsi="仿宋_GB2312" w:cs="仿宋_GB2312"/>
          <w:spacing w:val="-6"/>
          <w:kern w:val="0"/>
          <w:szCs w:val="32"/>
          <w:highlight w:val="none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项目相关情况符合国家《产业结构调整指导目录》、《中山市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“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三线一单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eastAsia="zh-CN"/>
        </w:rPr>
        <w:t>”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生态环境分区管控方案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》、《中山市涉挥发性有机物项目环保管理规定》。改造后年产值将达到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2000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约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283.29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万元/亩）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，年税收将达到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50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7.08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万元/亩）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。</w:t>
      </w:r>
    </w:p>
    <w:p w14:paraId="4F2FC17D">
      <w:pPr>
        <w:numPr>
          <w:ilvl w:val="0"/>
          <w:numId w:val="1"/>
        </w:numPr>
        <w:spacing w:line="574" w:lineRule="exact"/>
        <w:ind w:firstLine="616" w:firstLineChars="200"/>
        <w:rPr>
          <w:rFonts w:ascii="黑体" w:hAnsi="黑体" w:eastAsia="黑体" w:cs="黑体"/>
          <w:spacing w:val="-6"/>
          <w:kern w:val="0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spacing w:val="-6"/>
          <w:kern w:val="0"/>
          <w:szCs w:val="32"/>
          <w:highlight w:val="none"/>
          <w:u w:val="none"/>
        </w:rPr>
        <w:t>资金筹措</w:t>
      </w:r>
    </w:p>
    <w:p w14:paraId="7D18574C">
      <w:pPr>
        <w:spacing w:line="574" w:lineRule="exact"/>
        <w:ind w:firstLine="592"/>
        <w:rPr>
          <w:rFonts w:ascii="仿宋_GB2312" w:hAnsi="仿宋_GB2312" w:cs="仿宋_GB2312"/>
          <w:spacing w:val="-6"/>
          <w:kern w:val="0"/>
          <w:szCs w:val="32"/>
          <w:highlight w:val="none"/>
          <w:u w:val="none"/>
        </w:rPr>
      </w:pP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项目改造成本为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2500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万元，由改造主体拟投入资金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2500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万元，其中自有资金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  <w:lang w:val="en-US" w:eastAsia="zh-CN"/>
        </w:rPr>
        <w:t>2500</w:t>
      </w:r>
      <w:r>
        <w:rPr>
          <w:rFonts w:hint="eastAsia" w:ascii="仿宋_GB2312" w:hAnsi="仿宋_GB2312" w:cs="仿宋_GB2312"/>
          <w:spacing w:val="-6"/>
          <w:kern w:val="0"/>
          <w:szCs w:val="32"/>
          <w:highlight w:val="none"/>
          <w:u w:val="none"/>
        </w:rPr>
        <w:t>万元。</w:t>
      </w:r>
    </w:p>
    <w:p w14:paraId="58119044">
      <w:pPr>
        <w:numPr>
          <w:ilvl w:val="0"/>
          <w:numId w:val="1"/>
        </w:numPr>
        <w:spacing w:line="574" w:lineRule="exact"/>
        <w:ind w:firstLine="616" w:firstLineChars="200"/>
        <w:rPr>
          <w:rFonts w:ascii="黑体" w:hAnsi="黑体" w:eastAsia="黑体" w:cs="黑体"/>
          <w:spacing w:val="-6"/>
          <w:kern w:val="0"/>
          <w:szCs w:val="32"/>
          <w:u w:val="none"/>
        </w:rPr>
      </w:pPr>
      <w:r>
        <w:rPr>
          <w:rFonts w:hint="eastAsia" w:ascii="黑体" w:hAnsi="黑体" w:eastAsia="黑体" w:cs="黑体"/>
          <w:spacing w:val="-6"/>
          <w:kern w:val="0"/>
          <w:szCs w:val="32"/>
          <w:u w:val="none"/>
        </w:rPr>
        <w:t>开发时序</w:t>
      </w:r>
    </w:p>
    <w:p w14:paraId="1B9D7C84">
      <w:pPr>
        <w:spacing w:line="574" w:lineRule="exact"/>
        <w:ind w:firstLine="592"/>
        <w:rPr>
          <w:rFonts w:hint="eastAsia" w:ascii="仿宋_GB2312" w:hAnsi="仿宋_GB2312" w:eastAsia="仿宋_GB2312" w:cs="仿宋_GB2312"/>
          <w:spacing w:val="-6"/>
          <w:kern w:val="0"/>
          <w:szCs w:val="32"/>
          <w:u w:val="none"/>
          <w:lang w:eastAsia="zh-CN"/>
        </w:rPr>
      </w:pPr>
      <w:r>
        <w:rPr>
          <w:rFonts w:hint="default" w:ascii="Times New Roman" w:hAnsi="Times New Roman" w:cs="Times New Roman"/>
          <w:spacing w:val="-6"/>
          <w:kern w:val="0"/>
          <w:szCs w:val="32"/>
          <w:u w:val="none"/>
        </w:rPr>
        <w:t>项目开发时间为自</w:t>
      </w:r>
      <w:r>
        <w:rPr>
          <w:rFonts w:hint="eastAsia" w:ascii="Times New Roman" w:hAnsi="Times New Roman" w:cs="Times New Roman"/>
          <w:spacing w:val="-6"/>
          <w:kern w:val="0"/>
          <w:szCs w:val="32"/>
          <w:u w:val="none"/>
          <w:lang w:val="en-US" w:eastAsia="zh-CN"/>
        </w:rPr>
        <w:t>方案批复之日</w:t>
      </w:r>
      <w:r>
        <w:rPr>
          <w:rFonts w:hint="default" w:ascii="Times New Roman" w:hAnsi="Times New Roman" w:cs="Times New Roman"/>
          <w:spacing w:val="-6"/>
          <w:kern w:val="0"/>
          <w:szCs w:val="32"/>
          <w:u w:val="none"/>
        </w:rPr>
        <w:t>起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365</w:t>
      </w:r>
      <w:r>
        <w:rPr>
          <w:rFonts w:hint="eastAsia" w:ascii="Times New Roman" w:hAnsi="Times New Roman" w:cs="Times New Roman"/>
          <w:spacing w:val="-6"/>
          <w:kern w:val="0"/>
          <w:szCs w:val="32"/>
          <w:u w:val="none"/>
          <w:lang w:val="en-US" w:eastAsia="zh-CN"/>
        </w:rPr>
        <w:t>日</w:t>
      </w:r>
      <w:r>
        <w:rPr>
          <w:rFonts w:hint="default" w:ascii="Times New Roman" w:hAnsi="Times New Roman" w:cs="Times New Roman"/>
          <w:spacing w:val="-6"/>
          <w:kern w:val="0"/>
          <w:szCs w:val="32"/>
          <w:u w:val="none"/>
        </w:rPr>
        <w:t>内</w:t>
      </w:r>
      <w:r>
        <w:rPr>
          <w:rFonts w:hint="eastAsia" w:ascii="Times New Roman" w:hAnsi="Times New Roman" w:cs="Times New Roman"/>
          <w:spacing w:val="-6"/>
          <w:kern w:val="0"/>
          <w:szCs w:val="32"/>
          <w:u w:val="none"/>
          <w:lang w:eastAsia="zh-CN"/>
        </w:rPr>
        <w:t>开工</w:t>
      </w:r>
      <w:r>
        <w:rPr>
          <w:rFonts w:hint="default" w:ascii="Times New Roman" w:hAnsi="Times New Roman" w:cs="Times New Roman"/>
          <w:spacing w:val="-6"/>
          <w:kern w:val="0"/>
          <w:szCs w:val="32"/>
          <w:u w:val="none"/>
        </w:rPr>
        <w:t>，自</w:t>
      </w:r>
      <w:r>
        <w:rPr>
          <w:rFonts w:hint="eastAsia" w:ascii="Times New Roman" w:hAnsi="Times New Roman" w:cs="Times New Roman"/>
          <w:spacing w:val="-6"/>
          <w:kern w:val="0"/>
          <w:szCs w:val="32"/>
          <w:u w:val="none"/>
          <w:lang w:eastAsia="zh-CN"/>
        </w:rPr>
        <w:t>开工</w:t>
      </w:r>
      <w:r>
        <w:rPr>
          <w:rFonts w:hint="default" w:ascii="Times New Roman" w:hAnsi="Times New Roman" w:cs="Times New Roman"/>
          <w:spacing w:val="-6"/>
          <w:kern w:val="0"/>
          <w:szCs w:val="32"/>
          <w:u w:val="none"/>
        </w:rPr>
        <w:t>之日起</w:t>
      </w:r>
      <w:r>
        <w:rPr>
          <w:rFonts w:hint="eastAsia" w:ascii="仿宋_GB2312" w:hAnsi="仿宋_GB2312" w:cs="仿宋_GB2312"/>
          <w:spacing w:val="-6"/>
          <w:kern w:val="0"/>
          <w:szCs w:val="32"/>
          <w:u w:val="none"/>
          <w:lang w:val="en-US" w:eastAsia="zh-CN"/>
        </w:rPr>
        <w:t>730</w:t>
      </w:r>
      <w:r>
        <w:rPr>
          <w:rFonts w:hint="eastAsia" w:ascii="Times New Roman" w:hAnsi="Times New Roman" w:cs="Times New Roman"/>
          <w:spacing w:val="-6"/>
          <w:kern w:val="0"/>
          <w:szCs w:val="32"/>
          <w:u w:val="none"/>
          <w:lang w:val="en-US" w:eastAsia="zh-CN"/>
        </w:rPr>
        <w:t>日</w:t>
      </w:r>
      <w:r>
        <w:rPr>
          <w:rFonts w:hint="default" w:ascii="Times New Roman" w:hAnsi="Times New Roman" w:cs="Times New Roman"/>
          <w:spacing w:val="-6"/>
          <w:kern w:val="0"/>
          <w:szCs w:val="32"/>
          <w:u w:val="none"/>
        </w:rPr>
        <w:t>内竣工</w:t>
      </w:r>
      <w:r>
        <w:rPr>
          <w:rFonts w:hint="eastAsia" w:ascii="Times New Roman" w:hAnsi="Times New Roman" w:cs="Times New Roman"/>
          <w:spacing w:val="-6"/>
          <w:kern w:val="0"/>
          <w:szCs w:val="32"/>
          <w:u w:val="none"/>
          <w:lang w:eastAsia="zh-CN"/>
        </w:rPr>
        <w:t>。</w:t>
      </w:r>
    </w:p>
    <w:p w14:paraId="384CC893">
      <w:pPr>
        <w:spacing w:line="574" w:lineRule="exact"/>
        <w:ind w:firstLine="616" w:firstLineChars="200"/>
        <w:rPr>
          <w:rFonts w:ascii="黑体" w:hAnsi="黑体" w:eastAsia="黑体"/>
          <w:spacing w:val="-6"/>
          <w:kern w:val="0"/>
          <w:szCs w:val="32"/>
          <w:u w:val="none"/>
        </w:rPr>
      </w:pPr>
      <w:r>
        <w:rPr>
          <w:rFonts w:hint="eastAsia" w:ascii="黑体" w:hAnsi="黑体" w:eastAsia="黑体"/>
          <w:spacing w:val="-6"/>
          <w:kern w:val="0"/>
          <w:szCs w:val="32"/>
          <w:u w:val="none"/>
        </w:rPr>
        <w:t>八、实施监管</w:t>
      </w:r>
    </w:p>
    <w:p w14:paraId="4BAA81FB">
      <w:pPr>
        <w:spacing w:line="574" w:lineRule="exact"/>
        <w:ind w:firstLine="616" w:firstLineChars="200"/>
        <w:rPr>
          <w:rFonts w:hint="eastAsia" w:ascii="仿宋" w:hAnsi="仿宋" w:eastAsia="仿宋"/>
          <w:spacing w:val="-6"/>
          <w:kern w:val="0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u w:val="none"/>
          <w:lang w:val="en-US" w:eastAsia="zh-CN" w:bidi="ar-SA"/>
        </w:rPr>
        <w:t>详见南头镇与改造主体签订的项目实施监管协议。</w:t>
      </w:r>
    </w:p>
    <w:p w14:paraId="03BC7326">
      <w:pPr>
        <w:rPr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CA8AD6"/>
    <w:multiLevelType w:val="singleLevel"/>
    <w:tmpl w:val="61CA8AD6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02A00"/>
    <w:rsid w:val="07602A00"/>
    <w:rsid w:val="52343D16"/>
    <w:rsid w:val="524338F1"/>
    <w:rsid w:val="54DC485C"/>
    <w:rsid w:val="6318602E"/>
    <w:rsid w:val="75682665"/>
    <w:rsid w:val="7AB4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/>
    </w:pPr>
    <w:rPr>
      <w:rFonts w:ascii="宋体" w:hAnsi="宋体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中山市南头镇人民政府</Company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2026-10-08T03:23:00Z</dcterms:created>
  <dc:creator>高玉德</dc:creator>
  <cp:lastModifiedBy>高玉德</cp:lastModifiedBy>
  <dcterms:modified xsi:type="dcterms:W3CDTF">2026-10-13T03:39:03Z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342D7B6844E64421A58B37CBD0714186_13</vt:lpwstr>
  </property>
</Properties>
</file>