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8C48C8">
      <w:pPr>
        <w:spacing w:line="600" w:lineRule="exact"/>
        <w:jc w:val="center"/>
        <w:rPr>
          <w:rFonts w:hint="eastAsia" w:ascii="方正小标宋简体" w:hAnsi="方正小标宋简体" w:eastAsia="方正小标宋简体" w:cs="方正小标宋简体"/>
          <w:b/>
          <w:bCs/>
          <w:color w:val="auto"/>
          <w:sz w:val="40"/>
          <w:szCs w:val="40"/>
          <w:highlight w:val="none"/>
          <w:lang w:val="en-US" w:eastAsia="zh-CN"/>
        </w:rPr>
      </w:pPr>
      <w:r>
        <w:rPr>
          <w:rFonts w:hint="eastAsia" w:ascii="方正小标宋简体" w:hAnsi="方正小标宋简体" w:eastAsia="方正小标宋简体" w:cs="方正小标宋简体"/>
          <w:b/>
          <w:bCs/>
          <w:color w:val="auto"/>
          <w:sz w:val="40"/>
          <w:szCs w:val="40"/>
          <w:highlight w:val="none"/>
          <w:lang w:val="en-US" w:eastAsia="zh-CN"/>
        </w:rPr>
        <w:t>东凤镇东阜路民乐段红线退让地块004号地（万轮科技公司门前）租赁方案</w:t>
      </w:r>
    </w:p>
    <w:p w14:paraId="07484E95">
      <w:pPr>
        <w:spacing w:line="600" w:lineRule="exact"/>
        <w:ind w:firstLine="560" w:firstLineChars="200"/>
        <w:rPr>
          <w:rFonts w:ascii="仿宋_GB2312" w:hAnsi="仿宋_GB2312" w:eastAsia="仿宋_GB2312" w:cs="仿宋_GB2312"/>
          <w:sz w:val="28"/>
          <w:szCs w:val="28"/>
          <w:highlight w:val="none"/>
        </w:rPr>
      </w:pPr>
    </w:p>
    <w:p w14:paraId="6555723F">
      <w:pPr>
        <w:spacing w:line="600" w:lineRule="exact"/>
        <w:ind w:firstLine="640"/>
        <w:jc w:val="both"/>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中山市东凤镇集体资产管理有限公司经营管理的东凤镇东阜路民乐段红线退让地块004号地（万轮科技公司门前），为体现公开、公平、公正，现面向社会进行公开招租。</w:t>
      </w:r>
    </w:p>
    <w:p w14:paraId="0540DFB0">
      <w:pPr>
        <w:spacing w:line="600" w:lineRule="exact"/>
        <w:jc w:val="left"/>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一、基本情况：</w:t>
      </w:r>
    </w:p>
    <w:p w14:paraId="6B5160EB">
      <w:pPr>
        <w:spacing w:line="600" w:lineRule="exact"/>
        <w:ind w:firstLine="640"/>
        <w:jc w:val="left"/>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1.坐落位置：东凤镇东阜路民乐段红线退让地块004号地（万轮科技公司门前）；</w:t>
      </w:r>
    </w:p>
    <w:p w14:paraId="6403A972">
      <w:pPr>
        <w:spacing w:line="600" w:lineRule="exact"/>
        <w:ind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2.面积：土地面积为1071.16平方米；</w:t>
      </w:r>
    </w:p>
    <w:p w14:paraId="4CD8B290">
      <w:pPr>
        <w:spacing w:line="600" w:lineRule="exact"/>
        <w:ind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3.功能用途：临时用地，不能经营运输、物流、废品回收、汽车拆解、砂石买卖等限制性行业和不得搭建固定式建筑物。</w:t>
      </w:r>
    </w:p>
    <w:p w14:paraId="10CFB878">
      <w:pPr>
        <w:spacing w:line="600" w:lineRule="exact"/>
        <w:ind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4.土地证：无；</w:t>
      </w:r>
    </w:p>
    <w:p w14:paraId="0AA7F807">
      <w:pPr>
        <w:spacing w:line="600" w:lineRule="exact"/>
        <w:ind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5.房产证：无；</w:t>
      </w:r>
    </w:p>
    <w:p w14:paraId="3BC01D79">
      <w:pPr>
        <w:spacing w:line="600" w:lineRule="exact"/>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二、租赁方案：</w:t>
      </w:r>
    </w:p>
    <w:p w14:paraId="4A58548D">
      <w:pPr>
        <w:spacing w:line="600" w:lineRule="exact"/>
        <w:ind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1.租赁期限：3年；</w:t>
      </w:r>
    </w:p>
    <w:p w14:paraId="558306F8">
      <w:pPr>
        <w:spacing w:line="600" w:lineRule="exact"/>
        <w:ind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2.保证金：租赁物3个月租金（按中标价）；</w:t>
      </w:r>
    </w:p>
    <w:p w14:paraId="6B1D07D9">
      <w:pPr>
        <w:ind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3.竞投租金底价及其他：月租金2677.9元（非税收入，系统自动生成非税收入一般缴款书）；</w:t>
      </w:r>
    </w:p>
    <w:p w14:paraId="2AAAD816">
      <w:pPr>
        <w:spacing w:line="600" w:lineRule="exact"/>
        <w:ind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4.计租时间：无免租期，从合同签订起计算；</w:t>
      </w:r>
    </w:p>
    <w:p w14:paraId="56B9317E">
      <w:pPr>
        <w:spacing w:line="600" w:lineRule="exact"/>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lang w:eastAsia="zh-CN"/>
        </w:rPr>
        <w:t>三、</w:t>
      </w:r>
      <w:r>
        <w:rPr>
          <w:rFonts w:hint="eastAsia" w:ascii="方正仿宋_GB2312" w:hAnsi="方正仿宋_GB2312" w:eastAsia="方正仿宋_GB2312" w:cs="方正仿宋_GB2312"/>
          <w:sz w:val="32"/>
          <w:szCs w:val="32"/>
          <w:highlight w:val="none"/>
        </w:rPr>
        <w:t>投标报名：</w:t>
      </w:r>
    </w:p>
    <w:p w14:paraId="2E602B8D">
      <w:pPr>
        <w:keepNext w:val="0"/>
        <w:keepLines w:val="0"/>
        <w:pageBreakBefore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1.</w:t>
      </w:r>
      <w:r>
        <w:rPr>
          <w:rFonts w:hint="eastAsia" w:ascii="方正仿宋_GB2312" w:hAnsi="方正仿宋_GB2312" w:eastAsia="方正仿宋_GB2312" w:cs="方正仿宋_GB2312"/>
          <w:sz w:val="32"/>
          <w:szCs w:val="32"/>
        </w:rPr>
        <w:t>参与竞投者须缴纳投标</w:t>
      </w:r>
      <w:r>
        <w:rPr>
          <w:rFonts w:hint="eastAsia" w:ascii="方正仿宋_GB2312" w:hAnsi="方正仿宋_GB2312" w:eastAsia="方正仿宋_GB2312" w:cs="方正仿宋_GB2312"/>
          <w:sz w:val="32"/>
          <w:szCs w:val="32"/>
          <w:highlight w:val="none"/>
        </w:rPr>
        <w:t>保证金</w:t>
      </w:r>
      <w:r>
        <w:rPr>
          <w:rFonts w:hint="eastAsia" w:ascii="方正仿宋_GB2312" w:hAnsi="方正仿宋_GB2312" w:eastAsia="方正仿宋_GB2312" w:cs="方正仿宋_GB2312"/>
          <w:sz w:val="32"/>
          <w:szCs w:val="32"/>
          <w:highlight w:val="none"/>
          <w:lang w:eastAsia="zh-CN"/>
        </w:rPr>
        <w:t>，</w:t>
      </w:r>
      <w:r>
        <w:rPr>
          <w:rFonts w:hint="eastAsia" w:ascii="方正仿宋_GB2312" w:hAnsi="方正仿宋_GB2312" w:eastAsia="方正仿宋_GB2312" w:cs="方正仿宋_GB2312"/>
          <w:b w:val="0"/>
          <w:bCs w:val="0"/>
          <w:sz w:val="32"/>
          <w:szCs w:val="32"/>
          <w:highlight w:val="none"/>
          <w:lang w:val="en-US" w:eastAsia="zh-CN"/>
        </w:rPr>
        <w:t>缴纳保证金的账号必须与竞投者保持一致</w:t>
      </w:r>
      <w:r>
        <w:rPr>
          <w:rFonts w:hint="eastAsia" w:ascii="方正仿宋_GB2312" w:hAnsi="方正仿宋_GB2312" w:eastAsia="方正仿宋_GB2312" w:cs="方正仿宋_GB2312"/>
          <w:b w:val="0"/>
          <w:bCs w:val="0"/>
          <w:sz w:val="32"/>
          <w:szCs w:val="32"/>
          <w:highlight w:val="none"/>
        </w:rPr>
        <w:t>，投标保证金为</w:t>
      </w:r>
      <w:r>
        <w:rPr>
          <w:rFonts w:hint="eastAsia" w:ascii="方正仿宋_GB2312" w:hAnsi="方正仿宋_GB2312" w:eastAsia="方正仿宋_GB2312" w:cs="方正仿宋_GB2312"/>
          <w:b w:val="0"/>
          <w:bCs w:val="0"/>
          <w:color w:val="000000" w:themeColor="text1"/>
          <w:sz w:val="32"/>
          <w:szCs w:val="32"/>
          <w:highlight w:val="none"/>
          <w:lang w:val="en-US" w:eastAsia="zh-CN"/>
          <w14:textFill>
            <w14:solidFill>
              <w14:schemeClr w14:val="tx1"/>
            </w14:solidFill>
          </w14:textFill>
        </w:rPr>
        <w:t>8033.7</w:t>
      </w:r>
      <w:r>
        <w:rPr>
          <w:rFonts w:hint="eastAsia" w:ascii="方正仿宋_GB2312" w:hAnsi="方正仿宋_GB2312" w:eastAsia="方正仿宋_GB2312" w:cs="方正仿宋_GB2312"/>
          <w:b w:val="0"/>
          <w:bCs w:val="0"/>
          <w:color w:val="auto"/>
          <w:sz w:val="32"/>
          <w:szCs w:val="32"/>
          <w:highlight w:val="none"/>
        </w:rPr>
        <w:t>元</w:t>
      </w:r>
      <w:r>
        <w:rPr>
          <w:rFonts w:hint="eastAsia" w:ascii="方正仿宋_GB2312" w:hAnsi="方正仿宋_GB2312" w:eastAsia="方正仿宋_GB2312" w:cs="方正仿宋_GB2312"/>
          <w:b w:val="0"/>
          <w:bCs w:val="0"/>
          <w:sz w:val="32"/>
          <w:szCs w:val="32"/>
          <w:highlight w:val="none"/>
        </w:rPr>
        <w:t>人民币，竞投者</w:t>
      </w:r>
      <w:r>
        <w:rPr>
          <w:rFonts w:hint="eastAsia" w:ascii="方正仿宋_GB2312" w:hAnsi="方正仿宋_GB2312" w:eastAsia="方正仿宋_GB2312" w:cs="方正仿宋_GB2312"/>
          <w:sz w:val="32"/>
          <w:szCs w:val="32"/>
          <w:highlight w:val="none"/>
        </w:rPr>
        <w:t>请于</w:t>
      </w:r>
      <w:r>
        <w:rPr>
          <w:rFonts w:hint="eastAsia" w:ascii="方正仿宋_GB2312" w:hAnsi="方正仿宋_GB2312" w:eastAsia="方正仿宋_GB2312" w:cs="方正仿宋_GB2312"/>
          <w:color w:val="auto"/>
          <w:sz w:val="32"/>
          <w:szCs w:val="32"/>
          <w:highlight w:val="none"/>
        </w:rPr>
        <w:t>202</w:t>
      </w:r>
      <w:r>
        <w:rPr>
          <w:rFonts w:hint="eastAsia" w:ascii="方正仿宋_GB2312" w:hAnsi="方正仿宋_GB2312" w:eastAsia="方正仿宋_GB2312" w:cs="方正仿宋_GB2312"/>
          <w:color w:val="auto"/>
          <w:sz w:val="32"/>
          <w:szCs w:val="32"/>
          <w:highlight w:val="none"/>
          <w:lang w:val="en-US" w:eastAsia="zh-CN"/>
        </w:rPr>
        <w:t>6</w:t>
      </w:r>
      <w:r>
        <w:rPr>
          <w:rFonts w:hint="eastAsia" w:ascii="方正仿宋_GB2312" w:hAnsi="方正仿宋_GB2312" w:eastAsia="方正仿宋_GB2312" w:cs="方正仿宋_GB2312"/>
          <w:color w:val="auto"/>
          <w:sz w:val="32"/>
          <w:szCs w:val="32"/>
          <w:highlight w:val="none"/>
        </w:rPr>
        <w:t>年</w:t>
      </w:r>
      <w:r>
        <w:rPr>
          <w:rFonts w:hint="eastAsia" w:ascii="方正仿宋_GB2312" w:hAnsi="方正仿宋_GB2312" w:eastAsia="方正仿宋_GB2312" w:cs="方正仿宋_GB2312"/>
          <w:color w:val="auto"/>
          <w:sz w:val="32"/>
          <w:szCs w:val="32"/>
          <w:highlight w:val="none"/>
          <w:lang w:val="en-US" w:eastAsia="zh-CN"/>
        </w:rPr>
        <w:t>10</w:t>
      </w:r>
      <w:r>
        <w:rPr>
          <w:rFonts w:hint="eastAsia" w:ascii="方正仿宋_GB2312" w:hAnsi="方正仿宋_GB2312" w:eastAsia="方正仿宋_GB2312" w:cs="方正仿宋_GB2312"/>
          <w:color w:val="auto"/>
          <w:sz w:val="32"/>
          <w:szCs w:val="32"/>
          <w:highlight w:val="none"/>
        </w:rPr>
        <w:t>月</w:t>
      </w:r>
      <w:r>
        <w:rPr>
          <w:rFonts w:hint="eastAsia" w:ascii="方正仿宋_GB2312" w:hAnsi="方正仿宋_GB2312" w:eastAsia="方正仿宋_GB2312" w:cs="方正仿宋_GB2312"/>
          <w:color w:val="auto"/>
          <w:sz w:val="32"/>
          <w:szCs w:val="32"/>
          <w:highlight w:val="none"/>
          <w:lang w:val="en-US" w:eastAsia="zh-CN"/>
        </w:rPr>
        <w:t>26</w:t>
      </w:r>
      <w:r>
        <w:rPr>
          <w:rFonts w:hint="eastAsia" w:ascii="方正仿宋_GB2312" w:hAnsi="方正仿宋_GB2312" w:eastAsia="方正仿宋_GB2312" w:cs="方正仿宋_GB2312"/>
          <w:color w:val="auto"/>
          <w:sz w:val="32"/>
          <w:szCs w:val="32"/>
          <w:highlight w:val="none"/>
        </w:rPr>
        <w:t>日16</w:t>
      </w:r>
      <w:r>
        <w:rPr>
          <w:rFonts w:hint="eastAsia" w:ascii="方正仿宋_GB2312" w:hAnsi="方正仿宋_GB2312" w:eastAsia="方正仿宋_GB2312" w:cs="方正仿宋_GB2312"/>
          <w:color w:val="auto"/>
          <w:sz w:val="32"/>
          <w:szCs w:val="32"/>
          <w:highlight w:val="none"/>
          <w:lang w:eastAsia="zh-CN"/>
        </w:rPr>
        <w:t>:</w:t>
      </w:r>
      <w:r>
        <w:rPr>
          <w:rFonts w:hint="eastAsia" w:ascii="方正仿宋_GB2312" w:hAnsi="方正仿宋_GB2312" w:eastAsia="方正仿宋_GB2312" w:cs="方正仿宋_GB2312"/>
          <w:color w:val="auto"/>
          <w:sz w:val="32"/>
          <w:szCs w:val="32"/>
          <w:highlight w:val="none"/>
        </w:rPr>
        <w:t>00</w:t>
      </w:r>
      <w:r>
        <w:rPr>
          <w:rFonts w:hint="eastAsia" w:ascii="方正仿宋_GB2312" w:hAnsi="方正仿宋_GB2312" w:eastAsia="方正仿宋_GB2312" w:cs="方正仿宋_GB2312"/>
          <w:sz w:val="32"/>
          <w:szCs w:val="32"/>
          <w:highlight w:val="none"/>
        </w:rPr>
        <w:t>前自行到兴业银</w:t>
      </w:r>
      <w:r>
        <w:rPr>
          <w:rFonts w:hint="eastAsia" w:ascii="方正仿宋_GB2312" w:hAnsi="方正仿宋_GB2312" w:eastAsia="方正仿宋_GB2312" w:cs="方正仿宋_GB2312"/>
          <w:sz w:val="32"/>
          <w:szCs w:val="32"/>
        </w:rPr>
        <w:t>行中山小榄支行缴纳（银行名称：</w:t>
      </w:r>
      <w:r>
        <w:rPr>
          <w:rFonts w:hint="eastAsia" w:ascii="方正仿宋_GB2312" w:hAnsi="方正仿宋_GB2312" w:eastAsia="方正仿宋_GB2312" w:cs="方正仿宋_GB2312"/>
          <w:sz w:val="32"/>
          <w:szCs w:val="32"/>
          <w:highlight w:val="none"/>
        </w:rPr>
        <w:t>兴业银行中山小榄支行，单位名称：中山市东凤镇集体资产管理有限公司，账号：396020100100186100）</w:t>
      </w:r>
      <w:r>
        <w:rPr>
          <w:rFonts w:hint="eastAsia" w:ascii="方正仿宋_GB2312" w:hAnsi="方正仿宋_GB2312" w:eastAsia="方正仿宋_GB2312" w:cs="方正仿宋_GB2312"/>
          <w:sz w:val="32"/>
          <w:szCs w:val="32"/>
        </w:rPr>
        <w:t>。未中标者凭保证金缴款单回执办理退回手续，我司于15个工作日内退还保证金本金。</w:t>
      </w:r>
      <w:r>
        <w:rPr>
          <w:rFonts w:hint="eastAsia" w:ascii="方正仿宋_GB2312" w:hAnsi="方正仿宋_GB2312" w:eastAsia="方正仿宋_GB2312" w:cs="方正仿宋_GB2312"/>
          <w:sz w:val="32"/>
          <w:szCs w:val="32"/>
          <w:highlight w:val="none"/>
        </w:rPr>
        <w:t>中标者原投标保证金自动转为合同履约保证金，不足部分应于签订合同前按时缴清。合同履约保证金为3个月租金（按中标价）。</w:t>
      </w:r>
    </w:p>
    <w:p w14:paraId="7B753512">
      <w:pPr>
        <w:spacing w:line="600" w:lineRule="exact"/>
        <w:ind w:firstLine="640" w:firstLineChars="200"/>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lang w:eastAsia="zh-CN"/>
        </w:rPr>
        <w:t>2.</w:t>
      </w:r>
      <w:r>
        <w:rPr>
          <w:rFonts w:hint="eastAsia" w:ascii="方正仿宋_GB2312" w:hAnsi="方正仿宋_GB2312" w:eastAsia="方正仿宋_GB2312" w:cs="方正仿宋_GB2312"/>
          <w:color w:val="auto"/>
          <w:sz w:val="32"/>
          <w:szCs w:val="32"/>
          <w:highlight w:val="none"/>
          <w:lang w:val="en-US" w:eastAsia="zh-CN"/>
        </w:rPr>
        <w:t>竞投者须为具备独立法人资格、能够独立承担民事责任的企业，且须达到东凤镇工业企业上规模标准，并纳入统计一套表规模以上工业类调查单位</w:t>
      </w:r>
      <w:r>
        <w:rPr>
          <w:rFonts w:hint="eastAsia" w:ascii="方正仿宋_GB2312" w:hAnsi="方正仿宋_GB2312" w:eastAsia="方正仿宋_GB2312" w:cs="方正仿宋_GB2312"/>
          <w:color w:val="auto"/>
          <w:sz w:val="32"/>
          <w:szCs w:val="32"/>
          <w:highlight w:val="none"/>
          <w:lang w:eastAsia="zh-CN"/>
        </w:rPr>
        <w:t>；</w:t>
      </w:r>
      <w:r>
        <w:rPr>
          <w:rFonts w:hint="eastAsia" w:ascii="方正仿宋_GB2312" w:hAnsi="方正仿宋_GB2312" w:eastAsia="方正仿宋_GB2312" w:cs="方正仿宋_GB2312"/>
          <w:color w:val="auto"/>
          <w:sz w:val="32"/>
          <w:szCs w:val="32"/>
          <w:highlight w:val="none"/>
        </w:rPr>
        <w:t>具有良好的商业信誉和健全的财务会计制度</w:t>
      </w:r>
      <w:r>
        <w:rPr>
          <w:rFonts w:hint="eastAsia" w:ascii="方正仿宋_GB2312" w:hAnsi="方正仿宋_GB2312" w:eastAsia="方正仿宋_GB2312" w:cs="方正仿宋_GB2312"/>
          <w:color w:val="auto"/>
          <w:sz w:val="32"/>
          <w:szCs w:val="32"/>
          <w:highlight w:val="none"/>
          <w:lang w:eastAsia="zh-CN"/>
        </w:rPr>
        <w:t>；具</w:t>
      </w:r>
      <w:r>
        <w:rPr>
          <w:rFonts w:hint="eastAsia" w:ascii="方正仿宋_GB2312" w:hAnsi="方正仿宋_GB2312" w:eastAsia="方正仿宋_GB2312" w:cs="方正仿宋_GB2312"/>
          <w:color w:val="auto"/>
          <w:sz w:val="32"/>
          <w:szCs w:val="32"/>
          <w:highlight w:val="none"/>
        </w:rPr>
        <w:t>有依法缴纳税收和社会保障资金的良好记录；参加本次招投标前三年内，在经营活动中没有重大违法记录；不接受联合竞投。在报名截止前携带法人身份证、营业执照、保证金缴款单回执等资料到我司进行登记，领取投标确认书参加投标。</w:t>
      </w:r>
    </w:p>
    <w:p w14:paraId="47FBA6FC">
      <w:pPr>
        <w:spacing w:line="600" w:lineRule="exact"/>
        <w:ind w:firstLine="640" w:firstLineChars="200"/>
        <w:rPr>
          <w:rFonts w:hint="eastAsia" w:ascii="方正仿宋_GB2312" w:hAnsi="方正仿宋_GB2312" w:eastAsia="方正仿宋_GB2312" w:cs="方正仿宋_GB2312"/>
          <w:b w:val="0"/>
          <w:bCs w:val="0"/>
          <w:color w:val="000000" w:themeColor="text1"/>
          <w:sz w:val="32"/>
          <w:szCs w:val="32"/>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32"/>
          <w:szCs w:val="32"/>
          <w:lang w:eastAsia="zh-CN"/>
          <w14:textFill>
            <w14:solidFill>
              <w14:schemeClr w14:val="tx1"/>
            </w14:solidFill>
          </w14:textFill>
        </w:rPr>
        <w:t>3.</w:t>
      </w:r>
      <w:r>
        <w:rPr>
          <w:rFonts w:hint="eastAsia" w:ascii="方正仿宋_GB2312" w:hAnsi="方正仿宋_GB2312" w:eastAsia="方正仿宋_GB2312" w:cs="方正仿宋_GB2312"/>
          <w:b w:val="0"/>
          <w:bCs w:val="0"/>
          <w:color w:val="000000" w:themeColor="text1"/>
          <w:sz w:val="32"/>
          <w:szCs w:val="32"/>
          <w14:textFill>
            <w14:solidFill>
              <w14:schemeClr w14:val="tx1"/>
            </w14:solidFill>
          </w14:textFill>
        </w:rPr>
        <w:t>招标人不组织现场踏勘，投标人须自行对租赁物进行踏勘，了解租赁物现状情况</w:t>
      </w:r>
      <w:r>
        <w:rPr>
          <w:rFonts w:hint="eastAsia" w:ascii="方正仿宋_GB2312" w:hAnsi="方正仿宋_GB2312" w:eastAsia="方正仿宋_GB2312" w:cs="方正仿宋_GB2312"/>
          <w:b w:val="0"/>
          <w:bCs w:val="0"/>
          <w:color w:val="000000" w:themeColor="text1"/>
          <w:sz w:val="32"/>
          <w:szCs w:val="32"/>
          <w:lang w:eastAsia="zh-CN"/>
          <w14:textFill>
            <w14:solidFill>
              <w14:schemeClr w14:val="tx1"/>
            </w14:solidFill>
          </w14:textFill>
        </w:rPr>
        <w:t>，</w:t>
      </w:r>
      <w:r>
        <w:rPr>
          <w:rFonts w:hint="eastAsia" w:ascii="方正仿宋_GB2312" w:hAnsi="方正仿宋_GB2312" w:eastAsia="方正仿宋_GB2312" w:cs="方正仿宋_GB2312"/>
          <w:b w:val="0"/>
          <w:bCs w:val="0"/>
          <w:color w:val="000000" w:themeColor="text1"/>
          <w:sz w:val="32"/>
          <w:szCs w:val="32"/>
          <w:lang w:val="en-US" w:eastAsia="zh-CN"/>
          <w14:textFill>
            <w14:solidFill>
              <w14:schemeClr w14:val="tx1"/>
            </w14:solidFill>
          </w14:textFill>
        </w:rPr>
        <w:t>以该土地现状交付使用</w:t>
      </w:r>
      <w:r>
        <w:rPr>
          <w:rFonts w:hint="eastAsia" w:ascii="方正仿宋_GB2312" w:hAnsi="方正仿宋_GB2312" w:eastAsia="方正仿宋_GB2312" w:cs="方正仿宋_GB2312"/>
          <w:b w:val="0"/>
          <w:bCs w:val="0"/>
          <w:color w:val="000000" w:themeColor="text1"/>
          <w:sz w:val="32"/>
          <w:szCs w:val="32"/>
          <w14:textFill>
            <w14:solidFill>
              <w14:schemeClr w14:val="tx1"/>
            </w14:solidFill>
          </w14:textFill>
        </w:rPr>
        <w:t>。</w:t>
      </w:r>
    </w:p>
    <w:p w14:paraId="280218AD">
      <w:pPr>
        <w:spacing w:line="600" w:lineRule="exact"/>
        <w:ind w:firstLine="640" w:firstLineChars="200"/>
        <w:rPr>
          <w:rFonts w:hint="eastAsia" w:ascii="方正仿宋_GB2312" w:hAnsi="方正仿宋_GB2312" w:eastAsia="方正仿宋_GB2312" w:cs="方正仿宋_GB2312"/>
          <w:b w:val="0"/>
          <w:bCs w:val="0"/>
          <w:color w:val="000000" w:themeColor="text1"/>
          <w:sz w:val="32"/>
          <w:szCs w:val="32"/>
          <w14:textFill>
            <w14:solidFill>
              <w14:schemeClr w14:val="tx1"/>
            </w14:solidFill>
          </w14:textFill>
        </w:rPr>
      </w:pPr>
      <w:r>
        <w:rPr>
          <w:rFonts w:hint="eastAsia" w:ascii="方正仿宋_GB2312" w:hAnsi="方正仿宋_GB2312" w:eastAsia="方正仿宋_GB2312" w:cs="方正仿宋_GB2312"/>
          <w:color w:val="auto"/>
          <w:sz w:val="32"/>
          <w:szCs w:val="32"/>
          <w:lang w:val="en-US" w:eastAsia="zh-CN"/>
        </w:rPr>
        <w:t>4.如项目用地在租赁期间涉及违法用地相关情况，承租方无条件服从处理，相关费用及责任由承租方承担，因违法用地产生的一切损失由承租方负责。</w:t>
      </w:r>
    </w:p>
    <w:p w14:paraId="3307B6D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四、</w:t>
      </w:r>
      <w:r>
        <w:rPr>
          <w:rFonts w:hint="eastAsia" w:ascii="方正仿宋_GB2312" w:hAnsi="方正仿宋_GB2312" w:eastAsia="方正仿宋_GB2312" w:cs="方正仿宋_GB2312"/>
          <w:sz w:val="32"/>
          <w:szCs w:val="32"/>
        </w:rPr>
        <w:t>投标：</w:t>
      </w:r>
    </w:p>
    <w:p w14:paraId="031BD4C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1.</w:t>
      </w:r>
      <w:r>
        <w:rPr>
          <w:rFonts w:hint="eastAsia" w:ascii="方正仿宋_GB2312" w:hAnsi="方正仿宋_GB2312" w:eastAsia="方正仿宋_GB2312" w:cs="方正仿宋_GB2312"/>
          <w:sz w:val="32"/>
          <w:szCs w:val="32"/>
        </w:rPr>
        <w:t>招投标方式和评标办法：采取现场明标出价方式竞投，出价最高且高于底价者为中标单位。</w:t>
      </w:r>
    </w:p>
    <w:p w14:paraId="047C620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highlight w:val="none"/>
          <w:lang w:val="en-US"/>
        </w:rPr>
      </w:pPr>
      <w:r>
        <w:rPr>
          <w:rFonts w:hint="eastAsia" w:ascii="方正仿宋_GB2312" w:hAnsi="方正仿宋_GB2312" w:eastAsia="方正仿宋_GB2312" w:cs="方正仿宋_GB2312"/>
          <w:sz w:val="32"/>
          <w:szCs w:val="32"/>
          <w:lang w:eastAsia="zh-CN"/>
        </w:rPr>
        <w:t>2.</w:t>
      </w:r>
      <w:r>
        <w:rPr>
          <w:rFonts w:hint="eastAsia" w:ascii="方正仿宋_GB2312" w:hAnsi="方正仿宋_GB2312" w:eastAsia="方正仿宋_GB2312" w:cs="方正仿宋_GB2312"/>
          <w:sz w:val="32"/>
          <w:szCs w:val="32"/>
          <w:lang w:val="en-US" w:eastAsia="zh-CN"/>
        </w:rPr>
        <w:t>第一次竞价可平价，之后每次竞价增加幅度不少于100元</w:t>
      </w:r>
    </w:p>
    <w:p w14:paraId="07BCF3F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3.</w:t>
      </w:r>
      <w:r>
        <w:rPr>
          <w:rFonts w:hint="eastAsia" w:ascii="方正仿宋_GB2312" w:hAnsi="方正仿宋_GB2312" w:eastAsia="方正仿宋_GB2312" w:cs="方正仿宋_GB2312"/>
          <w:sz w:val="32"/>
          <w:szCs w:val="32"/>
        </w:rPr>
        <w:t>如参与竞投者本人无法到场</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则代理人需携带委托书和身份证复印件（需加盖公章）到场代理参与竞标。</w:t>
      </w:r>
    </w:p>
    <w:p w14:paraId="70FC3AC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4.</w:t>
      </w:r>
      <w:r>
        <w:rPr>
          <w:rFonts w:hint="eastAsia" w:ascii="方正仿宋_GB2312" w:hAnsi="方正仿宋_GB2312" w:eastAsia="方正仿宋_GB2312" w:cs="方正仿宋_GB2312"/>
          <w:sz w:val="32"/>
          <w:szCs w:val="32"/>
        </w:rPr>
        <w:t>不限参加竞投单位数量，如只有一家单位登记竞租也正常开标。</w:t>
      </w:r>
    </w:p>
    <w:p w14:paraId="10708DA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五、</w:t>
      </w:r>
      <w:r>
        <w:rPr>
          <w:rFonts w:hint="eastAsia" w:ascii="方正仿宋_GB2312" w:hAnsi="方正仿宋_GB2312" w:eastAsia="方正仿宋_GB2312" w:cs="方正仿宋_GB2312"/>
          <w:sz w:val="32"/>
          <w:szCs w:val="32"/>
        </w:rPr>
        <w:t>招投标时间安排：</w:t>
      </w:r>
    </w:p>
    <w:p w14:paraId="5615DE7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sz w:val="32"/>
          <w:szCs w:val="32"/>
          <w:highlight w:val="none"/>
        </w:rPr>
        <w:t>竞标报名截止</w:t>
      </w:r>
      <w:r>
        <w:rPr>
          <w:rFonts w:hint="eastAsia" w:ascii="方正仿宋_GB2312" w:hAnsi="方正仿宋_GB2312" w:eastAsia="方正仿宋_GB2312" w:cs="方正仿宋_GB2312"/>
          <w:sz w:val="32"/>
          <w:szCs w:val="32"/>
          <w:highlight w:val="none"/>
          <w:lang w:eastAsia="zh-CN"/>
        </w:rPr>
        <w:t>时间：</w:t>
      </w:r>
      <w:r>
        <w:rPr>
          <w:rFonts w:hint="eastAsia" w:ascii="方正仿宋_GB2312" w:hAnsi="方正仿宋_GB2312" w:eastAsia="方正仿宋_GB2312" w:cs="方正仿宋_GB2312"/>
          <w:color w:val="auto"/>
          <w:sz w:val="32"/>
          <w:szCs w:val="32"/>
          <w:highlight w:val="none"/>
        </w:rPr>
        <w:t>202</w:t>
      </w:r>
      <w:r>
        <w:rPr>
          <w:rFonts w:hint="eastAsia" w:ascii="方正仿宋_GB2312" w:hAnsi="方正仿宋_GB2312" w:eastAsia="方正仿宋_GB2312" w:cs="方正仿宋_GB2312"/>
          <w:color w:val="auto"/>
          <w:sz w:val="32"/>
          <w:szCs w:val="32"/>
          <w:highlight w:val="none"/>
          <w:lang w:val="en-US" w:eastAsia="zh-CN"/>
        </w:rPr>
        <w:t>6</w:t>
      </w:r>
      <w:r>
        <w:rPr>
          <w:rFonts w:hint="eastAsia" w:ascii="方正仿宋_GB2312" w:hAnsi="方正仿宋_GB2312" w:eastAsia="方正仿宋_GB2312" w:cs="方正仿宋_GB2312"/>
          <w:color w:val="auto"/>
          <w:sz w:val="32"/>
          <w:szCs w:val="32"/>
          <w:highlight w:val="none"/>
        </w:rPr>
        <w:t>年</w:t>
      </w:r>
      <w:r>
        <w:rPr>
          <w:rFonts w:hint="eastAsia" w:ascii="方正仿宋_GB2312" w:hAnsi="方正仿宋_GB2312" w:eastAsia="方正仿宋_GB2312" w:cs="方正仿宋_GB2312"/>
          <w:color w:val="auto"/>
          <w:sz w:val="32"/>
          <w:szCs w:val="32"/>
          <w:highlight w:val="none"/>
          <w:lang w:val="en-US" w:eastAsia="zh-CN"/>
        </w:rPr>
        <w:t>10</w:t>
      </w:r>
      <w:r>
        <w:rPr>
          <w:rFonts w:hint="eastAsia" w:ascii="方正仿宋_GB2312" w:hAnsi="方正仿宋_GB2312" w:eastAsia="方正仿宋_GB2312" w:cs="方正仿宋_GB2312"/>
          <w:color w:val="auto"/>
          <w:sz w:val="32"/>
          <w:szCs w:val="32"/>
          <w:highlight w:val="none"/>
        </w:rPr>
        <w:t>月</w:t>
      </w:r>
      <w:r>
        <w:rPr>
          <w:rFonts w:hint="eastAsia" w:ascii="方正仿宋_GB2312" w:hAnsi="方正仿宋_GB2312" w:eastAsia="方正仿宋_GB2312" w:cs="方正仿宋_GB2312"/>
          <w:color w:val="auto"/>
          <w:sz w:val="32"/>
          <w:szCs w:val="32"/>
          <w:highlight w:val="none"/>
          <w:lang w:val="en-US" w:eastAsia="zh-CN"/>
        </w:rPr>
        <w:t>26</w:t>
      </w:r>
      <w:r>
        <w:rPr>
          <w:rFonts w:hint="eastAsia" w:ascii="方正仿宋_GB2312" w:hAnsi="方正仿宋_GB2312" w:eastAsia="方正仿宋_GB2312" w:cs="方正仿宋_GB2312"/>
          <w:color w:val="auto"/>
          <w:sz w:val="32"/>
          <w:szCs w:val="32"/>
          <w:highlight w:val="none"/>
        </w:rPr>
        <w:t>日16</w:t>
      </w:r>
      <w:r>
        <w:rPr>
          <w:rFonts w:hint="eastAsia" w:ascii="方正仿宋_GB2312" w:hAnsi="方正仿宋_GB2312" w:eastAsia="方正仿宋_GB2312" w:cs="方正仿宋_GB2312"/>
          <w:color w:val="auto"/>
          <w:sz w:val="32"/>
          <w:szCs w:val="32"/>
          <w:highlight w:val="none"/>
          <w:lang w:eastAsia="zh-CN"/>
        </w:rPr>
        <w:t>:</w:t>
      </w:r>
      <w:r>
        <w:rPr>
          <w:rFonts w:hint="eastAsia" w:ascii="方正仿宋_GB2312" w:hAnsi="方正仿宋_GB2312" w:eastAsia="方正仿宋_GB2312" w:cs="方正仿宋_GB2312"/>
          <w:color w:val="auto"/>
          <w:sz w:val="32"/>
          <w:szCs w:val="32"/>
          <w:highlight w:val="none"/>
        </w:rPr>
        <w:t>00；</w:t>
      </w:r>
    </w:p>
    <w:p w14:paraId="11761EB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公开竞标</w:t>
      </w:r>
      <w:r>
        <w:rPr>
          <w:rFonts w:hint="eastAsia" w:ascii="方正仿宋_GB2312" w:hAnsi="方正仿宋_GB2312" w:eastAsia="方正仿宋_GB2312" w:cs="方正仿宋_GB2312"/>
          <w:color w:val="auto"/>
          <w:sz w:val="32"/>
          <w:szCs w:val="32"/>
          <w:highlight w:val="none"/>
          <w:lang w:eastAsia="zh-CN"/>
        </w:rPr>
        <w:t>时间</w:t>
      </w:r>
      <w:r>
        <w:rPr>
          <w:rFonts w:hint="eastAsia" w:ascii="方正仿宋_GB2312" w:hAnsi="方正仿宋_GB2312" w:eastAsia="方正仿宋_GB2312" w:cs="方正仿宋_GB2312"/>
          <w:color w:val="auto"/>
          <w:sz w:val="32"/>
          <w:szCs w:val="32"/>
          <w:highlight w:val="none"/>
        </w:rPr>
        <w:t>：20</w:t>
      </w:r>
      <w:r>
        <w:rPr>
          <w:rFonts w:hint="eastAsia" w:ascii="方正仿宋_GB2312" w:hAnsi="方正仿宋_GB2312" w:eastAsia="方正仿宋_GB2312" w:cs="方正仿宋_GB2312"/>
          <w:color w:val="auto"/>
          <w:sz w:val="32"/>
          <w:szCs w:val="32"/>
          <w:highlight w:val="none"/>
          <w:lang w:val="en-US" w:eastAsia="zh-CN"/>
        </w:rPr>
        <w:t>26</w:t>
      </w:r>
      <w:r>
        <w:rPr>
          <w:rFonts w:hint="eastAsia" w:ascii="方正仿宋_GB2312" w:hAnsi="方正仿宋_GB2312" w:eastAsia="方正仿宋_GB2312" w:cs="方正仿宋_GB2312"/>
          <w:color w:val="auto"/>
          <w:sz w:val="32"/>
          <w:szCs w:val="32"/>
          <w:highlight w:val="none"/>
        </w:rPr>
        <w:t>年</w:t>
      </w:r>
      <w:r>
        <w:rPr>
          <w:rFonts w:hint="eastAsia" w:ascii="方正仿宋_GB2312" w:hAnsi="方正仿宋_GB2312" w:eastAsia="方正仿宋_GB2312" w:cs="方正仿宋_GB2312"/>
          <w:color w:val="auto"/>
          <w:sz w:val="32"/>
          <w:szCs w:val="32"/>
          <w:highlight w:val="none"/>
          <w:lang w:val="en-US" w:eastAsia="zh-CN"/>
        </w:rPr>
        <w:t>10</w:t>
      </w:r>
      <w:r>
        <w:rPr>
          <w:rFonts w:hint="eastAsia" w:ascii="方正仿宋_GB2312" w:hAnsi="方正仿宋_GB2312" w:eastAsia="方正仿宋_GB2312" w:cs="方正仿宋_GB2312"/>
          <w:color w:val="auto"/>
          <w:sz w:val="32"/>
          <w:szCs w:val="32"/>
          <w:highlight w:val="none"/>
        </w:rPr>
        <w:t>月</w:t>
      </w:r>
      <w:r>
        <w:rPr>
          <w:rFonts w:hint="eastAsia" w:ascii="方正仿宋_GB2312" w:hAnsi="方正仿宋_GB2312" w:eastAsia="方正仿宋_GB2312" w:cs="方正仿宋_GB2312"/>
          <w:color w:val="auto"/>
          <w:sz w:val="32"/>
          <w:szCs w:val="32"/>
          <w:highlight w:val="none"/>
          <w:lang w:val="en-US" w:eastAsia="zh-CN"/>
        </w:rPr>
        <w:t>27</w:t>
      </w:r>
      <w:bookmarkStart w:id="0" w:name="_GoBack"/>
      <w:bookmarkEnd w:id="0"/>
      <w:r>
        <w:rPr>
          <w:rFonts w:hint="eastAsia" w:ascii="方正仿宋_GB2312" w:hAnsi="方正仿宋_GB2312" w:eastAsia="方正仿宋_GB2312" w:cs="方正仿宋_GB2312"/>
          <w:color w:val="auto"/>
          <w:sz w:val="32"/>
          <w:szCs w:val="32"/>
          <w:highlight w:val="none"/>
        </w:rPr>
        <w:t>日</w:t>
      </w:r>
      <w:r>
        <w:rPr>
          <w:rFonts w:hint="eastAsia" w:ascii="方正仿宋_GB2312" w:hAnsi="方正仿宋_GB2312" w:eastAsia="方正仿宋_GB2312" w:cs="方正仿宋_GB2312"/>
          <w:color w:val="auto"/>
          <w:sz w:val="32"/>
          <w:szCs w:val="32"/>
          <w:highlight w:val="none"/>
          <w:lang w:val="en-US" w:eastAsia="zh-CN"/>
        </w:rPr>
        <w:t>9:3</w:t>
      </w:r>
      <w:r>
        <w:rPr>
          <w:rFonts w:hint="eastAsia" w:ascii="方正仿宋_GB2312" w:hAnsi="方正仿宋_GB2312" w:eastAsia="方正仿宋_GB2312" w:cs="方正仿宋_GB2312"/>
          <w:color w:val="auto"/>
          <w:sz w:val="32"/>
          <w:szCs w:val="32"/>
          <w:highlight w:val="none"/>
        </w:rPr>
        <w:t>0；</w:t>
      </w:r>
    </w:p>
    <w:p w14:paraId="3D698D7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公开竞标地址：东凤镇凤翔大道13号综治信访维稳中心五楼开标室</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lang w:val="en-US" w:eastAsia="zh-CN"/>
        </w:rPr>
        <w:t>地点有变化将电话通知）。</w:t>
      </w:r>
    </w:p>
    <w:p w14:paraId="616F908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竞标者迟到10分钟以上</w:t>
      </w:r>
      <w:r>
        <w:rPr>
          <w:rFonts w:hint="eastAsia" w:ascii="方正仿宋_GB2312" w:hAnsi="方正仿宋_GB2312" w:eastAsia="方正仿宋_GB2312" w:cs="方正仿宋_GB2312"/>
          <w:sz w:val="32"/>
          <w:szCs w:val="32"/>
          <w:lang w:eastAsia="zh-CN"/>
        </w:rPr>
        <w:t>，作</w:t>
      </w:r>
      <w:r>
        <w:rPr>
          <w:rFonts w:hint="eastAsia" w:ascii="方正仿宋_GB2312" w:hAnsi="方正仿宋_GB2312" w:eastAsia="方正仿宋_GB2312" w:cs="方正仿宋_GB2312"/>
          <w:sz w:val="32"/>
          <w:szCs w:val="32"/>
        </w:rPr>
        <w:t>弃权处理；</w:t>
      </w:r>
    </w:p>
    <w:p w14:paraId="7A49CB9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六、</w:t>
      </w:r>
      <w:r>
        <w:rPr>
          <w:rFonts w:hint="eastAsia" w:ascii="方正仿宋_GB2312" w:hAnsi="方正仿宋_GB2312" w:eastAsia="方正仿宋_GB2312" w:cs="方正仿宋_GB2312"/>
          <w:sz w:val="32"/>
          <w:szCs w:val="32"/>
        </w:rPr>
        <w:t>其他：</w:t>
      </w:r>
    </w:p>
    <w:p w14:paraId="2D56FE3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1.</w:t>
      </w:r>
      <w:r>
        <w:rPr>
          <w:rFonts w:hint="eastAsia" w:ascii="方正仿宋_GB2312" w:hAnsi="方正仿宋_GB2312" w:eastAsia="方正仿宋_GB2312" w:cs="方正仿宋_GB2312"/>
          <w:sz w:val="32"/>
          <w:szCs w:val="32"/>
        </w:rPr>
        <w:t>中标单位在中标通知书发出之日起</w:t>
      </w:r>
      <w:r>
        <w:rPr>
          <w:rFonts w:hint="eastAsia" w:ascii="方正仿宋_GB2312" w:hAnsi="方正仿宋_GB2312" w:eastAsia="方正仿宋_GB2312" w:cs="方正仿宋_GB2312"/>
          <w:sz w:val="32"/>
          <w:szCs w:val="32"/>
          <w:highlight w:val="none"/>
          <w:lang w:val="en-US" w:eastAsia="zh-CN"/>
        </w:rPr>
        <w:t>5个工作</w:t>
      </w:r>
      <w:r>
        <w:rPr>
          <w:rFonts w:hint="eastAsia" w:ascii="方正仿宋_GB2312" w:hAnsi="方正仿宋_GB2312" w:eastAsia="方正仿宋_GB2312" w:cs="方正仿宋_GB2312"/>
          <w:sz w:val="32"/>
          <w:szCs w:val="32"/>
        </w:rPr>
        <w:t>日内必须缴清合同履约保证金和</w:t>
      </w:r>
      <w:r>
        <w:rPr>
          <w:rFonts w:hint="eastAsia" w:ascii="方正仿宋_GB2312" w:hAnsi="方正仿宋_GB2312" w:eastAsia="方正仿宋_GB2312" w:cs="方正仿宋_GB2312"/>
          <w:sz w:val="32"/>
          <w:szCs w:val="32"/>
          <w:lang w:eastAsia="zh-CN"/>
        </w:rPr>
        <w:t>签订</w:t>
      </w:r>
      <w:r>
        <w:rPr>
          <w:rFonts w:hint="eastAsia" w:ascii="方正仿宋_GB2312" w:hAnsi="方正仿宋_GB2312" w:eastAsia="方正仿宋_GB2312" w:cs="方正仿宋_GB2312"/>
          <w:sz w:val="32"/>
          <w:szCs w:val="32"/>
        </w:rPr>
        <w:t>合同，逾期不</w:t>
      </w:r>
      <w:r>
        <w:rPr>
          <w:rFonts w:hint="eastAsia" w:ascii="方正仿宋_GB2312" w:hAnsi="方正仿宋_GB2312" w:eastAsia="方正仿宋_GB2312" w:cs="方正仿宋_GB2312"/>
          <w:sz w:val="32"/>
          <w:szCs w:val="32"/>
          <w:lang w:eastAsia="zh-CN"/>
        </w:rPr>
        <w:t>签订</w:t>
      </w:r>
      <w:r>
        <w:rPr>
          <w:rFonts w:hint="eastAsia" w:ascii="方正仿宋_GB2312" w:hAnsi="方正仿宋_GB2312" w:eastAsia="方正仿宋_GB2312" w:cs="方正仿宋_GB2312"/>
          <w:sz w:val="32"/>
          <w:szCs w:val="32"/>
        </w:rPr>
        <w:t>合同，则视作弃标处理，并没收投标保证金。</w:t>
      </w:r>
    </w:p>
    <w:p w14:paraId="76AAB60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如因城镇规划或国家政府征用或收回自用的，乙方无条件服从，我司不作任何补偿，中标租户添置的</w:t>
      </w:r>
      <w:r>
        <w:rPr>
          <w:rFonts w:hint="eastAsia" w:ascii="方正仿宋_GB2312" w:hAnsi="方正仿宋_GB2312" w:eastAsia="方正仿宋_GB2312" w:cs="方正仿宋_GB2312"/>
          <w:sz w:val="32"/>
          <w:szCs w:val="32"/>
          <w:lang w:val="en-US" w:eastAsia="zh-CN"/>
        </w:rPr>
        <w:t>基础</w:t>
      </w:r>
      <w:r>
        <w:rPr>
          <w:rFonts w:hint="eastAsia" w:ascii="方正仿宋_GB2312" w:hAnsi="方正仿宋_GB2312" w:eastAsia="方正仿宋_GB2312" w:cs="方正仿宋_GB2312"/>
          <w:sz w:val="32"/>
          <w:szCs w:val="32"/>
        </w:rPr>
        <w:t>设施无偿归我司所有。</w:t>
      </w:r>
    </w:p>
    <w:p w14:paraId="4E87ED2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中标方按土地现状接收使用，负责对该物业进行保养、大小修缮并支付有关费用。租赁期内，中标方负责出资按政府有关部门要求完善该物业环保、消防等设施，并取得相关部门的经营许可后方可使用。如因此引起一切经济和法律责任由承租方负责。</w:t>
      </w:r>
    </w:p>
    <w:p w14:paraId="55BAA5FB">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4.如</w:t>
      </w:r>
      <w:r>
        <w:rPr>
          <w:rFonts w:hint="eastAsia" w:ascii="方正仿宋_GB2312" w:hAnsi="方正仿宋_GB2312" w:eastAsia="方正仿宋_GB2312" w:cs="方正仿宋_GB2312"/>
          <w:b w:val="0"/>
          <w:bCs w:val="0"/>
          <w:color w:val="auto"/>
          <w:sz w:val="32"/>
          <w:szCs w:val="32"/>
          <w:highlight w:val="none"/>
          <w:lang w:val="en-US" w:eastAsia="zh-CN"/>
        </w:rPr>
        <w:t>中标方</w:t>
      </w:r>
      <w:r>
        <w:rPr>
          <w:rFonts w:hint="eastAsia" w:ascii="方正仿宋_GB2312" w:hAnsi="方正仿宋_GB2312" w:eastAsia="方正仿宋_GB2312" w:cs="方正仿宋_GB2312"/>
          <w:sz w:val="32"/>
          <w:szCs w:val="32"/>
          <w:lang w:val="en-US" w:eastAsia="zh-CN"/>
        </w:rPr>
        <w:t>（经营方）发生制假售假行为，则无偿解除合同，并实行清单管理。对过去3年出现过制售假冒伪劣行为的企业，禁止其参与集体物业承租的投标。</w:t>
      </w:r>
    </w:p>
    <w:p w14:paraId="5D36E96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rPr>
        <w:t>其他租赁条款于租赁合同中约定。</w:t>
      </w:r>
    </w:p>
    <w:p w14:paraId="3226250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6.</w:t>
      </w:r>
      <w:r>
        <w:rPr>
          <w:rFonts w:hint="eastAsia" w:ascii="方正仿宋_GB2312" w:hAnsi="方正仿宋_GB2312" w:eastAsia="方正仿宋_GB2312" w:cs="方正仿宋_GB2312"/>
          <w:sz w:val="32"/>
          <w:szCs w:val="32"/>
        </w:rPr>
        <w:t>此租赁方案最终解释权归我司。</w:t>
      </w:r>
    </w:p>
    <w:p w14:paraId="47CD9C5F">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方正仿宋_GB2312" w:hAnsi="方正仿宋_GB2312" w:eastAsia="方正仿宋_GB2312" w:cs="方正仿宋_GB2312"/>
          <w:sz w:val="32"/>
          <w:szCs w:val="32"/>
        </w:rPr>
      </w:pPr>
    </w:p>
    <w:p w14:paraId="0CAC8D8B">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p>
    <w:p w14:paraId="45F9D93F">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中山市东凤镇集体资产管理有限公司</w:t>
      </w:r>
    </w:p>
    <w:p w14:paraId="1071D594">
      <w:pPr>
        <w:keepNext w:val="0"/>
        <w:keepLines w:val="0"/>
        <w:pageBreakBefore w:val="0"/>
        <w:widowControl w:val="0"/>
        <w:kinsoku/>
        <w:wordWrap/>
        <w:overflowPunct/>
        <w:topLinePunct w:val="0"/>
        <w:autoSpaceDE/>
        <w:autoSpaceDN/>
        <w:bidi w:val="0"/>
        <w:adjustRightInd/>
        <w:snapToGrid/>
        <w:spacing w:line="500" w:lineRule="exact"/>
        <w:ind w:firstLine="5440" w:firstLineChars="1700"/>
        <w:jc w:val="center"/>
        <w:textAlignment w:val="auto"/>
        <w:rPr>
          <w:rFonts w:hint="eastAsia" w:ascii="方正仿宋_GB2312" w:hAnsi="方正仿宋_GB2312" w:eastAsia="方正仿宋_GB2312" w:cs="方正仿宋_GB2312"/>
          <w:color w:val="000000" w:themeColor="text1"/>
          <w:sz w:val="32"/>
          <w:szCs w:val="32"/>
          <w:highlight w:val="yellow"/>
          <w14:textFill>
            <w14:solidFill>
              <w14:schemeClr w14:val="tx1"/>
            </w14:solidFill>
          </w14:textFill>
        </w:rPr>
      </w:pP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z w:val="32"/>
          <w:szCs w:val="32"/>
          <w:highlight w:val="none"/>
        </w:rPr>
        <w:t xml:space="preserve">   </w:t>
      </w:r>
      <w:r>
        <w:rPr>
          <w:rFonts w:hint="eastAsia" w:ascii="方正仿宋_GB2312" w:hAnsi="方正仿宋_GB2312" w:eastAsia="方正仿宋_GB2312" w:cs="方正仿宋_GB2312"/>
          <w:color w:val="000000" w:themeColor="text1"/>
          <w:sz w:val="32"/>
          <w:szCs w:val="32"/>
          <w:highlight w:val="none"/>
          <w14:textFill>
            <w14:solidFill>
              <w14:schemeClr w14:val="tx1"/>
            </w14:solidFill>
          </w14:textFill>
        </w:rPr>
        <w:t>年</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32"/>
          <w:szCs w:val="32"/>
          <w:highlight w:val="none"/>
          <w14:textFill>
            <w14:solidFill>
              <w14:schemeClr w14:val="tx1"/>
            </w14:solidFill>
          </w14:textFill>
        </w:rPr>
        <w:t>月</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32"/>
          <w:szCs w:val="32"/>
          <w:highlight w:val="none"/>
          <w14:textFill>
            <w14:solidFill>
              <w14:schemeClr w14:val="tx1"/>
            </w14:solidFill>
          </w14:textFill>
        </w:rPr>
        <w:t>日</w:t>
      </w:r>
    </w:p>
    <w:p w14:paraId="5A4A8F1C">
      <w:pPr>
        <w:spacing w:line="600" w:lineRule="exact"/>
        <w:jc w:val="both"/>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p>
    <w:p w14:paraId="47D81F14">
      <w:pPr>
        <w:spacing w:line="600" w:lineRule="exact"/>
        <w:jc w:val="both"/>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p>
    <w:p w14:paraId="24E7B191">
      <w:pPr>
        <w:spacing w:line="600" w:lineRule="exact"/>
        <w:jc w:val="both"/>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参与竞标者签名：</w:t>
      </w:r>
    </w:p>
    <w:p w14:paraId="1226A0EC">
      <w:pPr>
        <w:spacing w:line="600" w:lineRule="exact"/>
        <w:jc w:val="both"/>
        <w:rPr>
          <w:rFonts w:hint="eastAsia" w:ascii="仿宋_GB2312" w:hAnsi="仿宋_GB2312" w:eastAsia="仿宋_GB2312" w:cs="仿宋_GB2312"/>
          <w:color w:val="000000" w:themeColor="text1"/>
          <w:sz w:val="32"/>
          <w:szCs w:val="32"/>
          <w:lang w:eastAsia="zh-CN"/>
          <w14:textFill>
            <w14:solidFill>
              <w14:schemeClr w14:val="tx1"/>
            </w14:solidFill>
          </w14:textFill>
        </w:rPr>
      </w:pPr>
    </w:p>
    <w:sectPr>
      <w:pgSz w:w="11906" w:h="16838"/>
      <w:pgMar w:top="2098" w:right="1474" w:bottom="198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3CE92335-BC4D-44AA-A357-F473F9B17548}"/>
  </w:font>
  <w:font w:name="仿宋_GB2312">
    <w:panose1 w:val="02010609030101010101"/>
    <w:charset w:val="86"/>
    <w:family w:val="modern"/>
    <w:pitch w:val="default"/>
    <w:sig w:usb0="00000001" w:usb1="080E0000" w:usb2="00000000" w:usb3="00000000" w:csb0="00040000" w:csb1="00000000"/>
    <w:embedRegular r:id="rId2" w:fontKey="{E9AA7F30-7339-4FC4-A0CF-26930B565C94}"/>
  </w:font>
  <w:font w:name="方正仿宋_GB2312">
    <w:panose1 w:val="02000000000000000000"/>
    <w:charset w:val="86"/>
    <w:family w:val="auto"/>
    <w:pitch w:val="default"/>
    <w:sig w:usb0="A00002BF" w:usb1="184F6CFA" w:usb2="00000012" w:usb3="00000000" w:csb0="00040001" w:csb1="00000000"/>
    <w:embedRegular r:id="rId3" w:fontKey="{DB975F42-888D-4282-9087-B13B762EAE1F}"/>
  </w:font>
  <w:font w:name="WPSEMBED1">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yYzk1NzU5NTVkMjI1MDFlNTkxZjQwYzJmZjg4MDkifQ=="/>
  </w:docVars>
  <w:rsids>
    <w:rsidRoot w:val="03F950B3"/>
    <w:rsid w:val="001F13C4"/>
    <w:rsid w:val="00417199"/>
    <w:rsid w:val="00B131DE"/>
    <w:rsid w:val="014221CD"/>
    <w:rsid w:val="014E2016"/>
    <w:rsid w:val="01C813EF"/>
    <w:rsid w:val="02225B04"/>
    <w:rsid w:val="02A3212A"/>
    <w:rsid w:val="02DA31CE"/>
    <w:rsid w:val="03192A63"/>
    <w:rsid w:val="033F64AC"/>
    <w:rsid w:val="03DC12C8"/>
    <w:rsid w:val="03F950B3"/>
    <w:rsid w:val="0455413D"/>
    <w:rsid w:val="04671D43"/>
    <w:rsid w:val="049F6EBF"/>
    <w:rsid w:val="05002624"/>
    <w:rsid w:val="05135729"/>
    <w:rsid w:val="056E4C75"/>
    <w:rsid w:val="058976EC"/>
    <w:rsid w:val="059211F2"/>
    <w:rsid w:val="05FE5196"/>
    <w:rsid w:val="06374F56"/>
    <w:rsid w:val="06571569"/>
    <w:rsid w:val="06960937"/>
    <w:rsid w:val="06DF732D"/>
    <w:rsid w:val="07150918"/>
    <w:rsid w:val="07821B66"/>
    <w:rsid w:val="07872937"/>
    <w:rsid w:val="07C8261D"/>
    <w:rsid w:val="07E1008D"/>
    <w:rsid w:val="0831141B"/>
    <w:rsid w:val="083724FD"/>
    <w:rsid w:val="088272FC"/>
    <w:rsid w:val="09092820"/>
    <w:rsid w:val="09A40150"/>
    <w:rsid w:val="09A51CF6"/>
    <w:rsid w:val="0A026946"/>
    <w:rsid w:val="0A610F62"/>
    <w:rsid w:val="0A8063B2"/>
    <w:rsid w:val="0AD71FDC"/>
    <w:rsid w:val="0B3470E9"/>
    <w:rsid w:val="0B42574F"/>
    <w:rsid w:val="0C0575D6"/>
    <w:rsid w:val="0CA45EC2"/>
    <w:rsid w:val="0CC22C27"/>
    <w:rsid w:val="0CEB79B6"/>
    <w:rsid w:val="0D1F46A8"/>
    <w:rsid w:val="0D5648B3"/>
    <w:rsid w:val="0D5E2B2C"/>
    <w:rsid w:val="0D8A3D55"/>
    <w:rsid w:val="0E217A0D"/>
    <w:rsid w:val="0E2441A3"/>
    <w:rsid w:val="0E574DEC"/>
    <w:rsid w:val="0EC85179"/>
    <w:rsid w:val="0EF867D8"/>
    <w:rsid w:val="0F127715"/>
    <w:rsid w:val="0F331B47"/>
    <w:rsid w:val="0F7572EB"/>
    <w:rsid w:val="0FCB2390"/>
    <w:rsid w:val="10057502"/>
    <w:rsid w:val="10064E79"/>
    <w:rsid w:val="101F6482"/>
    <w:rsid w:val="1021622E"/>
    <w:rsid w:val="10225770"/>
    <w:rsid w:val="11172C3F"/>
    <w:rsid w:val="11205904"/>
    <w:rsid w:val="11C00FCB"/>
    <w:rsid w:val="12177E4F"/>
    <w:rsid w:val="126F6B43"/>
    <w:rsid w:val="1296379D"/>
    <w:rsid w:val="12CD5254"/>
    <w:rsid w:val="12DF29C2"/>
    <w:rsid w:val="1358218E"/>
    <w:rsid w:val="137D6E83"/>
    <w:rsid w:val="13AF28B4"/>
    <w:rsid w:val="14111648"/>
    <w:rsid w:val="14134014"/>
    <w:rsid w:val="1420043D"/>
    <w:rsid w:val="14B62FDB"/>
    <w:rsid w:val="14D50C8C"/>
    <w:rsid w:val="14DD09ED"/>
    <w:rsid w:val="152F337D"/>
    <w:rsid w:val="15985B50"/>
    <w:rsid w:val="15EB04A7"/>
    <w:rsid w:val="160A4130"/>
    <w:rsid w:val="16226043"/>
    <w:rsid w:val="1626316B"/>
    <w:rsid w:val="16822081"/>
    <w:rsid w:val="1697655D"/>
    <w:rsid w:val="16AD601B"/>
    <w:rsid w:val="16E60F5A"/>
    <w:rsid w:val="16FB273F"/>
    <w:rsid w:val="171F0B4E"/>
    <w:rsid w:val="1723614E"/>
    <w:rsid w:val="172C3A39"/>
    <w:rsid w:val="17362653"/>
    <w:rsid w:val="176E50CD"/>
    <w:rsid w:val="1780781C"/>
    <w:rsid w:val="17844D1D"/>
    <w:rsid w:val="18237EAA"/>
    <w:rsid w:val="184C596F"/>
    <w:rsid w:val="18941BAB"/>
    <w:rsid w:val="18E63703"/>
    <w:rsid w:val="18EF792C"/>
    <w:rsid w:val="1AAF1D8E"/>
    <w:rsid w:val="1AB52163"/>
    <w:rsid w:val="1AEA51B8"/>
    <w:rsid w:val="1BBB05A8"/>
    <w:rsid w:val="1C6F1126"/>
    <w:rsid w:val="1C9507D1"/>
    <w:rsid w:val="1CD013B2"/>
    <w:rsid w:val="1CE224AB"/>
    <w:rsid w:val="1D622AFE"/>
    <w:rsid w:val="1D9A7599"/>
    <w:rsid w:val="1DED2E92"/>
    <w:rsid w:val="1E4A5D6E"/>
    <w:rsid w:val="1E8042D1"/>
    <w:rsid w:val="1ECE074D"/>
    <w:rsid w:val="1EDC4952"/>
    <w:rsid w:val="1F2530BC"/>
    <w:rsid w:val="1F6558D9"/>
    <w:rsid w:val="1F667C26"/>
    <w:rsid w:val="1F6B68E4"/>
    <w:rsid w:val="1FB1599C"/>
    <w:rsid w:val="1FBB1E79"/>
    <w:rsid w:val="1FDB326A"/>
    <w:rsid w:val="205E0E49"/>
    <w:rsid w:val="20642FC5"/>
    <w:rsid w:val="20BA1C84"/>
    <w:rsid w:val="20D4107B"/>
    <w:rsid w:val="20E03B5B"/>
    <w:rsid w:val="20F01695"/>
    <w:rsid w:val="2120368E"/>
    <w:rsid w:val="2147578B"/>
    <w:rsid w:val="217335FC"/>
    <w:rsid w:val="21FE57EE"/>
    <w:rsid w:val="22156CE4"/>
    <w:rsid w:val="2223713B"/>
    <w:rsid w:val="22E75C59"/>
    <w:rsid w:val="22EC3966"/>
    <w:rsid w:val="23044166"/>
    <w:rsid w:val="232E6BAA"/>
    <w:rsid w:val="2369307D"/>
    <w:rsid w:val="2410603F"/>
    <w:rsid w:val="24165E98"/>
    <w:rsid w:val="2444388B"/>
    <w:rsid w:val="24526F62"/>
    <w:rsid w:val="2476010B"/>
    <w:rsid w:val="254217E9"/>
    <w:rsid w:val="25D42C9E"/>
    <w:rsid w:val="2657792D"/>
    <w:rsid w:val="2718491B"/>
    <w:rsid w:val="272B3197"/>
    <w:rsid w:val="27304543"/>
    <w:rsid w:val="275246BA"/>
    <w:rsid w:val="27541A0C"/>
    <w:rsid w:val="27B30CF4"/>
    <w:rsid w:val="28326D13"/>
    <w:rsid w:val="285F53B5"/>
    <w:rsid w:val="28826A67"/>
    <w:rsid w:val="28D56233"/>
    <w:rsid w:val="28DB46F9"/>
    <w:rsid w:val="293860D3"/>
    <w:rsid w:val="295A6F2D"/>
    <w:rsid w:val="295F5964"/>
    <w:rsid w:val="29966760"/>
    <w:rsid w:val="29A273A6"/>
    <w:rsid w:val="29BB423C"/>
    <w:rsid w:val="29BD71F2"/>
    <w:rsid w:val="2AD92A0E"/>
    <w:rsid w:val="2B866215"/>
    <w:rsid w:val="2C4F328B"/>
    <w:rsid w:val="2C612D1B"/>
    <w:rsid w:val="2C813B70"/>
    <w:rsid w:val="2C8640C1"/>
    <w:rsid w:val="2D142458"/>
    <w:rsid w:val="2D600025"/>
    <w:rsid w:val="2DBF54D4"/>
    <w:rsid w:val="2DCE5392"/>
    <w:rsid w:val="2DED00DE"/>
    <w:rsid w:val="2E48548F"/>
    <w:rsid w:val="2E85115C"/>
    <w:rsid w:val="2EB43546"/>
    <w:rsid w:val="2EB6254E"/>
    <w:rsid w:val="2F9747F0"/>
    <w:rsid w:val="30026C75"/>
    <w:rsid w:val="301B79A8"/>
    <w:rsid w:val="302661DF"/>
    <w:rsid w:val="30733C46"/>
    <w:rsid w:val="308C555A"/>
    <w:rsid w:val="30CF2632"/>
    <w:rsid w:val="310F05E1"/>
    <w:rsid w:val="31BE4652"/>
    <w:rsid w:val="31C06BF1"/>
    <w:rsid w:val="327C3F0F"/>
    <w:rsid w:val="33003DD4"/>
    <w:rsid w:val="33854A6A"/>
    <w:rsid w:val="34342ADD"/>
    <w:rsid w:val="34E16FD5"/>
    <w:rsid w:val="3555038B"/>
    <w:rsid w:val="356A4376"/>
    <w:rsid w:val="357A2DF7"/>
    <w:rsid w:val="357B534A"/>
    <w:rsid w:val="358725B1"/>
    <w:rsid w:val="358E1531"/>
    <w:rsid w:val="35DA5292"/>
    <w:rsid w:val="35E674FA"/>
    <w:rsid w:val="35F230BE"/>
    <w:rsid w:val="36525B39"/>
    <w:rsid w:val="365D5B74"/>
    <w:rsid w:val="36DF6D72"/>
    <w:rsid w:val="371A55F7"/>
    <w:rsid w:val="379707F0"/>
    <w:rsid w:val="37B301B3"/>
    <w:rsid w:val="37DD15AA"/>
    <w:rsid w:val="37EF74E3"/>
    <w:rsid w:val="383D7ACD"/>
    <w:rsid w:val="384922DC"/>
    <w:rsid w:val="388126AB"/>
    <w:rsid w:val="395814C1"/>
    <w:rsid w:val="39BF5CBF"/>
    <w:rsid w:val="39D5362D"/>
    <w:rsid w:val="3B985F13"/>
    <w:rsid w:val="3BAE2866"/>
    <w:rsid w:val="3BC10589"/>
    <w:rsid w:val="3BEE647B"/>
    <w:rsid w:val="3C4E3D67"/>
    <w:rsid w:val="3C707774"/>
    <w:rsid w:val="3CB66A91"/>
    <w:rsid w:val="3D09356D"/>
    <w:rsid w:val="3D483FA5"/>
    <w:rsid w:val="3D4F7673"/>
    <w:rsid w:val="3DC15734"/>
    <w:rsid w:val="3DC4328A"/>
    <w:rsid w:val="3DF0692C"/>
    <w:rsid w:val="3E1D0952"/>
    <w:rsid w:val="3EA8016D"/>
    <w:rsid w:val="3F4B072D"/>
    <w:rsid w:val="3FD05513"/>
    <w:rsid w:val="40165B8C"/>
    <w:rsid w:val="401C54B7"/>
    <w:rsid w:val="403F356D"/>
    <w:rsid w:val="40666C3C"/>
    <w:rsid w:val="408E1C60"/>
    <w:rsid w:val="40947207"/>
    <w:rsid w:val="40E5769E"/>
    <w:rsid w:val="421671CE"/>
    <w:rsid w:val="4269628E"/>
    <w:rsid w:val="42925DB2"/>
    <w:rsid w:val="42EF538E"/>
    <w:rsid w:val="43351F80"/>
    <w:rsid w:val="43E121C2"/>
    <w:rsid w:val="44273E90"/>
    <w:rsid w:val="443922A6"/>
    <w:rsid w:val="445D2710"/>
    <w:rsid w:val="445D3ECD"/>
    <w:rsid w:val="446D132E"/>
    <w:rsid w:val="44D426B2"/>
    <w:rsid w:val="44D62253"/>
    <w:rsid w:val="44DA3BDA"/>
    <w:rsid w:val="45906C18"/>
    <w:rsid w:val="463138A9"/>
    <w:rsid w:val="46490E91"/>
    <w:rsid w:val="46CA2B42"/>
    <w:rsid w:val="47131BFB"/>
    <w:rsid w:val="4763007B"/>
    <w:rsid w:val="48406733"/>
    <w:rsid w:val="48570D42"/>
    <w:rsid w:val="486F2012"/>
    <w:rsid w:val="488204E6"/>
    <w:rsid w:val="48B015BC"/>
    <w:rsid w:val="48CF381B"/>
    <w:rsid w:val="49396C4C"/>
    <w:rsid w:val="49E31465"/>
    <w:rsid w:val="4A5D4911"/>
    <w:rsid w:val="4A887111"/>
    <w:rsid w:val="4AAC7098"/>
    <w:rsid w:val="4AD72E64"/>
    <w:rsid w:val="4B2E6A0F"/>
    <w:rsid w:val="4BA10C63"/>
    <w:rsid w:val="4BD351E5"/>
    <w:rsid w:val="4CCD0CE7"/>
    <w:rsid w:val="4D3B3247"/>
    <w:rsid w:val="4D651C02"/>
    <w:rsid w:val="4DBC54F4"/>
    <w:rsid w:val="4DF964ED"/>
    <w:rsid w:val="4EAD5FF0"/>
    <w:rsid w:val="4F534A42"/>
    <w:rsid w:val="4F9A794C"/>
    <w:rsid w:val="4FDE047C"/>
    <w:rsid w:val="4FFB3A3E"/>
    <w:rsid w:val="501E0C85"/>
    <w:rsid w:val="502C6252"/>
    <w:rsid w:val="502C75EE"/>
    <w:rsid w:val="50437543"/>
    <w:rsid w:val="50AC1999"/>
    <w:rsid w:val="50DF4077"/>
    <w:rsid w:val="513726D4"/>
    <w:rsid w:val="514F0489"/>
    <w:rsid w:val="51B23801"/>
    <w:rsid w:val="51B2384A"/>
    <w:rsid w:val="521A33B0"/>
    <w:rsid w:val="523D327B"/>
    <w:rsid w:val="525F3B9C"/>
    <w:rsid w:val="52AD3104"/>
    <w:rsid w:val="52C57ECF"/>
    <w:rsid w:val="53117B83"/>
    <w:rsid w:val="53183004"/>
    <w:rsid w:val="53634E6C"/>
    <w:rsid w:val="53BC016C"/>
    <w:rsid w:val="53DB640E"/>
    <w:rsid w:val="54420E01"/>
    <w:rsid w:val="5484322E"/>
    <w:rsid w:val="54EF695F"/>
    <w:rsid w:val="550B0F90"/>
    <w:rsid w:val="55282AE9"/>
    <w:rsid w:val="552E6200"/>
    <w:rsid w:val="555000AA"/>
    <w:rsid w:val="555863B5"/>
    <w:rsid w:val="556957CB"/>
    <w:rsid w:val="55BF4A09"/>
    <w:rsid w:val="56095F34"/>
    <w:rsid w:val="56234B89"/>
    <w:rsid w:val="56A371A7"/>
    <w:rsid w:val="56BB0300"/>
    <w:rsid w:val="56E40AED"/>
    <w:rsid w:val="57367B21"/>
    <w:rsid w:val="57CD4C48"/>
    <w:rsid w:val="582619E7"/>
    <w:rsid w:val="58487FDE"/>
    <w:rsid w:val="585D5D16"/>
    <w:rsid w:val="588A7F2E"/>
    <w:rsid w:val="589F510A"/>
    <w:rsid w:val="58BD2454"/>
    <w:rsid w:val="590E6229"/>
    <w:rsid w:val="59460507"/>
    <w:rsid w:val="594F0101"/>
    <w:rsid w:val="598F7308"/>
    <w:rsid w:val="5A166E38"/>
    <w:rsid w:val="5A1D20BD"/>
    <w:rsid w:val="5A3A08DE"/>
    <w:rsid w:val="5A7D069D"/>
    <w:rsid w:val="5A871BA1"/>
    <w:rsid w:val="5AB61512"/>
    <w:rsid w:val="5BB71C8A"/>
    <w:rsid w:val="5C396A08"/>
    <w:rsid w:val="5C8517F7"/>
    <w:rsid w:val="5CA575C6"/>
    <w:rsid w:val="5CBE05CB"/>
    <w:rsid w:val="5CE24F56"/>
    <w:rsid w:val="5CF74D72"/>
    <w:rsid w:val="5D2061FC"/>
    <w:rsid w:val="5D3A34BA"/>
    <w:rsid w:val="5D4B7297"/>
    <w:rsid w:val="5E603522"/>
    <w:rsid w:val="5E6A0D35"/>
    <w:rsid w:val="5EC63C31"/>
    <w:rsid w:val="5EE7327F"/>
    <w:rsid w:val="5EF643D7"/>
    <w:rsid w:val="5F761901"/>
    <w:rsid w:val="603C32CD"/>
    <w:rsid w:val="6088424F"/>
    <w:rsid w:val="60C72FAC"/>
    <w:rsid w:val="60F805B7"/>
    <w:rsid w:val="61037EE4"/>
    <w:rsid w:val="612E4690"/>
    <w:rsid w:val="614D3A8F"/>
    <w:rsid w:val="616450AE"/>
    <w:rsid w:val="61677C4E"/>
    <w:rsid w:val="618225BF"/>
    <w:rsid w:val="61BE187F"/>
    <w:rsid w:val="61CD58F1"/>
    <w:rsid w:val="61E641BE"/>
    <w:rsid w:val="620E1DAE"/>
    <w:rsid w:val="623F2D40"/>
    <w:rsid w:val="625815F7"/>
    <w:rsid w:val="636075AA"/>
    <w:rsid w:val="63D12D5E"/>
    <w:rsid w:val="63D33948"/>
    <w:rsid w:val="652712A1"/>
    <w:rsid w:val="65EA7A9D"/>
    <w:rsid w:val="66490CE5"/>
    <w:rsid w:val="665252EA"/>
    <w:rsid w:val="66DA203F"/>
    <w:rsid w:val="66E445EF"/>
    <w:rsid w:val="67F17DEA"/>
    <w:rsid w:val="67FF0BAF"/>
    <w:rsid w:val="680A3FD9"/>
    <w:rsid w:val="68157DDB"/>
    <w:rsid w:val="684A53BF"/>
    <w:rsid w:val="68910D87"/>
    <w:rsid w:val="68C7351D"/>
    <w:rsid w:val="69220D1D"/>
    <w:rsid w:val="6941003F"/>
    <w:rsid w:val="69434E95"/>
    <w:rsid w:val="6968541B"/>
    <w:rsid w:val="69924CAF"/>
    <w:rsid w:val="69C942D0"/>
    <w:rsid w:val="6B0A3ABB"/>
    <w:rsid w:val="6B526CC7"/>
    <w:rsid w:val="6B8B4B6E"/>
    <w:rsid w:val="6BD921E9"/>
    <w:rsid w:val="6C046F7C"/>
    <w:rsid w:val="6C354AA7"/>
    <w:rsid w:val="6C71376F"/>
    <w:rsid w:val="6C875C62"/>
    <w:rsid w:val="6CB35FF2"/>
    <w:rsid w:val="6CB50F35"/>
    <w:rsid w:val="6D051871"/>
    <w:rsid w:val="6D2D3FAC"/>
    <w:rsid w:val="6DBB5132"/>
    <w:rsid w:val="6DF350A8"/>
    <w:rsid w:val="6DF37AB2"/>
    <w:rsid w:val="6E3A5D21"/>
    <w:rsid w:val="6FD06242"/>
    <w:rsid w:val="709578E2"/>
    <w:rsid w:val="70D81CAD"/>
    <w:rsid w:val="71123B06"/>
    <w:rsid w:val="711263AD"/>
    <w:rsid w:val="7129402F"/>
    <w:rsid w:val="718B5FBC"/>
    <w:rsid w:val="723F4D5F"/>
    <w:rsid w:val="72C15E53"/>
    <w:rsid w:val="73836593"/>
    <w:rsid w:val="73BB7AFD"/>
    <w:rsid w:val="73D13081"/>
    <w:rsid w:val="743261FE"/>
    <w:rsid w:val="743618D3"/>
    <w:rsid w:val="74401358"/>
    <w:rsid w:val="74422B89"/>
    <w:rsid w:val="745F3EDE"/>
    <w:rsid w:val="747C110F"/>
    <w:rsid w:val="748C1253"/>
    <w:rsid w:val="74983241"/>
    <w:rsid w:val="74A35543"/>
    <w:rsid w:val="74C94F26"/>
    <w:rsid w:val="75AD70A7"/>
    <w:rsid w:val="75D75D4F"/>
    <w:rsid w:val="75EA2590"/>
    <w:rsid w:val="761C4CC0"/>
    <w:rsid w:val="763C70D4"/>
    <w:rsid w:val="7662716B"/>
    <w:rsid w:val="769413F2"/>
    <w:rsid w:val="769A2FDC"/>
    <w:rsid w:val="76B72663"/>
    <w:rsid w:val="76C942DE"/>
    <w:rsid w:val="76CB3DEA"/>
    <w:rsid w:val="76F374D8"/>
    <w:rsid w:val="76F41296"/>
    <w:rsid w:val="77AE3DED"/>
    <w:rsid w:val="78220A5F"/>
    <w:rsid w:val="783A4B3E"/>
    <w:rsid w:val="78767537"/>
    <w:rsid w:val="792B18C8"/>
    <w:rsid w:val="795266A2"/>
    <w:rsid w:val="79786DA9"/>
    <w:rsid w:val="79967CC4"/>
    <w:rsid w:val="79B6569D"/>
    <w:rsid w:val="7A167651"/>
    <w:rsid w:val="7B58366F"/>
    <w:rsid w:val="7BDD1603"/>
    <w:rsid w:val="7BE74CC8"/>
    <w:rsid w:val="7C515995"/>
    <w:rsid w:val="7C86358B"/>
    <w:rsid w:val="7C8B1022"/>
    <w:rsid w:val="7CA5759A"/>
    <w:rsid w:val="7CA8189B"/>
    <w:rsid w:val="7D5055FC"/>
    <w:rsid w:val="7D761851"/>
    <w:rsid w:val="7DF34208"/>
    <w:rsid w:val="7ED0731A"/>
    <w:rsid w:val="7EE63520"/>
    <w:rsid w:val="7F0E027B"/>
    <w:rsid w:val="7F0F1F7F"/>
    <w:rsid w:val="7FCD25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customStyle="1" w:styleId="5">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c104bdb9-6346-43b4-9fdd-b741e50014a6}">
  <ds:schemaRefs/>
</ds:datastoreItem>
</file>

<file path=docProps/app.xml><?xml version="1.0" encoding="utf-8"?>
<Properties xmlns="http://schemas.openxmlformats.org/officeDocument/2006/extended-properties" xmlns:vt="http://schemas.openxmlformats.org/officeDocument/2006/docPropsVTypes">
  <Template>Normal</Template>
  <Pages>4</Pages>
  <Words>1463</Words>
  <Characters>1556</Characters>
  <Lines>11</Lines>
  <Paragraphs>3</Paragraphs>
  <TotalTime>8</TotalTime>
  <ScaleCrop>false</ScaleCrop>
  <LinksUpToDate>false</LinksUpToDate>
  <CharactersWithSpaces>1587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2021-07-27T02:39:00Z</dcterms:created>
  <dc:creator>__Mr.zuo</dc:creator>
  <cp:lastModifiedBy>陈志华</cp:lastModifiedBy>
  <cp:lastPrinted>2025-04-15T07:58:00Z</cp:lastPrinted>
  <dcterms:modified xsi:type="dcterms:W3CDTF">2026-10-16T03:29:00Z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DA30CF91B5AE41ED82906D339BB93BAE_13</vt:lpwstr>
  </property>
  <property fmtid="{D5CDD505-2E9C-101B-9397-08002B2CF9AE}" pid="4" name="KSOTemplateDocerSaveRecord">
    <vt:lpwstr>eyJoZGlkIjoiMTQwMmZiZWJlMGVlNTAzOTM4N2E0OGU1ODBhOGQ4NzQiLCJ1c2VySWQiOiIzMDg3NjUwNDUifQ==</vt:lpwstr>
  </property>
</Properties>
</file>