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70680">
      <w:pPr>
        <w:widowControl w:val="0"/>
        <w:kinsoku/>
        <w:autoSpaceDE/>
        <w:autoSpaceDN/>
        <w:adjustRightInd/>
        <w:snapToGrid/>
        <w:spacing w:line="520" w:lineRule="exact"/>
        <w:contextualSpacing/>
        <w:jc w:val="center"/>
        <w:textAlignment w:val="auto"/>
        <w:rPr>
          <w:rFonts w:hint="eastAsia" w:ascii="方正小标宋简体" w:hAnsi="Times New Roman" w:eastAsia="方正小标宋简体" w:cs="Times New Roman"/>
          <w:snapToGrid w:val="0"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 w:val="0"/>
          <w:kern w:val="2"/>
          <w:sz w:val="44"/>
          <w:szCs w:val="44"/>
          <w:lang w:eastAsia="zh-CN"/>
        </w:rPr>
        <w:t>关于中山富集云谷数字产业园</w:t>
      </w:r>
      <w:r>
        <w:rPr>
          <w:rFonts w:hint="eastAsia" w:ascii="方正小标宋简体" w:hAnsi="Times New Roman" w:eastAsia="方正小标宋简体" w:cs="Times New Roman"/>
          <w:snapToGrid w:val="0"/>
          <w:kern w:val="2"/>
          <w:sz w:val="44"/>
          <w:szCs w:val="44"/>
          <w:lang w:val="en-US" w:eastAsia="zh-CN"/>
        </w:rPr>
        <w:t>A</w:t>
      </w:r>
      <w:r>
        <w:rPr>
          <w:rFonts w:hint="eastAsia" w:ascii="方正小标宋简体" w:hAnsi="Times New Roman" w:eastAsia="方正小标宋简体" w:cs="Times New Roman"/>
          <w:snapToGrid w:val="0"/>
          <w:kern w:val="2"/>
          <w:sz w:val="44"/>
          <w:szCs w:val="44"/>
          <w:lang w:eastAsia="zh-CN"/>
        </w:rPr>
        <w:t>区二期</w:t>
      </w:r>
    </w:p>
    <w:p w14:paraId="5263BC06">
      <w:pPr>
        <w:widowControl w:val="0"/>
        <w:kinsoku/>
        <w:autoSpaceDE/>
        <w:autoSpaceDN/>
        <w:adjustRightInd/>
        <w:snapToGrid/>
        <w:spacing w:line="520" w:lineRule="exact"/>
        <w:contextualSpacing/>
        <w:jc w:val="center"/>
        <w:textAlignment w:val="auto"/>
        <w:rPr>
          <w:rFonts w:hint="eastAsia" w:ascii="方正小标宋简体" w:hAnsi="Times New Roman" w:eastAsia="方正小标宋简体" w:cs="Times New Roman"/>
          <w:snapToGrid w:val="0"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 w:val="0"/>
          <w:kern w:val="2"/>
          <w:sz w:val="44"/>
          <w:szCs w:val="44"/>
          <w:lang w:eastAsia="zh-CN"/>
        </w:rPr>
        <w:t>规划设计方案的公示</w:t>
      </w:r>
    </w:p>
    <w:p w14:paraId="44A243E7">
      <w:pPr>
        <w:widowControl w:val="0"/>
        <w:kinsoku/>
        <w:autoSpaceDE/>
        <w:autoSpaceDN/>
        <w:adjustRightInd/>
        <w:snapToGrid/>
        <w:spacing w:line="520" w:lineRule="exact"/>
        <w:contextualSpacing/>
        <w:jc w:val="center"/>
        <w:textAlignment w:val="auto"/>
        <w:rPr>
          <w:rFonts w:hint="eastAsia" w:ascii="方正小标宋简体" w:hAnsi="Times New Roman" w:eastAsia="方正小标宋简体" w:cs="Times New Roman"/>
          <w:snapToGrid w:val="0"/>
          <w:kern w:val="2"/>
          <w:sz w:val="44"/>
          <w:szCs w:val="44"/>
          <w:lang w:eastAsia="zh-CN"/>
        </w:rPr>
      </w:pPr>
    </w:p>
    <w:p w14:paraId="19E9B5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兹有中山市富升科技智能制造有限公司向我局申请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重新办理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其名下中山富集云谷数字产业园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A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区二期(地址：中山市东区街道九亩湾工业区)的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报建变更手续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，现根据相关法律、法规予以公示。</w:t>
      </w:r>
    </w:p>
    <w:p w14:paraId="4762FD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曾取得建设工程规划许可，现调整方案，</w:t>
      </w:r>
      <w:r>
        <w:rPr>
          <w:rFonts w:hint="eastAsia" w:ascii="仿宋_GB2312" w:hAnsi="Times New Roman" w:eastAsia="仿宋_GB2312" w:cs="Times New Roman"/>
          <w:snapToGrid/>
          <w:kern w:val="2"/>
          <w:sz w:val="32"/>
          <w:szCs w:val="32"/>
          <w:lang w:val="en-US" w:eastAsia="zh-CN"/>
        </w:rPr>
        <w:t>调整如下：</w:t>
      </w:r>
    </w:p>
    <w:p w14:paraId="6D9F00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napToGrid/>
          <w:kern w:val="2"/>
          <w:sz w:val="32"/>
          <w:szCs w:val="32"/>
          <w:lang w:val="en-US" w:eastAsia="zh-CN"/>
        </w:rPr>
        <w:t>一、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A-1栋各层平面内走廊调整、布局调整</w:t>
      </w:r>
      <w:r>
        <w:rPr>
          <w:rFonts w:hint="eastAsia" w:ascii="仿宋_GB2312" w:hAnsi="Times New Roman" w:eastAsia="仿宋_GB2312" w:cs="Times New Roman"/>
          <w:snapToGrid/>
          <w:kern w:val="2"/>
          <w:sz w:val="32"/>
          <w:szCs w:val="32"/>
          <w:lang w:val="en-US" w:eastAsia="zh-CN"/>
        </w:rPr>
        <w:t>。</w:t>
      </w:r>
    </w:p>
    <w:p w14:paraId="4D0FE7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A-1栋设备平台外玻璃栏杆调整为竖向格栅。</w:t>
      </w:r>
    </w:p>
    <w:p w14:paraId="69D5EB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三、构架层调整。</w:t>
      </w:r>
    </w:p>
    <w:p w14:paraId="512F50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调整后各项指标不变。</w:t>
      </w:r>
    </w:p>
    <w:p w14:paraId="2A8BBE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该规划公示牌设于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  <w:t>售楼部、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  <w:t>地块主要出入口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位置，公示期为本公示刊登之日起20个工作日。公示期内，该项目的相关利害关系人可以携带身份证、房地产权属证书等资料到中山市自然资源局第一分局（中山市兴中道2号之一投资大厦二楼）查询相关情况，提交陈述、申辩意见书或者听证申请书，逾期未进行陈述、申辩或听证申请的，视为放弃上述权利。</w:t>
      </w:r>
    </w:p>
    <w:p w14:paraId="1B1424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6808470</wp:posOffset>
            </wp:positionH>
            <wp:positionV relativeFrom="paragraph">
              <wp:posOffset>47625</wp:posOffset>
            </wp:positionV>
            <wp:extent cx="1473200" cy="1485900"/>
            <wp:effectExtent l="0" t="0" r="1270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73215" cy="1485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76D9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中山市自然资源局</w:t>
      </w:r>
    </w:p>
    <w:p w14:paraId="0D2E26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16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日</w:t>
      </w:r>
    </w:p>
    <w:p w14:paraId="31EC8EE2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(联系人及电话：徐工，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0760-</w:t>
      </w: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88268473)</w:t>
      </w:r>
    </w:p>
    <w:p w14:paraId="7C05DC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3F5B20"/>
    <w:rsid w:val="16B66713"/>
    <w:rsid w:val="1A3F5B20"/>
    <w:rsid w:val="5E58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中山市自然资源局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2026-09-09T05:06:00Z</dcterms:created>
  <dc:creator>徐庆辉</dc:creator>
  <cp:lastModifiedBy>徐庆辉</cp:lastModifiedBy>
  <cp:lastPrinted>2026-09-09T09:16:00Z</cp:lastPrinted>
  <dcterms:modified xsi:type="dcterms:W3CDTF">2026-10-16T02:09:00Z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0F0367C0DEC14CFA80B79D1E95980326_11</vt:lpwstr>
  </property>
</Properties>
</file>