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863264">
      <w:pPr>
        <w:jc w:val="left"/>
        <w:rPr>
          <w:rFonts w:hint="eastAsia" w:ascii="黑体" w:hAnsi="黑体" w:eastAsia="黑体" w:cs="黑体"/>
          <w:color w:val="auto"/>
          <w:sz w:val="28"/>
          <w:lang w:val="en-US" w:eastAsia="zh-CN"/>
        </w:rPr>
      </w:pPr>
      <w:r>
        <w:rPr>
          <w:rFonts w:hint="eastAsia" w:ascii="黑体" w:hAnsi="黑体" w:eastAsia="黑体" w:cs="黑体"/>
          <w:color w:val="auto"/>
          <w:sz w:val="28"/>
        </w:rPr>
        <w:t xml:space="preserve"> </w:t>
      </w:r>
      <w:r>
        <w:rPr>
          <w:rFonts w:hint="eastAsia" w:ascii="黑体" w:hAnsi="黑体" w:eastAsia="黑体" w:cs="黑体"/>
          <w:color w:val="auto"/>
          <w:sz w:val="28"/>
          <w:lang w:val="en-US" w:eastAsia="zh-CN"/>
        </w:rPr>
        <w:t>附件1</w:t>
      </w:r>
    </w:p>
    <w:p w14:paraId="791F9A41">
      <w:pPr>
        <w:jc w:val="left"/>
        <w:rPr>
          <w:rFonts w:ascii="宋体" w:hAnsi="宋体" w:eastAsia="宋体"/>
          <w:color w:val="auto"/>
          <w:sz w:val="28"/>
        </w:rPr>
      </w:pPr>
      <w:r>
        <w:rPr>
          <w:rFonts w:ascii="宋体" w:hAnsi="宋体" w:eastAsia="宋体"/>
          <w:color w:val="auto"/>
          <w:sz w:val="28"/>
        </w:rPr>
        <w:t xml:space="preserve"> </w:t>
      </w:r>
    </w:p>
    <w:p w14:paraId="6F54D991">
      <w:pPr>
        <w:jc w:val="left"/>
        <w:rPr>
          <w:rFonts w:ascii="宋体" w:hAnsi="宋体" w:eastAsia="宋体"/>
          <w:color w:val="auto"/>
          <w:sz w:val="28"/>
        </w:rPr>
      </w:pPr>
      <w:r>
        <w:rPr>
          <w:rFonts w:ascii="宋体" w:hAnsi="宋体" w:eastAsia="宋体"/>
          <w:color w:val="auto"/>
          <w:sz w:val="28"/>
        </w:rPr>
        <w:t xml:space="preserve"> </w:t>
      </w:r>
    </w:p>
    <w:p w14:paraId="43DD3EAE">
      <w:pPr>
        <w:jc w:val="left"/>
        <w:rPr>
          <w:rFonts w:ascii="宋体" w:hAnsi="宋体" w:eastAsia="宋体"/>
          <w:color w:val="auto"/>
          <w:sz w:val="28"/>
        </w:rPr>
      </w:pPr>
      <w:r>
        <w:rPr>
          <w:rFonts w:ascii="宋体" w:hAnsi="宋体" w:eastAsia="宋体"/>
          <w:color w:val="auto"/>
          <w:sz w:val="28"/>
        </w:rPr>
        <w:t xml:space="preserve"> </w:t>
      </w:r>
    </w:p>
    <w:p w14:paraId="67641D5F">
      <w:pPr>
        <w:spacing w:after="360"/>
        <w:jc w:val="center"/>
        <w:rPr>
          <w:rFonts w:ascii="黑体" w:hAnsi="黑体" w:eastAsia="黑体"/>
          <w:b/>
          <w:color w:val="auto"/>
          <w:sz w:val="72"/>
        </w:rPr>
      </w:pPr>
      <w:r>
        <w:rPr>
          <w:rFonts w:hint="eastAsia" w:ascii="黑体" w:hAnsi="黑体" w:eastAsia="黑体"/>
          <w:b/>
          <w:color w:val="auto"/>
          <w:sz w:val="72"/>
          <w:lang w:val="en-US" w:eastAsia="zh-CN"/>
        </w:rPr>
        <w:t>中山市“人工智能+”创新清单（典型应用）</w:t>
      </w:r>
    </w:p>
    <w:p w14:paraId="0E10FDE3">
      <w:pPr>
        <w:jc w:val="left"/>
        <w:rPr>
          <w:rFonts w:ascii="宋体" w:hAnsi="宋体" w:eastAsia="宋体"/>
          <w:color w:val="auto"/>
          <w:sz w:val="28"/>
        </w:rPr>
      </w:pPr>
      <w:r>
        <w:rPr>
          <w:rFonts w:ascii="宋体" w:hAnsi="宋体" w:eastAsia="宋体"/>
          <w:color w:val="auto"/>
          <w:sz w:val="28"/>
        </w:rPr>
        <w:t xml:space="preserve"> </w:t>
      </w:r>
    </w:p>
    <w:p w14:paraId="70394D7F">
      <w:pPr>
        <w:jc w:val="left"/>
        <w:rPr>
          <w:rFonts w:ascii="宋体" w:hAnsi="宋体" w:eastAsia="宋体"/>
          <w:color w:val="auto"/>
          <w:sz w:val="28"/>
        </w:rPr>
      </w:pPr>
      <w:r>
        <w:rPr>
          <w:rFonts w:ascii="宋体" w:hAnsi="宋体" w:eastAsia="宋体"/>
          <w:color w:val="auto"/>
          <w:sz w:val="28"/>
        </w:rPr>
        <w:t xml:space="preserve"> </w:t>
      </w:r>
    </w:p>
    <w:p w14:paraId="125B537D">
      <w:pPr>
        <w:jc w:val="left"/>
        <w:rPr>
          <w:rFonts w:ascii="宋体" w:hAnsi="宋体" w:eastAsia="宋体"/>
          <w:color w:val="auto"/>
          <w:sz w:val="28"/>
        </w:rPr>
      </w:pPr>
      <w:r>
        <w:rPr>
          <w:rFonts w:ascii="宋体" w:hAnsi="宋体" w:eastAsia="宋体"/>
          <w:color w:val="auto"/>
          <w:sz w:val="28"/>
        </w:rPr>
        <w:t xml:space="preserve"> </w:t>
      </w:r>
    </w:p>
    <w:p w14:paraId="3A9EBE7B">
      <w:pPr>
        <w:spacing w:after="200"/>
        <w:jc w:val="center"/>
        <w:rPr>
          <w:rFonts w:ascii="宋体" w:hAnsi="宋体" w:eastAsia="宋体"/>
          <w:color w:val="auto"/>
          <w:sz w:val="28"/>
        </w:rPr>
      </w:pPr>
    </w:p>
    <w:p w14:paraId="4042A4E6">
      <w:pPr>
        <w:jc w:val="left"/>
        <w:rPr>
          <w:rFonts w:ascii="宋体" w:hAnsi="宋体" w:eastAsia="宋体"/>
          <w:color w:val="auto"/>
          <w:sz w:val="28"/>
        </w:rPr>
      </w:pPr>
      <w:r>
        <w:rPr>
          <w:rFonts w:ascii="宋体" w:hAnsi="宋体" w:eastAsia="宋体"/>
          <w:color w:val="auto"/>
          <w:sz w:val="28"/>
        </w:rPr>
        <w:t xml:space="preserve"> </w:t>
      </w:r>
    </w:p>
    <w:p w14:paraId="21439AB9">
      <w:pPr>
        <w:jc w:val="left"/>
        <w:rPr>
          <w:rFonts w:ascii="宋体" w:hAnsi="宋体" w:eastAsia="宋体"/>
          <w:color w:val="auto"/>
          <w:sz w:val="28"/>
        </w:rPr>
      </w:pPr>
      <w:r>
        <w:rPr>
          <w:rFonts w:ascii="宋体" w:hAnsi="宋体" w:eastAsia="宋体"/>
          <w:color w:val="auto"/>
          <w:sz w:val="28"/>
        </w:rPr>
        <w:t xml:space="preserve"> </w:t>
      </w:r>
    </w:p>
    <w:p w14:paraId="1C09B31E">
      <w:pPr>
        <w:jc w:val="left"/>
        <w:rPr>
          <w:rFonts w:ascii="宋体" w:hAnsi="宋体" w:eastAsia="宋体"/>
          <w:color w:val="auto"/>
          <w:sz w:val="28"/>
        </w:rPr>
      </w:pPr>
      <w:r>
        <w:rPr>
          <w:rFonts w:ascii="宋体" w:hAnsi="宋体" w:eastAsia="宋体"/>
          <w:color w:val="auto"/>
          <w:sz w:val="28"/>
        </w:rPr>
        <w:t xml:space="preserve"> </w:t>
      </w:r>
    </w:p>
    <w:p w14:paraId="0FB8E33C">
      <w:pPr>
        <w:jc w:val="left"/>
        <w:rPr>
          <w:rFonts w:ascii="宋体" w:hAnsi="宋体" w:eastAsia="宋体"/>
          <w:color w:val="auto"/>
          <w:sz w:val="28"/>
        </w:rPr>
      </w:pPr>
      <w:r>
        <w:rPr>
          <w:rFonts w:ascii="宋体" w:hAnsi="宋体" w:eastAsia="宋体"/>
          <w:color w:val="auto"/>
          <w:sz w:val="28"/>
        </w:rPr>
        <w:t xml:space="preserve"> </w:t>
      </w:r>
    </w:p>
    <w:p w14:paraId="1113F532">
      <w:pPr>
        <w:jc w:val="center"/>
        <w:rPr>
          <w:rFonts w:ascii="宋体" w:hAnsi="宋体" w:eastAsia="宋体"/>
          <w:color w:val="auto"/>
          <w:sz w:val="30"/>
        </w:rPr>
      </w:pPr>
      <w:r>
        <w:rPr>
          <w:rFonts w:ascii="宋体" w:hAnsi="宋体" w:eastAsia="宋体"/>
          <w:color w:val="auto"/>
          <w:sz w:val="30"/>
        </w:rPr>
        <w:t>二〇二六年十月</w:t>
      </w:r>
    </w:p>
    <w:p w14:paraId="4D527F3D">
      <w:pPr>
        <w:jc w:val="center"/>
        <w:rPr>
          <w:rFonts w:ascii="宋体" w:hAnsi="宋体" w:eastAsia="宋体"/>
          <w:color w:val="auto"/>
          <w:sz w:val="30"/>
        </w:rPr>
      </w:pPr>
    </w:p>
    <w:p w14:paraId="6AF9FD2E">
      <w:pPr>
        <w:pageBreakBefore/>
        <w:spacing w:after="280"/>
        <w:jc w:val="center"/>
        <w:rPr>
          <w:rFonts w:ascii="黑体" w:hAnsi="黑体" w:eastAsia="黑体"/>
          <w:b/>
          <w:color w:val="auto"/>
          <w:sz w:val="40"/>
        </w:rPr>
      </w:pPr>
      <w:r>
        <w:rPr>
          <w:rFonts w:ascii="黑体" w:hAnsi="黑体" w:eastAsia="黑体"/>
          <w:b/>
          <w:color w:val="auto"/>
          <w:sz w:val="40"/>
        </w:rPr>
        <w:t>目　　录</w:t>
      </w:r>
    </w:p>
    <w:p w14:paraId="16A019E2">
      <w:pPr>
        <w:pStyle w:val="4"/>
        <w:tabs>
          <w:tab w:val="right" w:leader="dot" w:pos="8730"/>
        </w:tabs>
        <w:rPr>
          <w:rFonts w:hint="eastAsia" w:ascii="楷体" w:hAnsi="楷体" w:eastAsia="楷体" w:cs="楷体"/>
          <w:sz w:val="21"/>
          <w:szCs w:val="21"/>
        </w:rPr>
      </w:pPr>
      <w:r>
        <w:rPr>
          <w:rFonts w:ascii="黑体" w:hAnsi="黑体" w:eastAsia="黑体"/>
          <w:b/>
          <w:color w:val="auto"/>
          <w:sz w:val="40"/>
        </w:rPr>
        <w:fldChar w:fldCharType="begin"/>
      </w:r>
      <w:r>
        <w:rPr>
          <w:rFonts w:ascii="黑体" w:hAnsi="黑体" w:eastAsia="黑体"/>
          <w:b/>
          <w:color w:val="auto"/>
          <w:sz w:val="40"/>
        </w:rPr>
        <w:instrText xml:space="preserve"> TOC \o "1-2" \t "案例集一级,1,案例集二级,2" </w:instrText>
      </w:r>
      <w:r>
        <w:rPr>
          <w:rFonts w:ascii="黑体" w:hAnsi="黑体" w:eastAsia="黑体"/>
          <w:b/>
          <w:color w:val="auto"/>
          <w:sz w:val="40"/>
        </w:rPr>
        <w:fldChar w:fldCharType="separate"/>
      </w:r>
      <w:r>
        <w:rPr>
          <w:rFonts w:hint="eastAsia" w:ascii="楷体" w:hAnsi="楷体" w:eastAsia="楷体" w:cs="楷体"/>
          <w:color w:val="auto"/>
          <w:sz w:val="21"/>
          <w:szCs w:val="21"/>
        </w:rPr>
        <w:t>一、智能制造领域</w:t>
      </w:r>
      <w:r>
        <w:rPr>
          <w:rFonts w:hint="eastAsia" w:ascii="楷体" w:hAnsi="楷体" w:eastAsia="楷体" w:cs="楷体"/>
          <w:sz w:val="21"/>
          <w:szCs w:val="21"/>
        </w:rPr>
        <w:tab/>
      </w:r>
      <w:r>
        <w:rPr>
          <w:rFonts w:hint="eastAsia" w:ascii="楷体" w:hAnsi="楷体" w:eastAsia="楷体" w:cs="楷体"/>
          <w:sz w:val="21"/>
          <w:szCs w:val="21"/>
        </w:rPr>
        <w:fldChar w:fldCharType="begin"/>
      </w:r>
      <w:r>
        <w:rPr>
          <w:rFonts w:hint="eastAsia" w:ascii="楷体" w:hAnsi="楷体" w:eastAsia="楷体" w:cs="楷体"/>
          <w:sz w:val="21"/>
          <w:szCs w:val="21"/>
        </w:rPr>
        <w:instrText xml:space="preserve"> PAGEREF _Toc21827 \h </w:instrText>
      </w:r>
      <w:r>
        <w:rPr>
          <w:rFonts w:hint="eastAsia" w:ascii="楷体" w:hAnsi="楷体" w:eastAsia="楷体" w:cs="楷体"/>
          <w:sz w:val="21"/>
          <w:szCs w:val="21"/>
        </w:rPr>
        <w:fldChar w:fldCharType="separate"/>
      </w:r>
      <w:r>
        <w:rPr>
          <w:rFonts w:hint="eastAsia" w:ascii="楷体" w:hAnsi="楷体" w:eastAsia="楷体" w:cs="楷体"/>
          <w:sz w:val="21"/>
          <w:szCs w:val="21"/>
        </w:rPr>
        <w:t>3</w:t>
      </w:r>
      <w:r>
        <w:rPr>
          <w:rFonts w:hint="eastAsia" w:ascii="楷体" w:hAnsi="楷体" w:eastAsia="楷体" w:cs="楷体"/>
          <w:sz w:val="21"/>
          <w:szCs w:val="21"/>
        </w:rPr>
        <w:fldChar w:fldCharType="end"/>
      </w:r>
    </w:p>
    <w:p w14:paraId="51932BC0">
      <w:pPr>
        <w:pStyle w:val="5"/>
        <w:tabs>
          <w:tab w:val="right" w:leader="dot" w:pos="8730"/>
        </w:tabs>
        <w:rPr>
          <w:rFonts w:hint="eastAsia" w:ascii="楷体" w:hAnsi="楷体" w:eastAsia="楷体" w:cs="楷体"/>
          <w:sz w:val="21"/>
          <w:szCs w:val="21"/>
        </w:rPr>
      </w:pPr>
      <w:r>
        <w:rPr>
          <w:rFonts w:hint="eastAsia" w:ascii="楷体" w:hAnsi="楷体" w:eastAsia="楷体" w:cs="楷体"/>
          <w:color w:val="auto"/>
          <w:sz w:val="21"/>
          <w:szCs w:val="21"/>
        </w:rPr>
        <w:t>案例 01　奥马冰箱全链AI智能体赋能应用</w:t>
      </w:r>
      <w:r>
        <w:rPr>
          <w:rFonts w:hint="eastAsia" w:ascii="楷体" w:hAnsi="楷体" w:eastAsia="楷体" w:cs="楷体"/>
          <w:sz w:val="21"/>
          <w:szCs w:val="21"/>
        </w:rPr>
        <w:tab/>
      </w:r>
      <w:r>
        <w:rPr>
          <w:rFonts w:hint="eastAsia" w:ascii="楷体" w:hAnsi="楷体" w:eastAsia="楷体" w:cs="楷体"/>
          <w:sz w:val="21"/>
          <w:szCs w:val="21"/>
        </w:rPr>
        <w:fldChar w:fldCharType="begin"/>
      </w:r>
      <w:r>
        <w:rPr>
          <w:rFonts w:hint="eastAsia" w:ascii="楷体" w:hAnsi="楷体" w:eastAsia="楷体" w:cs="楷体"/>
          <w:sz w:val="21"/>
          <w:szCs w:val="21"/>
        </w:rPr>
        <w:instrText xml:space="preserve"> PAGEREF _Toc17703 \h </w:instrText>
      </w:r>
      <w:r>
        <w:rPr>
          <w:rFonts w:hint="eastAsia" w:ascii="楷体" w:hAnsi="楷体" w:eastAsia="楷体" w:cs="楷体"/>
          <w:sz w:val="21"/>
          <w:szCs w:val="21"/>
        </w:rPr>
        <w:fldChar w:fldCharType="separate"/>
      </w:r>
      <w:r>
        <w:rPr>
          <w:rFonts w:hint="eastAsia" w:ascii="楷体" w:hAnsi="楷体" w:eastAsia="楷体" w:cs="楷体"/>
          <w:sz w:val="21"/>
          <w:szCs w:val="21"/>
        </w:rPr>
        <w:t>4</w:t>
      </w:r>
      <w:r>
        <w:rPr>
          <w:rFonts w:hint="eastAsia" w:ascii="楷体" w:hAnsi="楷体" w:eastAsia="楷体" w:cs="楷体"/>
          <w:sz w:val="21"/>
          <w:szCs w:val="21"/>
        </w:rPr>
        <w:fldChar w:fldCharType="end"/>
      </w:r>
    </w:p>
    <w:p w14:paraId="38DBCD10">
      <w:pPr>
        <w:pStyle w:val="5"/>
        <w:tabs>
          <w:tab w:val="right" w:leader="dot" w:pos="8730"/>
        </w:tabs>
        <w:rPr>
          <w:rFonts w:hint="eastAsia" w:ascii="楷体" w:hAnsi="楷体" w:eastAsia="楷体" w:cs="楷体"/>
          <w:sz w:val="21"/>
          <w:szCs w:val="21"/>
        </w:rPr>
      </w:pPr>
      <w:r>
        <w:rPr>
          <w:rFonts w:hint="eastAsia" w:ascii="楷体" w:hAnsi="楷体" w:eastAsia="楷体" w:cs="楷体"/>
          <w:color w:val="auto"/>
          <w:sz w:val="21"/>
          <w:szCs w:val="21"/>
        </w:rPr>
        <w:t>案例 02　AI赋能调味品智能制造应用</w:t>
      </w:r>
      <w:r>
        <w:rPr>
          <w:rFonts w:hint="eastAsia" w:ascii="楷体" w:hAnsi="楷体" w:eastAsia="楷体" w:cs="楷体"/>
          <w:sz w:val="21"/>
          <w:szCs w:val="21"/>
        </w:rPr>
        <w:tab/>
      </w:r>
      <w:r>
        <w:rPr>
          <w:rFonts w:hint="eastAsia" w:ascii="楷体" w:hAnsi="楷体" w:eastAsia="楷体" w:cs="楷体"/>
          <w:sz w:val="21"/>
          <w:szCs w:val="21"/>
        </w:rPr>
        <w:fldChar w:fldCharType="begin"/>
      </w:r>
      <w:r>
        <w:rPr>
          <w:rFonts w:hint="eastAsia" w:ascii="楷体" w:hAnsi="楷体" w:eastAsia="楷体" w:cs="楷体"/>
          <w:sz w:val="21"/>
          <w:szCs w:val="21"/>
        </w:rPr>
        <w:instrText xml:space="preserve"> PAGEREF _Toc21142 \h </w:instrText>
      </w:r>
      <w:r>
        <w:rPr>
          <w:rFonts w:hint="eastAsia" w:ascii="楷体" w:hAnsi="楷体" w:eastAsia="楷体" w:cs="楷体"/>
          <w:sz w:val="21"/>
          <w:szCs w:val="21"/>
        </w:rPr>
        <w:fldChar w:fldCharType="separate"/>
      </w:r>
      <w:r>
        <w:rPr>
          <w:rFonts w:hint="eastAsia" w:ascii="楷体" w:hAnsi="楷体" w:eastAsia="楷体" w:cs="楷体"/>
          <w:sz w:val="21"/>
          <w:szCs w:val="21"/>
        </w:rPr>
        <w:t>7</w:t>
      </w:r>
      <w:r>
        <w:rPr>
          <w:rFonts w:hint="eastAsia" w:ascii="楷体" w:hAnsi="楷体" w:eastAsia="楷体" w:cs="楷体"/>
          <w:sz w:val="21"/>
          <w:szCs w:val="21"/>
        </w:rPr>
        <w:fldChar w:fldCharType="end"/>
      </w:r>
    </w:p>
    <w:p w14:paraId="51B12F45">
      <w:pPr>
        <w:pStyle w:val="5"/>
        <w:tabs>
          <w:tab w:val="right" w:leader="dot" w:pos="8730"/>
        </w:tabs>
        <w:rPr>
          <w:rFonts w:hint="eastAsia" w:ascii="楷体" w:hAnsi="楷体" w:eastAsia="楷体" w:cs="楷体"/>
          <w:sz w:val="21"/>
          <w:szCs w:val="21"/>
        </w:rPr>
      </w:pPr>
      <w:r>
        <w:rPr>
          <w:rFonts w:hint="eastAsia" w:ascii="楷体" w:hAnsi="楷体" w:eastAsia="楷体" w:cs="楷体"/>
          <w:color w:val="auto"/>
          <w:sz w:val="21"/>
          <w:szCs w:val="21"/>
        </w:rPr>
        <w:t>案例 03　AI+工业互联网驱动的设备全生命周期智能运维</w:t>
      </w:r>
      <w:r>
        <w:rPr>
          <w:rFonts w:hint="eastAsia" w:ascii="楷体" w:hAnsi="楷体" w:eastAsia="楷体" w:cs="楷体"/>
          <w:sz w:val="21"/>
          <w:szCs w:val="21"/>
        </w:rPr>
        <w:tab/>
      </w:r>
      <w:r>
        <w:rPr>
          <w:rFonts w:hint="eastAsia" w:ascii="楷体" w:hAnsi="楷体" w:eastAsia="楷体" w:cs="楷体"/>
          <w:sz w:val="21"/>
          <w:szCs w:val="21"/>
        </w:rPr>
        <w:fldChar w:fldCharType="begin"/>
      </w:r>
      <w:r>
        <w:rPr>
          <w:rFonts w:hint="eastAsia" w:ascii="楷体" w:hAnsi="楷体" w:eastAsia="楷体" w:cs="楷体"/>
          <w:sz w:val="21"/>
          <w:szCs w:val="21"/>
        </w:rPr>
        <w:instrText xml:space="preserve"> PAGEREF _Toc30180 \h </w:instrText>
      </w:r>
      <w:r>
        <w:rPr>
          <w:rFonts w:hint="eastAsia" w:ascii="楷体" w:hAnsi="楷体" w:eastAsia="楷体" w:cs="楷体"/>
          <w:sz w:val="21"/>
          <w:szCs w:val="21"/>
        </w:rPr>
        <w:fldChar w:fldCharType="separate"/>
      </w:r>
      <w:r>
        <w:rPr>
          <w:rFonts w:hint="eastAsia" w:ascii="楷体" w:hAnsi="楷体" w:eastAsia="楷体" w:cs="楷体"/>
          <w:sz w:val="21"/>
          <w:szCs w:val="21"/>
        </w:rPr>
        <w:t>11</w:t>
      </w:r>
      <w:r>
        <w:rPr>
          <w:rFonts w:hint="eastAsia" w:ascii="楷体" w:hAnsi="楷体" w:eastAsia="楷体" w:cs="楷体"/>
          <w:sz w:val="21"/>
          <w:szCs w:val="21"/>
        </w:rPr>
        <w:fldChar w:fldCharType="end"/>
      </w:r>
    </w:p>
    <w:p w14:paraId="175A9F47">
      <w:pPr>
        <w:pStyle w:val="5"/>
        <w:tabs>
          <w:tab w:val="right" w:leader="dot" w:pos="8730"/>
        </w:tabs>
        <w:rPr>
          <w:rFonts w:hint="eastAsia" w:ascii="楷体" w:hAnsi="楷体" w:eastAsia="楷体" w:cs="楷体"/>
          <w:sz w:val="21"/>
          <w:szCs w:val="21"/>
        </w:rPr>
      </w:pPr>
      <w:r>
        <w:rPr>
          <w:rFonts w:hint="eastAsia" w:ascii="楷体" w:hAnsi="楷体" w:eastAsia="楷体" w:cs="楷体"/>
          <w:color w:val="auto"/>
          <w:sz w:val="21"/>
          <w:szCs w:val="21"/>
        </w:rPr>
        <w:t>案例 04　富日智造绿色印刷新材料全流程数字化管控先进级智能工厂</w:t>
      </w:r>
      <w:r>
        <w:rPr>
          <w:rFonts w:hint="eastAsia" w:ascii="楷体" w:hAnsi="楷体" w:eastAsia="楷体" w:cs="楷体"/>
          <w:sz w:val="21"/>
          <w:szCs w:val="21"/>
        </w:rPr>
        <w:tab/>
      </w:r>
      <w:r>
        <w:rPr>
          <w:rFonts w:hint="eastAsia" w:ascii="楷体" w:hAnsi="楷体" w:eastAsia="楷体" w:cs="楷体"/>
          <w:sz w:val="21"/>
          <w:szCs w:val="21"/>
        </w:rPr>
        <w:fldChar w:fldCharType="begin"/>
      </w:r>
      <w:r>
        <w:rPr>
          <w:rFonts w:hint="eastAsia" w:ascii="楷体" w:hAnsi="楷体" w:eastAsia="楷体" w:cs="楷体"/>
          <w:sz w:val="21"/>
          <w:szCs w:val="21"/>
        </w:rPr>
        <w:instrText xml:space="preserve"> PAGEREF _Toc16469 \h </w:instrText>
      </w:r>
      <w:r>
        <w:rPr>
          <w:rFonts w:hint="eastAsia" w:ascii="楷体" w:hAnsi="楷体" w:eastAsia="楷体" w:cs="楷体"/>
          <w:sz w:val="21"/>
          <w:szCs w:val="21"/>
        </w:rPr>
        <w:fldChar w:fldCharType="separate"/>
      </w:r>
      <w:r>
        <w:rPr>
          <w:rFonts w:hint="eastAsia" w:ascii="楷体" w:hAnsi="楷体" w:eastAsia="楷体" w:cs="楷体"/>
          <w:sz w:val="21"/>
          <w:szCs w:val="21"/>
        </w:rPr>
        <w:t>14</w:t>
      </w:r>
      <w:r>
        <w:rPr>
          <w:rFonts w:hint="eastAsia" w:ascii="楷体" w:hAnsi="楷体" w:eastAsia="楷体" w:cs="楷体"/>
          <w:sz w:val="21"/>
          <w:szCs w:val="21"/>
        </w:rPr>
        <w:fldChar w:fldCharType="end"/>
      </w:r>
    </w:p>
    <w:p w14:paraId="1D3249B4">
      <w:pPr>
        <w:pStyle w:val="5"/>
        <w:tabs>
          <w:tab w:val="right" w:leader="dot" w:pos="8730"/>
        </w:tabs>
        <w:rPr>
          <w:rFonts w:hint="eastAsia" w:ascii="楷体" w:hAnsi="楷体" w:eastAsia="楷体" w:cs="楷体"/>
          <w:sz w:val="21"/>
          <w:szCs w:val="21"/>
        </w:rPr>
      </w:pPr>
      <w:r>
        <w:rPr>
          <w:rFonts w:hint="eastAsia" w:ascii="楷体" w:hAnsi="楷体" w:eastAsia="楷体" w:cs="楷体"/>
          <w:color w:val="auto"/>
          <w:sz w:val="21"/>
          <w:szCs w:val="21"/>
        </w:rPr>
        <w:t>案例 05　智能家电电控组件全流程AI提质智造标杆项目</w:t>
      </w:r>
      <w:r>
        <w:rPr>
          <w:rFonts w:hint="eastAsia" w:ascii="楷体" w:hAnsi="楷体" w:eastAsia="楷体" w:cs="楷体"/>
          <w:sz w:val="21"/>
          <w:szCs w:val="21"/>
        </w:rPr>
        <w:tab/>
      </w:r>
      <w:r>
        <w:rPr>
          <w:rFonts w:hint="eastAsia" w:ascii="楷体" w:hAnsi="楷体" w:eastAsia="楷体" w:cs="楷体"/>
          <w:sz w:val="21"/>
          <w:szCs w:val="21"/>
        </w:rPr>
        <w:fldChar w:fldCharType="begin"/>
      </w:r>
      <w:r>
        <w:rPr>
          <w:rFonts w:hint="eastAsia" w:ascii="楷体" w:hAnsi="楷体" w:eastAsia="楷体" w:cs="楷体"/>
          <w:sz w:val="21"/>
          <w:szCs w:val="21"/>
        </w:rPr>
        <w:instrText xml:space="preserve"> PAGEREF _Toc15967 \h </w:instrText>
      </w:r>
      <w:r>
        <w:rPr>
          <w:rFonts w:hint="eastAsia" w:ascii="楷体" w:hAnsi="楷体" w:eastAsia="楷体" w:cs="楷体"/>
          <w:sz w:val="21"/>
          <w:szCs w:val="21"/>
        </w:rPr>
        <w:fldChar w:fldCharType="separate"/>
      </w:r>
      <w:r>
        <w:rPr>
          <w:rFonts w:hint="eastAsia" w:ascii="楷体" w:hAnsi="楷体" w:eastAsia="楷体" w:cs="楷体"/>
          <w:sz w:val="21"/>
          <w:szCs w:val="21"/>
        </w:rPr>
        <w:t>18</w:t>
      </w:r>
      <w:r>
        <w:rPr>
          <w:rFonts w:hint="eastAsia" w:ascii="楷体" w:hAnsi="楷体" w:eastAsia="楷体" w:cs="楷体"/>
          <w:sz w:val="21"/>
          <w:szCs w:val="21"/>
        </w:rPr>
        <w:fldChar w:fldCharType="end"/>
      </w:r>
    </w:p>
    <w:p w14:paraId="636819B1">
      <w:pPr>
        <w:pStyle w:val="5"/>
        <w:tabs>
          <w:tab w:val="right" w:leader="dot" w:pos="8730"/>
        </w:tabs>
        <w:rPr>
          <w:rFonts w:hint="eastAsia" w:ascii="楷体" w:hAnsi="楷体" w:eastAsia="楷体" w:cs="楷体"/>
          <w:sz w:val="21"/>
          <w:szCs w:val="21"/>
        </w:rPr>
      </w:pPr>
      <w:r>
        <w:rPr>
          <w:rFonts w:hint="eastAsia" w:ascii="楷体" w:hAnsi="楷体" w:eastAsia="楷体" w:cs="楷体"/>
          <w:color w:val="auto"/>
          <w:sz w:val="21"/>
          <w:szCs w:val="21"/>
        </w:rPr>
        <w:t>案例 06　AI标书智能体让投标全流程从“按经验”到“按图索骥”</w:t>
      </w:r>
      <w:r>
        <w:rPr>
          <w:rFonts w:hint="eastAsia" w:ascii="楷体" w:hAnsi="楷体" w:eastAsia="楷体" w:cs="楷体"/>
          <w:sz w:val="21"/>
          <w:szCs w:val="21"/>
        </w:rPr>
        <w:tab/>
      </w:r>
      <w:r>
        <w:rPr>
          <w:rFonts w:hint="eastAsia" w:ascii="楷体" w:hAnsi="楷体" w:eastAsia="楷体" w:cs="楷体"/>
          <w:sz w:val="21"/>
          <w:szCs w:val="21"/>
        </w:rPr>
        <w:fldChar w:fldCharType="begin"/>
      </w:r>
      <w:r>
        <w:rPr>
          <w:rFonts w:hint="eastAsia" w:ascii="楷体" w:hAnsi="楷体" w:eastAsia="楷体" w:cs="楷体"/>
          <w:sz w:val="21"/>
          <w:szCs w:val="21"/>
        </w:rPr>
        <w:instrText xml:space="preserve"> PAGEREF _Toc31965 \h </w:instrText>
      </w:r>
      <w:r>
        <w:rPr>
          <w:rFonts w:hint="eastAsia" w:ascii="楷体" w:hAnsi="楷体" w:eastAsia="楷体" w:cs="楷体"/>
          <w:sz w:val="21"/>
          <w:szCs w:val="21"/>
        </w:rPr>
        <w:fldChar w:fldCharType="separate"/>
      </w:r>
      <w:r>
        <w:rPr>
          <w:rFonts w:hint="eastAsia" w:ascii="楷体" w:hAnsi="楷体" w:eastAsia="楷体" w:cs="楷体"/>
          <w:sz w:val="21"/>
          <w:szCs w:val="21"/>
        </w:rPr>
        <w:t>22</w:t>
      </w:r>
      <w:r>
        <w:rPr>
          <w:rFonts w:hint="eastAsia" w:ascii="楷体" w:hAnsi="楷体" w:eastAsia="楷体" w:cs="楷体"/>
          <w:sz w:val="21"/>
          <w:szCs w:val="21"/>
        </w:rPr>
        <w:fldChar w:fldCharType="end"/>
      </w:r>
    </w:p>
    <w:p w14:paraId="3DE69361">
      <w:pPr>
        <w:pStyle w:val="5"/>
        <w:tabs>
          <w:tab w:val="right" w:leader="dot" w:pos="8730"/>
        </w:tabs>
        <w:rPr>
          <w:rFonts w:hint="eastAsia" w:ascii="楷体" w:hAnsi="楷体" w:eastAsia="楷体" w:cs="楷体"/>
          <w:sz w:val="21"/>
          <w:szCs w:val="21"/>
        </w:rPr>
      </w:pPr>
      <w:r>
        <w:rPr>
          <w:rFonts w:hint="eastAsia" w:ascii="楷体" w:hAnsi="楷体" w:eastAsia="楷体" w:cs="楷体"/>
          <w:color w:val="auto"/>
          <w:sz w:val="21"/>
          <w:szCs w:val="21"/>
        </w:rPr>
        <w:t>案例 07　AI赋能研发与采销全链路，打造“问一声就出结果”的智能化组织</w:t>
      </w:r>
      <w:r>
        <w:rPr>
          <w:rFonts w:hint="eastAsia" w:ascii="楷体" w:hAnsi="楷体" w:eastAsia="楷体" w:cs="楷体"/>
          <w:sz w:val="21"/>
          <w:szCs w:val="21"/>
        </w:rPr>
        <w:tab/>
      </w:r>
      <w:r>
        <w:rPr>
          <w:rFonts w:hint="eastAsia" w:ascii="楷体" w:hAnsi="楷体" w:eastAsia="楷体" w:cs="楷体"/>
          <w:sz w:val="21"/>
          <w:szCs w:val="21"/>
        </w:rPr>
        <w:fldChar w:fldCharType="begin"/>
      </w:r>
      <w:r>
        <w:rPr>
          <w:rFonts w:hint="eastAsia" w:ascii="楷体" w:hAnsi="楷体" w:eastAsia="楷体" w:cs="楷体"/>
          <w:sz w:val="21"/>
          <w:szCs w:val="21"/>
        </w:rPr>
        <w:instrText xml:space="preserve"> PAGEREF _Toc25987 \h </w:instrText>
      </w:r>
      <w:r>
        <w:rPr>
          <w:rFonts w:hint="eastAsia" w:ascii="楷体" w:hAnsi="楷体" w:eastAsia="楷体" w:cs="楷体"/>
          <w:sz w:val="21"/>
          <w:szCs w:val="21"/>
        </w:rPr>
        <w:fldChar w:fldCharType="separate"/>
      </w:r>
      <w:r>
        <w:rPr>
          <w:rFonts w:hint="eastAsia" w:ascii="楷体" w:hAnsi="楷体" w:eastAsia="楷体" w:cs="楷体"/>
          <w:sz w:val="21"/>
          <w:szCs w:val="21"/>
        </w:rPr>
        <w:t>28</w:t>
      </w:r>
      <w:r>
        <w:rPr>
          <w:rFonts w:hint="eastAsia" w:ascii="楷体" w:hAnsi="楷体" w:eastAsia="楷体" w:cs="楷体"/>
          <w:sz w:val="21"/>
          <w:szCs w:val="21"/>
        </w:rPr>
        <w:fldChar w:fldCharType="end"/>
      </w:r>
    </w:p>
    <w:p w14:paraId="36FF750F">
      <w:pPr>
        <w:pStyle w:val="5"/>
        <w:tabs>
          <w:tab w:val="right" w:leader="dot" w:pos="8730"/>
        </w:tabs>
        <w:rPr>
          <w:rFonts w:hint="eastAsia" w:ascii="楷体" w:hAnsi="楷体" w:eastAsia="楷体" w:cs="楷体"/>
          <w:sz w:val="21"/>
          <w:szCs w:val="21"/>
        </w:rPr>
      </w:pPr>
      <w:r>
        <w:rPr>
          <w:rFonts w:hint="eastAsia" w:ascii="楷体" w:hAnsi="楷体" w:eastAsia="楷体" w:cs="楷体"/>
          <w:color w:val="auto"/>
          <w:sz w:val="21"/>
          <w:szCs w:val="21"/>
        </w:rPr>
        <w:t>案例 08　AI驱动家具制造业经营全链路智能化升级</w:t>
      </w:r>
      <w:r>
        <w:rPr>
          <w:rFonts w:hint="eastAsia" w:ascii="楷体" w:hAnsi="楷体" w:eastAsia="楷体" w:cs="楷体"/>
          <w:sz w:val="21"/>
          <w:szCs w:val="21"/>
        </w:rPr>
        <w:tab/>
      </w:r>
      <w:r>
        <w:rPr>
          <w:rFonts w:hint="eastAsia" w:ascii="楷体" w:hAnsi="楷体" w:eastAsia="楷体" w:cs="楷体"/>
          <w:sz w:val="21"/>
          <w:szCs w:val="21"/>
        </w:rPr>
        <w:fldChar w:fldCharType="begin"/>
      </w:r>
      <w:r>
        <w:rPr>
          <w:rFonts w:hint="eastAsia" w:ascii="楷体" w:hAnsi="楷体" w:eastAsia="楷体" w:cs="楷体"/>
          <w:sz w:val="21"/>
          <w:szCs w:val="21"/>
        </w:rPr>
        <w:instrText xml:space="preserve"> PAGEREF _Toc5474 \h </w:instrText>
      </w:r>
      <w:r>
        <w:rPr>
          <w:rFonts w:hint="eastAsia" w:ascii="楷体" w:hAnsi="楷体" w:eastAsia="楷体" w:cs="楷体"/>
          <w:sz w:val="21"/>
          <w:szCs w:val="21"/>
        </w:rPr>
        <w:fldChar w:fldCharType="separate"/>
      </w:r>
      <w:r>
        <w:rPr>
          <w:rFonts w:hint="eastAsia" w:ascii="楷体" w:hAnsi="楷体" w:eastAsia="楷体" w:cs="楷体"/>
          <w:sz w:val="21"/>
          <w:szCs w:val="21"/>
        </w:rPr>
        <w:t>33</w:t>
      </w:r>
      <w:r>
        <w:rPr>
          <w:rFonts w:hint="eastAsia" w:ascii="楷体" w:hAnsi="楷体" w:eastAsia="楷体" w:cs="楷体"/>
          <w:sz w:val="21"/>
          <w:szCs w:val="21"/>
        </w:rPr>
        <w:fldChar w:fldCharType="end"/>
      </w:r>
    </w:p>
    <w:p w14:paraId="7D8EFCF7">
      <w:pPr>
        <w:pStyle w:val="5"/>
        <w:tabs>
          <w:tab w:val="right" w:leader="dot" w:pos="8730"/>
        </w:tabs>
        <w:rPr>
          <w:rFonts w:hint="eastAsia" w:ascii="楷体" w:hAnsi="楷体" w:eastAsia="楷体" w:cs="楷体"/>
          <w:sz w:val="21"/>
          <w:szCs w:val="21"/>
        </w:rPr>
      </w:pPr>
      <w:r>
        <w:rPr>
          <w:rFonts w:hint="eastAsia" w:ascii="楷体" w:hAnsi="楷体" w:eastAsia="楷体" w:cs="楷体"/>
          <w:color w:val="auto"/>
          <w:sz w:val="21"/>
          <w:szCs w:val="21"/>
        </w:rPr>
        <w:t>案例 09　飞书aily智能体驱动制造运营效率升级</w:t>
      </w:r>
      <w:r>
        <w:rPr>
          <w:rFonts w:hint="eastAsia" w:ascii="楷体" w:hAnsi="楷体" w:eastAsia="楷体" w:cs="楷体"/>
          <w:sz w:val="21"/>
          <w:szCs w:val="21"/>
        </w:rPr>
        <w:tab/>
      </w:r>
      <w:r>
        <w:rPr>
          <w:rFonts w:hint="eastAsia" w:ascii="楷体" w:hAnsi="楷体" w:eastAsia="楷体" w:cs="楷体"/>
          <w:sz w:val="21"/>
          <w:szCs w:val="21"/>
        </w:rPr>
        <w:fldChar w:fldCharType="begin"/>
      </w:r>
      <w:r>
        <w:rPr>
          <w:rFonts w:hint="eastAsia" w:ascii="楷体" w:hAnsi="楷体" w:eastAsia="楷体" w:cs="楷体"/>
          <w:sz w:val="21"/>
          <w:szCs w:val="21"/>
        </w:rPr>
        <w:instrText xml:space="preserve"> PAGEREF _Toc1473 \h </w:instrText>
      </w:r>
      <w:r>
        <w:rPr>
          <w:rFonts w:hint="eastAsia" w:ascii="楷体" w:hAnsi="楷体" w:eastAsia="楷体" w:cs="楷体"/>
          <w:sz w:val="21"/>
          <w:szCs w:val="21"/>
        </w:rPr>
        <w:fldChar w:fldCharType="separate"/>
      </w:r>
      <w:r>
        <w:rPr>
          <w:rFonts w:hint="eastAsia" w:ascii="楷体" w:hAnsi="楷体" w:eastAsia="楷体" w:cs="楷体"/>
          <w:sz w:val="21"/>
          <w:szCs w:val="21"/>
        </w:rPr>
        <w:t>37</w:t>
      </w:r>
      <w:r>
        <w:rPr>
          <w:rFonts w:hint="eastAsia" w:ascii="楷体" w:hAnsi="楷体" w:eastAsia="楷体" w:cs="楷体"/>
          <w:sz w:val="21"/>
          <w:szCs w:val="21"/>
        </w:rPr>
        <w:fldChar w:fldCharType="end"/>
      </w:r>
    </w:p>
    <w:p w14:paraId="209E8FD8">
      <w:pPr>
        <w:pStyle w:val="5"/>
        <w:tabs>
          <w:tab w:val="right" w:leader="dot" w:pos="8730"/>
        </w:tabs>
        <w:rPr>
          <w:rFonts w:hint="eastAsia" w:ascii="楷体" w:hAnsi="楷体" w:eastAsia="楷体" w:cs="楷体"/>
          <w:sz w:val="21"/>
          <w:szCs w:val="21"/>
        </w:rPr>
      </w:pPr>
      <w:r>
        <w:rPr>
          <w:rFonts w:hint="eastAsia" w:ascii="楷体" w:hAnsi="楷体" w:eastAsia="楷体" w:cs="楷体"/>
          <w:color w:val="auto"/>
          <w:sz w:val="21"/>
          <w:szCs w:val="21"/>
        </w:rPr>
        <w:t>案例 10　好来化工口腔护理全域智元智能工厂</w:t>
      </w:r>
      <w:r>
        <w:rPr>
          <w:rFonts w:hint="eastAsia" w:ascii="楷体" w:hAnsi="楷体" w:eastAsia="楷体" w:cs="楷体"/>
          <w:sz w:val="21"/>
          <w:szCs w:val="21"/>
        </w:rPr>
        <w:tab/>
      </w:r>
      <w:r>
        <w:rPr>
          <w:rFonts w:hint="eastAsia" w:ascii="楷体" w:hAnsi="楷体" w:eastAsia="楷体" w:cs="楷体"/>
          <w:sz w:val="21"/>
          <w:szCs w:val="21"/>
        </w:rPr>
        <w:fldChar w:fldCharType="begin"/>
      </w:r>
      <w:r>
        <w:rPr>
          <w:rFonts w:hint="eastAsia" w:ascii="楷体" w:hAnsi="楷体" w:eastAsia="楷体" w:cs="楷体"/>
          <w:sz w:val="21"/>
          <w:szCs w:val="21"/>
        </w:rPr>
        <w:instrText xml:space="preserve"> PAGEREF _Toc15450 \h </w:instrText>
      </w:r>
      <w:r>
        <w:rPr>
          <w:rFonts w:hint="eastAsia" w:ascii="楷体" w:hAnsi="楷体" w:eastAsia="楷体" w:cs="楷体"/>
          <w:sz w:val="21"/>
          <w:szCs w:val="21"/>
        </w:rPr>
        <w:fldChar w:fldCharType="separate"/>
      </w:r>
      <w:r>
        <w:rPr>
          <w:rFonts w:hint="eastAsia" w:ascii="楷体" w:hAnsi="楷体" w:eastAsia="楷体" w:cs="楷体"/>
          <w:sz w:val="21"/>
          <w:szCs w:val="21"/>
        </w:rPr>
        <w:t>42</w:t>
      </w:r>
      <w:r>
        <w:rPr>
          <w:rFonts w:hint="eastAsia" w:ascii="楷体" w:hAnsi="楷体" w:eastAsia="楷体" w:cs="楷体"/>
          <w:sz w:val="21"/>
          <w:szCs w:val="21"/>
        </w:rPr>
        <w:fldChar w:fldCharType="end"/>
      </w:r>
    </w:p>
    <w:p w14:paraId="53711E66">
      <w:pPr>
        <w:pStyle w:val="5"/>
        <w:tabs>
          <w:tab w:val="right" w:leader="dot" w:pos="8730"/>
        </w:tabs>
        <w:rPr>
          <w:rFonts w:hint="eastAsia" w:ascii="楷体" w:hAnsi="楷体" w:eastAsia="楷体" w:cs="楷体"/>
          <w:sz w:val="21"/>
          <w:szCs w:val="21"/>
        </w:rPr>
      </w:pPr>
      <w:r>
        <w:rPr>
          <w:rFonts w:hint="eastAsia" w:ascii="楷体" w:hAnsi="楷体" w:eastAsia="楷体" w:cs="楷体"/>
          <w:color w:val="auto"/>
          <w:sz w:val="21"/>
          <w:szCs w:val="21"/>
        </w:rPr>
        <w:t>案例 11　威力微波炉全链路智能工厂</w:t>
      </w:r>
      <w:r>
        <w:rPr>
          <w:rFonts w:hint="eastAsia" w:ascii="楷体" w:hAnsi="楷体" w:eastAsia="楷体" w:cs="楷体"/>
          <w:sz w:val="21"/>
          <w:szCs w:val="21"/>
        </w:rPr>
        <w:tab/>
      </w:r>
      <w:r>
        <w:rPr>
          <w:rFonts w:hint="eastAsia" w:ascii="楷体" w:hAnsi="楷体" w:eastAsia="楷体" w:cs="楷体"/>
          <w:sz w:val="21"/>
          <w:szCs w:val="21"/>
        </w:rPr>
        <w:fldChar w:fldCharType="begin"/>
      </w:r>
      <w:r>
        <w:rPr>
          <w:rFonts w:hint="eastAsia" w:ascii="楷体" w:hAnsi="楷体" w:eastAsia="楷体" w:cs="楷体"/>
          <w:sz w:val="21"/>
          <w:szCs w:val="21"/>
        </w:rPr>
        <w:instrText xml:space="preserve"> PAGEREF _Toc10849 \h </w:instrText>
      </w:r>
      <w:r>
        <w:rPr>
          <w:rFonts w:hint="eastAsia" w:ascii="楷体" w:hAnsi="楷体" w:eastAsia="楷体" w:cs="楷体"/>
          <w:sz w:val="21"/>
          <w:szCs w:val="21"/>
        </w:rPr>
        <w:fldChar w:fldCharType="separate"/>
      </w:r>
      <w:r>
        <w:rPr>
          <w:rFonts w:hint="eastAsia" w:ascii="楷体" w:hAnsi="楷体" w:eastAsia="楷体" w:cs="楷体"/>
          <w:sz w:val="21"/>
          <w:szCs w:val="21"/>
        </w:rPr>
        <w:t>45</w:t>
      </w:r>
      <w:r>
        <w:rPr>
          <w:rFonts w:hint="eastAsia" w:ascii="楷体" w:hAnsi="楷体" w:eastAsia="楷体" w:cs="楷体"/>
          <w:sz w:val="21"/>
          <w:szCs w:val="21"/>
        </w:rPr>
        <w:fldChar w:fldCharType="end"/>
      </w:r>
    </w:p>
    <w:p w14:paraId="29000F6C">
      <w:pPr>
        <w:pStyle w:val="5"/>
        <w:tabs>
          <w:tab w:val="right" w:leader="dot" w:pos="8730"/>
        </w:tabs>
        <w:rPr>
          <w:rFonts w:hint="eastAsia" w:ascii="楷体" w:hAnsi="楷体" w:eastAsia="楷体" w:cs="楷体"/>
          <w:sz w:val="21"/>
          <w:szCs w:val="21"/>
        </w:rPr>
      </w:pPr>
      <w:r>
        <w:rPr>
          <w:rFonts w:hint="eastAsia" w:ascii="楷体" w:hAnsi="楷体" w:eastAsia="楷体" w:cs="楷体"/>
          <w:color w:val="auto"/>
          <w:sz w:val="21"/>
          <w:szCs w:val="21"/>
        </w:rPr>
        <w:t>案例 12　自适应机器人FPC柔性插装</w:t>
      </w:r>
      <w:r>
        <w:rPr>
          <w:rFonts w:hint="eastAsia" w:ascii="楷体" w:hAnsi="楷体" w:eastAsia="楷体" w:cs="楷体"/>
          <w:color w:val="auto"/>
          <w:sz w:val="21"/>
          <w:szCs w:val="21"/>
          <w:lang w:val="en-US" w:eastAsia="zh-CN"/>
        </w:rPr>
        <w:t>应用案例</w:t>
      </w:r>
      <w:r>
        <w:rPr>
          <w:rFonts w:hint="eastAsia" w:ascii="楷体" w:hAnsi="楷体" w:eastAsia="楷体" w:cs="楷体"/>
          <w:sz w:val="21"/>
          <w:szCs w:val="21"/>
        </w:rPr>
        <w:tab/>
      </w:r>
      <w:r>
        <w:rPr>
          <w:rFonts w:hint="eastAsia" w:ascii="楷体" w:hAnsi="楷体" w:eastAsia="楷体" w:cs="楷体"/>
          <w:sz w:val="21"/>
          <w:szCs w:val="21"/>
        </w:rPr>
        <w:fldChar w:fldCharType="begin"/>
      </w:r>
      <w:r>
        <w:rPr>
          <w:rFonts w:hint="eastAsia" w:ascii="楷体" w:hAnsi="楷体" w:eastAsia="楷体" w:cs="楷体"/>
          <w:sz w:val="21"/>
          <w:szCs w:val="21"/>
        </w:rPr>
        <w:instrText xml:space="preserve"> PAGEREF _Toc28685 \h </w:instrText>
      </w:r>
      <w:r>
        <w:rPr>
          <w:rFonts w:hint="eastAsia" w:ascii="楷体" w:hAnsi="楷体" w:eastAsia="楷体" w:cs="楷体"/>
          <w:sz w:val="21"/>
          <w:szCs w:val="21"/>
        </w:rPr>
        <w:fldChar w:fldCharType="separate"/>
      </w:r>
      <w:r>
        <w:rPr>
          <w:rFonts w:hint="eastAsia" w:ascii="楷体" w:hAnsi="楷体" w:eastAsia="楷体" w:cs="楷体"/>
          <w:sz w:val="21"/>
          <w:szCs w:val="21"/>
        </w:rPr>
        <w:t>49</w:t>
      </w:r>
      <w:r>
        <w:rPr>
          <w:rFonts w:hint="eastAsia" w:ascii="楷体" w:hAnsi="楷体" w:eastAsia="楷体" w:cs="楷体"/>
          <w:sz w:val="21"/>
          <w:szCs w:val="21"/>
        </w:rPr>
        <w:fldChar w:fldCharType="end"/>
      </w:r>
    </w:p>
    <w:p w14:paraId="73F71B96">
      <w:pPr>
        <w:pStyle w:val="5"/>
        <w:tabs>
          <w:tab w:val="right" w:leader="dot" w:pos="8730"/>
        </w:tabs>
        <w:rPr>
          <w:rFonts w:hint="eastAsia" w:ascii="楷体" w:hAnsi="楷体" w:eastAsia="楷体" w:cs="楷体"/>
          <w:sz w:val="21"/>
          <w:szCs w:val="21"/>
        </w:rPr>
      </w:pPr>
      <w:r>
        <w:rPr>
          <w:rFonts w:hint="eastAsia" w:ascii="楷体" w:hAnsi="楷体" w:eastAsia="楷体" w:cs="楷体"/>
          <w:color w:val="auto"/>
          <w:sz w:val="21"/>
          <w:szCs w:val="21"/>
        </w:rPr>
        <w:t>案例 13　电子信息材料柔性制造智能工厂</w:t>
      </w:r>
      <w:r>
        <w:rPr>
          <w:rFonts w:hint="eastAsia" w:ascii="楷体" w:hAnsi="楷体" w:eastAsia="楷体" w:cs="楷体"/>
          <w:sz w:val="21"/>
          <w:szCs w:val="21"/>
        </w:rPr>
        <w:tab/>
      </w:r>
      <w:r>
        <w:rPr>
          <w:rFonts w:hint="eastAsia" w:ascii="楷体" w:hAnsi="楷体" w:eastAsia="楷体" w:cs="楷体"/>
          <w:sz w:val="21"/>
          <w:szCs w:val="21"/>
        </w:rPr>
        <w:fldChar w:fldCharType="begin"/>
      </w:r>
      <w:r>
        <w:rPr>
          <w:rFonts w:hint="eastAsia" w:ascii="楷体" w:hAnsi="楷体" w:eastAsia="楷体" w:cs="楷体"/>
          <w:sz w:val="21"/>
          <w:szCs w:val="21"/>
        </w:rPr>
        <w:instrText xml:space="preserve"> PAGEREF _Toc24627 \h </w:instrText>
      </w:r>
      <w:r>
        <w:rPr>
          <w:rFonts w:hint="eastAsia" w:ascii="楷体" w:hAnsi="楷体" w:eastAsia="楷体" w:cs="楷体"/>
          <w:sz w:val="21"/>
          <w:szCs w:val="21"/>
        </w:rPr>
        <w:fldChar w:fldCharType="separate"/>
      </w:r>
      <w:r>
        <w:rPr>
          <w:rFonts w:hint="eastAsia" w:ascii="楷体" w:hAnsi="楷体" w:eastAsia="楷体" w:cs="楷体"/>
          <w:sz w:val="21"/>
          <w:szCs w:val="21"/>
        </w:rPr>
        <w:t>53</w:t>
      </w:r>
      <w:r>
        <w:rPr>
          <w:rFonts w:hint="eastAsia" w:ascii="楷体" w:hAnsi="楷体" w:eastAsia="楷体" w:cs="楷体"/>
          <w:sz w:val="21"/>
          <w:szCs w:val="21"/>
        </w:rPr>
        <w:fldChar w:fldCharType="end"/>
      </w:r>
    </w:p>
    <w:p w14:paraId="5E0E90CB">
      <w:pPr>
        <w:pStyle w:val="4"/>
        <w:tabs>
          <w:tab w:val="right" w:leader="dot" w:pos="8730"/>
        </w:tabs>
        <w:rPr>
          <w:rFonts w:hint="eastAsia" w:ascii="楷体" w:hAnsi="楷体" w:eastAsia="楷体" w:cs="楷体"/>
          <w:sz w:val="21"/>
          <w:szCs w:val="21"/>
        </w:rPr>
      </w:pPr>
      <w:r>
        <w:rPr>
          <w:rFonts w:hint="eastAsia" w:ascii="楷体" w:hAnsi="楷体" w:eastAsia="楷体" w:cs="楷体"/>
          <w:color w:val="auto"/>
          <w:sz w:val="21"/>
          <w:szCs w:val="21"/>
        </w:rPr>
        <w:t>二、公共服务领域</w:t>
      </w:r>
      <w:r>
        <w:rPr>
          <w:rFonts w:hint="eastAsia" w:ascii="楷体" w:hAnsi="楷体" w:eastAsia="楷体" w:cs="楷体"/>
          <w:sz w:val="21"/>
          <w:szCs w:val="21"/>
        </w:rPr>
        <w:tab/>
      </w:r>
      <w:r>
        <w:rPr>
          <w:rFonts w:hint="eastAsia" w:ascii="楷体" w:hAnsi="楷体" w:eastAsia="楷体" w:cs="楷体"/>
          <w:sz w:val="21"/>
          <w:szCs w:val="21"/>
        </w:rPr>
        <w:fldChar w:fldCharType="begin"/>
      </w:r>
      <w:r>
        <w:rPr>
          <w:rFonts w:hint="eastAsia" w:ascii="楷体" w:hAnsi="楷体" w:eastAsia="楷体" w:cs="楷体"/>
          <w:sz w:val="21"/>
          <w:szCs w:val="21"/>
        </w:rPr>
        <w:instrText xml:space="preserve"> PAGEREF _Toc15085 \h </w:instrText>
      </w:r>
      <w:r>
        <w:rPr>
          <w:rFonts w:hint="eastAsia" w:ascii="楷体" w:hAnsi="楷体" w:eastAsia="楷体" w:cs="楷体"/>
          <w:sz w:val="21"/>
          <w:szCs w:val="21"/>
        </w:rPr>
        <w:fldChar w:fldCharType="separate"/>
      </w:r>
      <w:r>
        <w:rPr>
          <w:rFonts w:hint="eastAsia" w:ascii="楷体" w:hAnsi="楷体" w:eastAsia="楷体" w:cs="楷体"/>
          <w:sz w:val="21"/>
          <w:szCs w:val="21"/>
        </w:rPr>
        <w:t>56</w:t>
      </w:r>
      <w:r>
        <w:rPr>
          <w:rFonts w:hint="eastAsia" w:ascii="楷体" w:hAnsi="楷体" w:eastAsia="楷体" w:cs="楷体"/>
          <w:sz w:val="21"/>
          <w:szCs w:val="21"/>
        </w:rPr>
        <w:fldChar w:fldCharType="end"/>
      </w:r>
    </w:p>
    <w:p w14:paraId="670A5229">
      <w:pPr>
        <w:pStyle w:val="5"/>
        <w:tabs>
          <w:tab w:val="right" w:leader="dot" w:pos="8730"/>
        </w:tabs>
        <w:rPr>
          <w:rFonts w:hint="eastAsia" w:ascii="楷体" w:hAnsi="楷体" w:eastAsia="楷体" w:cs="楷体"/>
          <w:sz w:val="21"/>
          <w:szCs w:val="21"/>
        </w:rPr>
      </w:pPr>
      <w:r>
        <w:rPr>
          <w:rFonts w:hint="eastAsia" w:ascii="楷体" w:hAnsi="楷体" w:eastAsia="楷体" w:cs="楷体"/>
          <w:color w:val="auto"/>
          <w:sz w:val="21"/>
          <w:szCs w:val="21"/>
        </w:rPr>
        <w:t>案例 01　无人驾驶清扫车在市政环卫领域应用案例</w:t>
      </w:r>
      <w:r>
        <w:rPr>
          <w:rFonts w:hint="eastAsia" w:ascii="楷体" w:hAnsi="楷体" w:eastAsia="楷体" w:cs="楷体"/>
          <w:sz w:val="21"/>
          <w:szCs w:val="21"/>
        </w:rPr>
        <w:tab/>
      </w:r>
      <w:r>
        <w:rPr>
          <w:rFonts w:hint="eastAsia" w:ascii="楷体" w:hAnsi="楷体" w:eastAsia="楷体" w:cs="楷体"/>
          <w:sz w:val="21"/>
          <w:szCs w:val="21"/>
        </w:rPr>
        <w:fldChar w:fldCharType="begin"/>
      </w:r>
      <w:r>
        <w:rPr>
          <w:rFonts w:hint="eastAsia" w:ascii="楷体" w:hAnsi="楷体" w:eastAsia="楷体" w:cs="楷体"/>
          <w:sz w:val="21"/>
          <w:szCs w:val="21"/>
        </w:rPr>
        <w:instrText xml:space="preserve"> PAGEREF _Toc7466 \h </w:instrText>
      </w:r>
      <w:r>
        <w:rPr>
          <w:rFonts w:hint="eastAsia" w:ascii="楷体" w:hAnsi="楷体" w:eastAsia="楷体" w:cs="楷体"/>
          <w:sz w:val="21"/>
          <w:szCs w:val="21"/>
        </w:rPr>
        <w:fldChar w:fldCharType="separate"/>
      </w:r>
      <w:r>
        <w:rPr>
          <w:rFonts w:hint="eastAsia" w:ascii="楷体" w:hAnsi="楷体" w:eastAsia="楷体" w:cs="楷体"/>
          <w:sz w:val="21"/>
          <w:szCs w:val="21"/>
        </w:rPr>
        <w:t>57</w:t>
      </w:r>
      <w:r>
        <w:rPr>
          <w:rFonts w:hint="eastAsia" w:ascii="楷体" w:hAnsi="楷体" w:eastAsia="楷体" w:cs="楷体"/>
          <w:sz w:val="21"/>
          <w:szCs w:val="21"/>
        </w:rPr>
        <w:fldChar w:fldCharType="end"/>
      </w:r>
    </w:p>
    <w:p w14:paraId="4BD7D223">
      <w:pPr>
        <w:pStyle w:val="5"/>
        <w:tabs>
          <w:tab w:val="right" w:leader="dot" w:pos="8730"/>
        </w:tabs>
        <w:rPr>
          <w:rFonts w:hint="eastAsia" w:ascii="楷体" w:hAnsi="楷体" w:eastAsia="楷体" w:cs="楷体"/>
          <w:sz w:val="21"/>
          <w:szCs w:val="21"/>
        </w:rPr>
      </w:pPr>
      <w:r>
        <w:rPr>
          <w:rFonts w:hint="eastAsia" w:ascii="楷体" w:hAnsi="楷体" w:eastAsia="楷体" w:cs="楷体"/>
          <w:color w:val="auto"/>
          <w:sz w:val="21"/>
          <w:szCs w:val="21"/>
        </w:rPr>
        <w:t>案例 02　基于AI大模型的供水数据分析及客服智能助手应用项目</w:t>
      </w:r>
      <w:r>
        <w:rPr>
          <w:rFonts w:hint="eastAsia" w:ascii="楷体" w:hAnsi="楷体" w:eastAsia="楷体" w:cs="楷体"/>
          <w:sz w:val="21"/>
          <w:szCs w:val="21"/>
        </w:rPr>
        <w:tab/>
      </w:r>
      <w:r>
        <w:rPr>
          <w:rFonts w:hint="eastAsia" w:ascii="楷体" w:hAnsi="楷体" w:eastAsia="楷体" w:cs="楷体"/>
          <w:sz w:val="21"/>
          <w:szCs w:val="21"/>
        </w:rPr>
        <w:fldChar w:fldCharType="begin"/>
      </w:r>
      <w:r>
        <w:rPr>
          <w:rFonts w:hint="eastAsia" w:ascii="楷体" w:hAnsi="楷体" w:eastAsia="楷体" w:cs="楷体"/>
          <w:sz w:val="21"/>
          <w:szCs w:val="21"/>
        </w:rPr>
        <w:instrText xml:space="preserve"> PAGEREF _Toc866 \h </w:instrText>
      </w:r>
      <w:r>
        <w:rPr>
          <w:rFonts w:hint="eastAsia" w:ascii="楷体" w:hAnsi="楷体" w:eastAsia="楷体" w:cs="楷体"/>
          <w:sz w:val="21"/>
          <w:szCs w:val="21"/>
        </w:rPr>
        <w:fldChar w:fldCharType="separate"/>
      </w:r>
      <w:r>
        <w:rPr>
          <w:rFonts w:hint="eastAsia" w:ascii="楷体" w:hAnsi="楷体" w:eastAsia="楷体" w:cs="楷体"/>
          <w:sz w:val="21"/>
          <w:szCs w:val="21"/>
        </w:rPr>
        <w:t>61</w:t>
      </w:r>
      <w:r>
        <w:rPr>
          <w:rFonts w:hint="eastAsia" w:ascii="楷体" w:hAnsi="楷体" w:eastAsia="楷体" w:cs="楷体"/>
          <w:sz w:val="21"/>
          <w:szCs w:val="21"/>
        </w:rPr>
        <w:fldChar w:fldCharType="end"/>
      </w:r>
    </w:p>
    <w:p w14:paraId="2ED93582">
      <w:pPr>
        <w:pStyle w:val="5"/>
        <w:tabs>
          <w:tab w:val="right" w:leader="dot" w:pos="8730"/>
        </w:tabs>
        <w:rPr>
          <w:rFonts w:hint="eastAsia" w:ascii="楷体" w:hAnsi="楷体" w:eastAsia="楷体" w:cs="楷体"/>
          <w:sz w:val="21"/>
          <w:szCs w:val="21"/>
        </w:rPr>
      </w:pPr>
      <w:r>
        <w:rPr>
          <w:rFonts w:hint="eastAsia" w:ascii="楷体" w:hAnsi="楷体" w:eastAsia="楷体" w:cs="楷体"/>
          <w:color w:val="auto"/>
          <w:sz w:val="21"/>
          <w:szCs w:val="21"/>
        </w:rPr>
        <w:t>案例 03　面向城市精细化治理的多模态AI感知与智能运控应用案例</w:t>
      </w:r>
      <w:r>
        <w:rPr>
          <w:rFonts w:hint="eastAsia" w:ascii="楷体" w:hAnsi="楷体" w:eastAsia="楷体" w:cs="楷体"/>
          <w:sz w:val="21"/>
          <w:szCs w:val="21"/>
        </w:rPr>
        <w:tab/>
      </w:r>
      <w:r>
        <w:rPr>
          <w:rFonts w:hint="eastAsia" w:ascii="楷体" w:hAnsi="楷体" w:eastAsia="楷体" w:cs="楷体"/>
          <w:sz w:val="21"/>
          <w:szCs w:val="21"/>
        </w:rPr>
        <w:fldChar w:fldCharType="begin"/>
      </w:r>
      <w:r>
        <w:rPr>
          <w:rFonts w:hint="eastAsia" w:ascii="楷体" w:hAnsi="楷体" w:eastAsia="楷体" w:cs="楷体"/>
          <w:sz w:val="21"/>
          <w:szCs w:val="21"/>
        </w:rPr>
        <w:instrText xml:space="preserve"> PAGEREF _Toc15712 \h </w:instrText>
      </w:r>
      <w:r>
        <w:rPr>
          <w:rFonts w:hint="eastAsia" w:ascii="楷体" w:hAnsi="楷体" w:eastAsia="楷体" w:cs="楷体"/>
          <w:sz w:val="21"/>
          <w:szCs w:val="21"/>
        </w:rPr>
        <w:fldChar w:fldCharType="separate"/>
      </w:r>
      <w:r>
        <w:rPr>
          <w:rFonts w:hint="eastAsia" w:ascii="楷体" w:hAnsi="楷体" w:eastAsia="楷体" w:cs="楷体"/>
          <w:sz w:val="21"/>
          <w:szCs w:val="21"/>
        </w:rPr>
        <w:t>66</w:t>
      </w:r>
      <w:r>
        <w:rPr>
          <w:rFonts w:hint="eastAsia" w:ascii="楷体" w:hAnsi="楷体" w:eastAsia="楷体" w:cs="楷体"/>
          <w:sz w:val="21"/>
          <w:szCs w:val="21"/>
        </w:rPr>
        <w:fldChar w:fldCharType="end"/>
      </w:r>
    </w:p>
    <w:p w14:paraId="4F846607">
      <w:pPr>
        <w:pStyle w:val="5"/>
        <w:tabs>
          <w:tab w:val="right" w:leader="dot" w:pos="8730"/>
        </w:tabs>
        <w:rPr>
          <w:rFonts w:hint="eastAsia" w:ascii="楷体" w:hAnsi="楷体" w:eastAsia="楷体" w:cs="楷体"/>
          <w:sz w:val="21"/>
          <w:szCs w:val="21"/>
        </w:rPr>
      </w:pPr>
      <w:r>
        <w:rPr>
          <w:rFonts w:hint="eastAsia" w:ascii="楷体" w:hAnsi="楷体" w:eastAsia="楷体" w:cs="楷体"/>
          <w:color w:val="auto"/>
          <w:sz w:val="21"/>
          <w:szCs w:val="21"/>
        </w:rPr>
        <w:t>案例 04　基于DeepSeek Harness的医院运营智能分析与决策支持平台</w:t>
      </w:r>
      <w:r>
        <w:rPr>
          <w:rFonts w:hint="eastAsia" w:ascii="楷体" w:hAnsi="楷体" w:eastAsia="楷体" w:cs="楷体"/>
          <w:sz w:val="21"/>
          <w:szCs w:val="21"/>
        </w:rPr>
        <w:tab/>
      </w:r>
      <w:r>
        <w:rPr>
          <w:rFonts w:hint="eastAsia" w:ascii="楷体" w:hAnsi="楷体" w:eastAsia="楷体" w:cs="楷体"/>
          <w:sz w:val="21"/>
          <w:szCs w:val="21"/>
        </w:rPr>
        <w:fldChar w:fldCharType="begin"/>
      </w:r>
      <w:r>
        <w:rPr>
          <w:rFonts w:hint="eastAsia" w:ascii="楷体" w:hAnsi="楷体" w:eastAsia="楷体" w:cs="楷体"/>
          <w:sz w:val="21"/>
          <w:szCs w:val="21"/>
        </w:rPr>
        <w:instrText xml:space="preserve"> PAGEREF _Toc20260 \h </w:instrText>
      </w:r>
      <w:r>
        <w:rPr>
          <w:rFonts w:hint="eastAsia" w:ascii="楷体" w:hAnsi="楷体" w:eastAsia="楷体" w:cs="楷体"/>
          <w:sz w:val="21"/>
          <w:szCs w:val="21"/>
        </w:rPr>
        <w:fldChar w:fldCharType="separate"/>
      </w:r>
      <w:r>
        <w:rPr>
          <w:rFonts w:hint="eastAsia" w:ascii="楷体" w:hAnsi="楷体" w:eastAsia="楷体" w:cs="楷体"/>
          <w:sz w:val="21"/>
          <w:szCs w:val="21"/>
        </w:rPr>
        <w:t>69</w:t>
      </w:r>
      <w:r>
        <w:rPr>
          <w:rFonts w:hint="eastAsia" w:ascii="楷体" w:hAnsi="楷体" w:eastAsia="楷体" w:cs="楷体"/>
          <w:sz w:val="21"/>
          <w:szCs w:val="21"/>
        </w:rPr>
        <w:fldChar w:fldCharType="end"/>
      </w:r>
    </w:p>
    <w:p w14:paraId="60B28ED7">
      <w:pPr>
        <w:pStyle w:val="5"/>
        <w:tabs>
          <w:tab w:val="right" w:leader="dot" w:pos="8730"/>
        </w:tabs>
        <w:rPr>
          <w:rFonts w:hint="eastAsia" w:ascii="楷体" w:hAnsi="楷体" w:eastAsia="楷体" w:cs="楷体"/>
          <w:sz w:val="21"/>
          <w:szCs w:val="21"/>
        </w:rPr>
      </w:pPr>
      <w:r>
        <w:rPr>
          <w:rFonts w:hint="eastAsia" w:ascii="楷体" w:hAnsi="楷体" w:eastAsia="楷体" w:cs="楷体"/>
          <w:color w:val="auto"/>
          <w:sz w:val="21"/>
          <w:szCs w:val="21"/>
        </w:rPr>
        <w:t>案例 05　人工智能赋能医学影像阅片分析与诊断</w:t>
      </w:r>
      <w:r>
        <w:rPr>
          <w:rFonts w:hint="eastAsia" w:ascii="楷体" w:hAnsi="楷体" w:eastAsia="楷体" w:cs="楷体"/>
          <w:sz w:val="21"/>
          <w:szCs w:val="21"/>
        </w:rPr>
        <w:tab/>
      </w:r>
      <w:r>
        <w:rPr>
          <w:rFonts w:hint="eastAsia" w:ascii="楷体" w:hAnsi="楷体" w:eastAsia="楷体" w:cs="楷体"/>
          <w:sz w:val="21"/>
          <w:szCs w:val="21"/>
        </w:rPr>
        <w:fldChar w:fldCharType="begin"/>
      </w:r>
      <w:r>
        <w:rPr>
          <w:rFonts w:hint="eastAsia" w:ascii="楷体" w:hAnsi="楷体" w:eastAsia="楷体" w:cs="楷体"/>
          <w:sz w:val="21"/>
          <w:szCs w:val="21"/>
        </w:rPr>
        <w:instrText xml:space="preserve"> PAGEREF _Toc2445 \h </w:instrText>
      </w:r>
      <w:r>
        <w:rPr>
          <w:rFonts w:hint="eastAsia" w:ascii="楷体" w:hAnsi="楷体" w:eastAsia="楷体" w:cs="楷体"/>
          <w:sz w:val="21"/>
          <w:szCs w:val="21"/>
        </w:rPr>
        <w:fldChar w:fldCharType="separate"/>
      </w:r>
      <w:r>
        <w:rPr>
          <w:rFonts w:hint="eastAsia" w:ascii="楷体" w:hAnsi="楷体" w:eastAsia="楷体" w:cs="楷体"/>
          <w:sz w:val="21"/>
          <w:szCs w:val="21"/>
        </w:rPr>
        <w:t>72</w:t>
      </w:r>
      <w:r>
        <w:rPr>
          <w:rFonts w:hint="eastAsia" w:ascii="楷体" w:hAnsi="楷体" w:eastAsia="楷体" w:cs="楷体"/>
          <w:sz w:val="21"/>
          <w:szCs w:val="21"/>
        </w:rPr>
        <w:fldChar w:fldCharType="end"/>
      </w:r>
    </w:p>
    <w:p w14:paraId="6C690EA7">
      <w:pPr>
        <w:pStyle w:val="5"/>
        <w:tabs>
          <w:tab w:val="right" w:leader="dot" w:pos="8730"/>
        </w:tabs>
        <w:rPr>
          <w:rFonts w:hint="eastAsia" w:ascii="楷体" w:hAnsi="楷体" w:eastAsia="楷体" w:cs="楷体"/>
          <w:sz w:val="21"/>
          <w:szCs w:val="21"/>
        </w:rPr>
      </w:pPr>
      <w:r>
        <w:rPr>
          <w:rFonts w:hint="eastAsia" w:ascii="楷体" w:hAnsi="楷体" w:eastAsia="楷体" w:cs="楷体"/>
          <w:color w:val="auto"/>
          <w:sz w:val="21"/>
          <w:szCs w:val="21"/>
        </w:rPr>
        <w:t>案例 06　AI赋能智慧运行——北部公用#4焚烧炉AI自动燃烧系统应用案例</w:t>
      </w:r>
      <w:r>
        <w:rPr>
          <w:rFonts w:hint="eastAsia" w:ascii="楷体" w:hAnsi="楷体" w:eastAsia="楷体" w:cs="楷体"/>
          <w:sz w:val="21"/>
          <w:szCs w:val="21"/>
        </w:rPr>
        <w:tab/>
      </w:r>
      <w:r>
        <w:rPr>
          <w:rFonts w:hint="eastAsia" w:ascii="楷体" w:hAnsi="楷体" w:eastAsia="楷体" w:cs="楷体"/>
          <w:sz w:val="21"/>
          <w:szCs w:val="21"/>
        </w:rPr>
        <w:fldChar w:fldCharType="begin"/>
      </w:r>
      <w:r>
        <w:rPr>
          <w:rFonts w:hint="eastAsia" w:ascii="楷体" w:hAnsi="楷体" w:eastAsia="楷体" w:cs="楷体"/>
          <w:sz w:val="21"/>
          <w:szCs w:val="21"/>
        </w:rPr>
        <w:instrText xml:space="preserve"> PAGEREF _Toc15977 \h </w:instrText>
      </w:r>
      <w:r>
        <w:rPr>
          <w:rFonts w:hint="eastAsia" w:ascii="楷体" w:hAnsi="楷体" w:eastAsia="楷体" w:cs="楷体"/>
          <w:sz w:val="21"/>
          <w:szCs w:val="21"/>
        </w:rPr>
        <w:fldChar w:fldCharType="separate"/>
      </w:r>
      <w:r>
        <w:rPr>
          <w:rFonts w:hint="eastAsia" w:ascii="楷体" w:hAnsi="楷体" w:eastAsia="楷体" w:cs="楷体"/>
          <w:sz w:val="21"/>
          <w:szCs w:val="21"/>
        </w:rPr>
        <w:t>76</w:t>
      </w:r>
      <w:r>
        <w:rPr>
          <w:rFonts w:hint="eastAsia" w:ascii="楷体" w:hAnsi="楷体" w:eastAsia="楷体" w:cs="楷体"/>
          <w:sz w:val="21"/>
          <w:szCs w:val="21"/>
        </w:rPr>
        <w:fldChar w:fldCharType="end"/>
      </w:r>
    </w:p>
    <w:p w14:paraId="07267FDE">
      <w:pPr>
        <w:pStyle w:val="5"/>
        <w:tabs>
          <w:tab w:val="right" w:leader="dot" w:pos="8730"/>
        </w:tabs>
        <w:rPr>
          <w:rFonts w:hint="eastAsia" w:ascii="楷体" w:hAnsi="楷体" w:eastAsia="楷体" w:cs="楷体"/>
          <w:sz w:val="21"/>
          <w:szCs w:val="21"/>
        </w:rPr>
      </w:pPr>
      <w:r>
        <w:rPr>
          <w:rFonts w:hint="eastAsia" w:ascii="楷体" w:hAnsi="楷体" w:eastAsia="楷体" w:cs="楷体"/>
          <w:color w:val="auto"/>
          <w:sz w:val="21"/>
          <w:szCs w:val="21"/>
        </w:rPr>
        <w:t>案例 07　香山·小天——气象业务大模型智能体平台</w:t>
      </w:r>
      <w:r>
        <w:rPr>
          <w:rFonts w:hint="eastAsia" w:ascii="楷体" w:hAnsi="楷体" w:eastAsia="楷体" w:cs="楷体"/>
          <w:sz w:val="21"/>
          <w:szCs w:val="21"/>
        </w:rPr>
        <w:tab/>
      </w:r>
      <w:r>
        <w:rPr>
          <w:rFonts w:hint="eastAsia" w:ascii="楷体" w:hAnsi="楷体" w:eastAsia="楷体" w:cs="楷体"/>
          <w:sz w:val="21"/>
          <w:szCs w:val="21"/>
        </w:rPr>
        <w:fldChar w:fldCharType="begin"/>
      </w:r>
      <w:r>
        <w:rPr>
          <w:rFonts w:hint="eastAsia" w:ascii="楷体" w:hAnsi="楷体" w:eastAsia="楷体" w:cs="楷体"/>
          <w:sz w:val="21"/>
          <w:szCs w:val="21"/>
        </w:rPr>
        <w:instrText xml:space="preserve"> PAGEREF _Toc6656 \h </w:instrText>
      </w:r>
      <w:r>
        <w:rPr>
          <w:rFonts w:hint="eastAsia" w:ascii="楷体" w:hAnsi="楷体" w:eastAsia="楷体" w:cs="楷体"/>
          <w:sz w:val="21"/>
          <w:szCs w:val="21"/>
        </w:rPr>
        <w:fldChar w:fldCharType="separate"/>
      </w:r>
      <w:r>
        <w:rPr>
          <w:rFonts w:hint="eastAsia" w:ascii="楷体" w:hAnsi="楷体" w:eastAsia="楷体" w:cs="楷体"/>
          <w:sz w:val="21"/>
          <w:szCs w:val="21"/>
        </w:rPr>
        <w:t>80</w:t>
      </w:r>
      <w:r>
        <w:rPr>
          <w:rFonts w:hint="eastAsia" w:ascii="楷体" w:hAnsi="楷体" w:eastAsia="楷体" w:cs="楷体"/>
          <w:sz w:val="21"/>
          <w:szCs w:val="21"/>
        </w:rPr>
        <w:fldChar w:fldCharType="end"/>
      </w:r>
    </w:p>
    <w:p w14:paraId="184173F7">
      <w:pPr>
        <w:pStyle w:val="5"/>
        <w:tabs>
          <w:tab w:val="right" w:leader="dot" w:pos="8730"/>
        </w:tabs>
        <w:rPr>
          <w:rFonts w:hint="eastAsia" w:ascii="楷体" w:hAnsi="楷体" w:eastAsia="楷体" w:cs="楷体"/>
          <w:sz w:val="21"/>
          <w:szCs w:val="21"/>
        </w:rPr>
      </w:pPr>
      <w:r>
        <w:rPr>
          <w:rFonts w:hint="eastAsia" w:ascii="楷体" w:hAnsi="楷体" w:eastAsia="楷体" w:cs="楷体"/>
          <w:color w:val="auto"/>
          <w:sz w:val="21"/>
          <w:szCs w:val="21"/>
        </w:rPr>
        <w:t>案例 08　智能坐席辅助+智能派单一体化</w:t>
      </w:r>
      <w:r>
        <w:rPr>
          <w:rFonts w:hint="eastAsia" w:ascii="楷体" w:hAnsi="楷体" w:eastAsia="楷体" w:cs="楷体"/>
          <w:sz w:val="21"/>
          <w:szCs w:val="21"/>
        </w:rPr>
        <w:tab/>
      </w:r>
      <w:r>
        <w:rPr>
          <w:rFonts w:hint="eastAsia" w:ascii="楷体" w:hAnsi="楷体" w:eastAsia="楷体" w:cs="楷体"/>
          <w:sz w:val="21"/>
          <w:szCs w:val="21"/>
        </w:rPr>
        <w:fldChar w:fldCharType="begin"/>
      </w:r>
      <w:r>
        <w:rPr>
          <w:rFonts w:hint="eastAsia" w:ascii="楷体" w:hAnsi="楷体" w:eastAsia="楷体" w:cs="楷体"/>
          <w:sz w:val="21"/>
          <w:szCs w:val="21"/>
        </w:rPr>
        <w:instrText xml:space="preserve"> PAGEREF _Toc25959 \h </w:instrText>
      </w:r>
      <w:r>
        <w:rPr>
          <w:rFonts w:hint="eastAsia" w:ascii="楷体" w:hAnsi="楷体" w:eastAsia="楷体" w:cs="楷体"/>
          <w:sz w:val="21"/>
          <w:szCs w:val="21"/>
        </w:rPr>
        <w:fldChar w:fldCharType="separate"/>
      </w:r>
      <w:r>
        <w:rPr>
          <w:rFonts w:hint="eastAsia" w:ascii="楷体" w:hAnsi="楷体" w:eastAsia="楷体" w:cs="楷体"/>
          <w:sz w:val="21"/>
          <w:szCs w:val="21"/>
        </w:rPr>
        <w:t>82</w:t>
      </w:r>
      <w:r>
        <w:rPr>
          <w:rFonts w:hint="eastAsia" w:ascii="楷体" w:hAnsi="楷体" w:eastAsia="楷体" w:cs="楷体"/>
          <w:sz w:val="21"/>
          <w:szCs w:val="21"/>
        </w:rPr>
        <w:fldChar w:fldCharType="end"/>
      </w:r>
    </w:p>
    <w:p w14:paraId="704F5256">
      <w:pPr>
        <w:pStyle w:val="5"/>
        <w:tabs>
          <w:tab w:val="right" w:leader="dot" w:pos="8730"/>
        </w:tabs>
        <w:rPr>
          <w:rFonts w:hint="eastAsia" w:ascii="楷体" w:hAnsi="楷体" w:eastAsia="楷体" w:cs="楷体"/>
          <w:sz w:val="21"/>
          <w:szCs w:val="21"/>
        </w:rPr>
      </w:pPr>
      <w:r>
        <w:rPr>
          <w:rFonts w:hint="eastAsia" w:ascii="楷体" w:hAnsi="楷体" w:eastAsia="楷体" w:cs="楷体"/>
          <w:color w:val="auto"/>
          <w:sz w:val="21"/>
          <w:szCs w:val="21"/>
        </w:rPr>
        <w:t>案例 09　虚拟仿真与人工智能技术在中职幼儿保育专业技能竞赛及实训的创新应用</w:t>
      </w:r>
      <w:r>
        <w:rPr>
          <w:rFonts w:hint="eastAsia" w:ascii="楷体" w:hAnsi="楷体" w:eastAsia="楷体" w:cs="楷体"/>
          <w:sz w:val="21"/>
          <w:szCs w:val="21"/>
        </w:rPr>
        <w:tab/>
      </w:r>
      <w:r>
        <w:rPr>
          <w:rFonts w:hint="eastAsia" w:ascii="楷体" w:hAnsi="楷体" w:eastAsia="楷体" w:cs="楷体"/>
          <w:sz w:val="21"/>
          <w:szCs w:val="21"/>
        </w:rPr>
        <w:fldChar w:fldCharType="begin"/>
      </w:r>
      <w:r>
        <w:rPr>
          <w:rFonts w:hint="eastAsia" w:ascii="楷体" w:hAnsi="楷体" w:eastAsia="楷体" w:cs="楷体"/>
          <w:sz w:val="21"/>
          <w:szCs w:val="21"/>
        </w:rPr>
        <w:instrText xml:space="preserve"> PAGEREF _Toc17051 \h </w:instrText>
      </w:r>
      <w:r>
        <w:rPr>
          <w:rFonts w:hint="eastAsia" w:ascii="楷体" w:hAnsi="楷体" w:eastAsia="楷体" w:cs="楷体"/>
          <w:sz w:val="21"/>
          <w:szCs w:val="21"/>
        </w:rPr>
        <w:fldChar w:fldCharType="separate"/>
      </w:r>
      <w:r>
        <w:rPr>
          <w:rFonts w:hint="eastAsia" w:ascii="楷体" w:hAnsi="楷体" w:eastAsia="楷体" w:cs="楷体"/>
          <w:sz w:val="21"/>
          <w:szCs w:val="21"/>
        </w:rPr>
        <w:t>85</w:t>
      </w:r>
      <w:r>
        <w:rPr>
          <w:rFonts w:hint="eastAsia" w:ascii="楷体" w:hAnsi="楷体" w:eastAsia="楷体" w:cs="楷体"/>
          <w:sz w:val="21"/>
          <w:szCs w:val="21"/>
        </w:rPr>
        <w:fldChar w:fldCharType="end"/>
      </w:r>
    </w:p>
    <w:p w14:paraId="202731B1">
      <w:pPr>
        <w:pStyle w:val="5"/>
        <w:tabs>
          <w:tab w:val="right" w:leader="dot" w:pos="8730"/>
        </w:tabs>
        <w:rPr>
          <w:rFonts w:hint="eastAsia" w:ascii="楷体" w:hAnsi="楷体" w:eastAsia="楷体" w:cs="楷体"/>
          <w:sz w:val="21"/>
          <w:szCs w:val="21"/>
        </w:rPr>
      </w:pPr>
      <w:r>
        <w:rPr>
          <w:rFonts w:hint="eastAsia" w:ascii="楷体" w:hAnsi="楷体" w:eastAsia="楷体" w:cs="楷体"/>
          <w:color w:val="auto"/>
          <w:sz w:val="21"/>
          <w:szCs w:val="21"/>
        </w:rPr>
        <w:t>案例 10　驿小递——社区末端低成本ROS智能配送机器人解决方案</w:t>
      </w:r>
      <w:r>
        <w:rPr>
          <w:rFonts w:hint="eastAsia" w:ascii="楷体" w:hAnsi="楷体" w:eastAsia="楷体" w:cs="楷体"/>
          <w:sz w:val="21"/>
          <w:szCs w:val="21"/>
        </w:rPr>
        <w:tab/>
      </w:r>
      <w:r>
        <w:rPr>
          <w:rFonts w:hint="eastAsia" w:ascii="楷体" w:hAnsi="楷体" w:eastAsia="楷体" w:cs="楷体"/>
          <w:sz w:val="21"/>
          <w:szCs w:val="21"/>
        </w:rPr>
        <w:fldChar w:fldCharType="begin"/>
      </w:r>
      <w:r>
        <w:rPr>
          <w:rFonts w:hint="eastAsia" w:ascii="楷体" w:hAnsi="楷体" w:eastAsia="楷体" w:cs="楷体"/>
          <w:sz w:val="21"/>
          <w:szCs w:val="21"/>
        </w:rPr>
        <w:instrText xml:space="preserve"> PAGEREF _Toc7930 \h </w:instrText>
      </w:r>
      <w:r>
        <w:rPr>
          <w:rFonts w:hint="eastAsia" w:ascii="楷体" w:hAnsi="楷体" w:eastAsia="楷体" w:cs="楷体"/>
          <w:sz w:val="21"/>
          <w:szCs w:val="21"/>
        </w:rPr>
        <w:fldChar w:fldCharType="separate"/>
      </w:r>
      <w:r>
        <w:rPr>
          <w:rFonts w:hint="eastAsia" w:ascii="楷体" w:hAnsi="楷体" w:eastAsia="楷体" w:cs="楷体"/>
          <w:sz w:val="21"/>
          <w:szCs w:val="21"/>
        </w:rPr>
        <w:t>89</w:t>
      </w:r>
      <w:r>
        <w:rPr>
          <w:rFonts w:hint="eastAsia" w:ascii="楷体" w:hAnsi="楷体" w:eastAsia="楷体" w:cs="楷体"/>
          <w:sz w:val="21"/>
          <w:szCs w:val="21"/>
        </w:rPr>
        <w:fldChar w:fldCharType="end"/>
      </w:r>
    </w:p>
    <w:p w14:paraId="7EA74AF4">
      <w:pPr>
        <w:pStyle w:val="5"/>
        <w:tabs>
          <w:tab w:val="right" w:leader="dot" w:pos="8730"/>
        </w:tabs>
        <w:rPr>
          <w:rFonts w:hint="eastAsia" w:ascii="楷体" w:hAnsi="楷体" w:eastAsia="楷体" w:cs="楷体"/>
          <w:sz w:val="21"/>
          <w:szCs w:val="21"/>
        </w:rPr>
      </w:pPr>
      <w:r>
        <w:rPr>
          <w:rFonts w:hint="eastAsia" w:ascii="楷体" w:hAnsi="楷体" w:eastAsia="楷体" w:cs="楷体"/>
          <w:color w:val="auto"/>
          <w:sz w:val="21"/>
          <w:szCs w:val="21"/>
        </w:rPr>
        <w:t>案例 11　中山市华侨中学AI智慧教学系统应用案例</w:t>
      </w:r>
      <w:r>
        <w:rPr>
          <w:rFonts w:hint="eastAsia" w:ascii="楷体" w:hAnsi="楷体" w:eastAsia="楷体" w:cs="楷体"/>
          <w:sz w:val="21"/>
          <w:szCs w:val="21"/>
        </w:rPr>
        <w:tab/>
      </w:r>
      <w:r>
        <w:rPr>
          <w:rFonts w:hint="eastAsia" w:ascii="楷体" w:hAnsi="楷体" w:eastAsia="楷体" w:cs="楷体"/>
          <w:sz w:val="21"/>
          <w:szCs w:val="21"/>
        </w:rPr>
        <w:fldChar w:fldCharType="begin"/>
      </w:r>
      <w:r>
        <w:rPr>
          <w:rFonts w:hint="eastAsia" w:ascii="楷体" w:hAnsi="楷体" w:eastAsia="楷体" w:cs="楷体"/>
          <w:sz w:val="21"/>
          <w:szCs w:val="21"/>
        </w:rPr>
        <w:instrText xml:space="preserve"> PAGEREF _Toc22362 \h </w:instrText>
      </w:r>
      <w:r>
        <w:rPr>
          <w:rFonts w:hint="eastAsia" w:ascii="楷体" w:hAnsi="楷体" w:eastAsia="楷体" w:cs="楷体"/>
          <w:sz w:val="21"/>
          <w:szCs w:val="21"/>
        </w:rPr>
        <w:fldChar w:fldCharType="separate"/>
      </w:r>
      <w:r>
        <w:rPr>
          <w:rFonts w:hint="eastAsia" w:ascii="楷体" w:hAnsi="楷体" w:eastAsia="楷体" w:cs="楷体"/>
          <w:sz w:val="21"/>
          <w:szCs w:val="21"/>
        </w:rPr>
        <w:t>92</w:t>
      </w:r>
      <w:r>
        <w:rPr>
          <w:rFonts w:hint="eastAsia" w:ascii="楷体" w:hAnsi="楷体" w:eastAsia="楷体" w:cs="楷体"/>
          <w:sz w:val="21"/>
          <w:szCs w:val="21"/>
        </w:rPr>
        <w:fldChar w:fldCharType="end"/>
      </w:r>
    </w:p>
    <w:p w14:paraId="151D49EF">
      <w:pPr>
        <w:pStyle w:val="5"/>
        <w:tabs>
          <w:tab w:val="right" w:leader="dot" w:pos="8730"/>
        </w:tabs>
        <w:rPr>
          <w:rFonts w:hint="eastAsia" w:ascii="楷体" w:hAnsi="楷体" w:eastAsia="楷体" w:cs="楷体"/>
          <w:sz w:val="21"/>
          <w:szCs w:val="21"/>
        </w:rPr>
      </w:pPr>
      <w:r>
        <w:rPr>
          <w:rFonts w:hint="eastAsia" w:ascii="楷体" w:hAnsi="楷体" w:eastAsia="楷体" w:cs="楷体"/>
          <w:color w:val="auto"/>
          <w:sz w:val="21"/>
          <w:szCs w:val="21"/>
        </w:rPr>
        <w:t>案例 12　直播实训智能助手（小陈老师）</w:t>
      </w:r>
      <w:r>
        <w:rPr>
          <w:rFonts w:hint="eastAsia" w:ascii="楷体" w:hAnsi="楷体" w:eastAsia="楷体" w:cs="楷体"/>
          <w:sz w:val="21"/>
          <w:szCs w:val="21"/>
        </w:rPr>
        <w:tab/>
      </w:r>
      <w:r>
        <w:rPr>
          <w:rFonts w:hint="eastAsia" w:ascii="楷体" w:hAnsi="楷体" w:eastAsia="楷体" w:cs="楷体"/>
          <w:sz w:val="21"/>
          <w:szCs w:val="21"/>
        </w:rPr>
        <w:fldChar w:fldCharType="begin"/>
      </w:r>
      <w:r>
        <w:rPr>
          <w:rFonts w:hint="eastAsia" w:ascii="楷体" w:hAnsi="楷体" w:eastAsia="楷体" w:cs="楷体"/>
          <w:sz w:val="21"/>
          <w:szCs w:val="21"/>
        </w:rPr>
        <w:instrText xml:space="preserve"> PAGEREF _Toc2418 \h </w:instrText>
      </w:r>
      <w:r>
        <w:rPr>
          <w:rFonts w:hint="eastAsia" w:ascii="楷体" w:hAnsi="楷体" w:eastAsia="楷体" w:cs="楷体"/>
          <w:sz w:val="21"/>
          <w:szCs w:val="21"/>
        </w:rPr>
        <w:fldChar w:fldCharType="separate"/>
      </w:r>
      <w:r>
        <w:rPr>
          <w:rFonts w:hint="eastAsia" w:ascii="楷体" w:hAnsi="楷体" w:eastAsia="楷体" w:cs="楷体"/>
          <w:sz w:val="21"/>
          <w:szCs w:val="21"/>
        </w:rPr>
        <w:t>97</w:t>
      </w:r>
      <w:r>
        <w:rPr>
          <w:rFonts w:hint="eastAsia" w:ascii="楷体" w:hAnsi="楷体" w:eastAsia="楷体" w:cs="楷体"/>
          <w:sz w:val="21"/>
          <w:szCs w:val="21"/>
        </w:rPr>
        <w:fldChar w:fldCharType="end"/>
      </w:r>
    </w:p>
    <w:p w14:paraId="7C1FA462">
      <w:pPr>
        <w:pStyle w:val="5"/>
        <w:tabs>
          <w:tab w:val="right" w:leader="dot" w:pos="8730"/>
        </w:tabs>
        <w:rPr>
          <w:rFonts w:hint="eastAsia" w:ascii="楷体" w:hAnsi="楷体" w:eastAsia="楷体" w:cs="楷体"/>
          <w:sz w:val="21"/>
          <w:szCs w:val="21"/>
        </w:rPr>
      </w:pPr>
      <w:r>
        <w:rPr>
          <w:rFonts w:hint="eastAsia" w:ascii="楷体" w:hAnsi="楷体" w:eastAsia="楷体" w:cs="楷体"/>
          <w:color w:val="auto"/>
          <w:sz w:val="21"/>
          <w:szCs w:val="21"/>
        </w:rPr>
        <w:t>案例 13　非穿戴式坐姿AI提醒器</w:t>
      </w:r>
      <w:r>
        <w:rPr>
          <w:rFonts w:hint="eastAsia" w:ascii="楷体" w:hAnsi="楷体" w:eastAsia="楷体" w:cs="楷体"/>
          <w:sz w:val="21"/>
          <w:szCs w:val="21"/>
        </w:rPr>
        <w:tab/>
      </w:r>
      <w:r>
        <w:rPr>
          <w:rFonts w:hint="eastAsia" w:ascii="楷体" w:hAnsi="楷体" w:eastAsia="楷体" w:cs="楷体"/>
          <w:sz w:val="21"/>
          <w:szCs w:val="21"/>
        </w:rPr>
        <w:fldChar w:fldCharType="begin"/>
      </w:r>
      <w:r>
        <w:rPr>
          <w:rFonts w:hint="eastAsia" w:ascii="楷体" w:hAnsi="楷体" w:eastAsia="楷体" w:cs="楷体"/>
          <w:sz w:val="21"/>
          <w:szCs w:val="21"/>
        </w:rPr>
        <w:instrText xml:space="preserve"> PAGEREF _Toc22128 \h </w:instrText>
      </w:r>
      <w:r>
        <w:rPr>
          <w:rFonts w:hint="eastAsia" w:ascii="楷体" w:hAnsi="楷体" w:eastAsia="楷体" w:cs="楷体"/>
          <w:sz w:val="21"/>
          <w:szCs w:val="21"/>
        </w:rPr>
        <w:fldChar w:fldCharType="separate"/>
      </w:r>
      <w:r>
        <w:rPr>
          <w:rFonts w:hint="eastAsia" w:ascii="楷体" w:hAnsi="楷体" w:eastAsia="楷体" w:cs="楷体"/>
          <w:sz w:val="21"/>
          <w:szCs w:val="21"/>
        </w:rPr>
        <w:t>102</w:t>
      </w:r>
      <w:r>
        <w:rPr>
          <w:rFonts w:hint="eastAsia" w:ascii="楷体" w:hAnsi="楷体" w:eastAsia="楷体" w:cs="楷体"/>
          <w:sz w:val="21"/>
          <w:szCs w:val="21"/>
        </w:rPr>
        <w:fldChar w:fldCharType="end"/>
      </w:r>
    </w:p>
    <w:p w14:paraId="0D4C06C2">
      <w:pPr>
        <w:pStyle w:val="4"/>
        <w:tabs>
          <w:tab w:val="right" w:leader="dot" w:pos="8730"/>
        </w:tabs>
        <w:rPr>
          <w:rFonts w:hint="eastAsia" w:ascii="楷体" w:hAnsi="楷体" w:eastAsia="楷体" w:cs="楷体"/>
          <w:sz w:val="21"/>
          <w:szCs w:val="21"/>
        </w:rPr>
      </w:pPr>
      <w:r>
        <w:rPr>
          <w:rFonts w:hint="eastAsia" w:ascii="楷体" w:hAnsi="楷体" w:eastAsia="楷体" w:cs="楷体"/>
          <w:color w:val="auto"/>
          <w:sz w:val="21"/>
          <w:szCs w:val="21"/>
        </w:rPr>
        <w:t>三、其他领域</w:t>
      </w:r>
      <w:r>
        <w:rPr>
          <w:rFonts w:hint="eastAsia" w:ascii="楷体" w:hAnsi="楷体" w:eastAsia="楷体" w:cs="楷体"/>
          <w:sz w:val="21"/>
          <w:szCs w:val="21"/>
        </w:rPr>
        <w:tab/>
      </w:r>
      <w:r>
        <w:rPr>
          <w:rFonts w:hint="eastAsia" w:ascii="楷体" w:hAnsi="楷体" w:eastAsia="楷体" w:cs="楷体"/>
          <w:sz w:val="21"/>
          <w:szCs w:val="21"/>
        </w:rPr>
        <w:fldChar w:fldCharType="begin"/>
      </w:r>
      <w:r>
        <w:rPr>
          <w:rFonts w:hint="eastAsia" w:ascii="楷体" w:hAnsi="楷体" w:eastAsia="楷体" w:cs="楷体"/>
          <w:sz w:val="21"/>
          <w:szCs w:val="21"/>
        </w:rPr>
        <w:instrText xml:space="preserve"> PAGEREF _Toc9938 \h </w:instrText>
      </w:r>
      <w:r>
        <w:rPr>
          <w:rFonts w:hint="eastAsia" w:ascii="楷体" w:hAnsi="楷体" w:eastAsia="楷体" w:cs="楷体"/>
          <w:sz w:val="21"/>
          <w:szCs w:val="21"/>
        </w:rPr>
        <w:fldChar w:fldCharType="separate"/>
      </w:r>
      <w:r>
        <w:rPr>
          <w:rFonts w:hint="eastAsia" w:ascii="楷体" w:hAnsi="楷体" w:eastAsia="楷体" w:cs="楷体"/>
          <w:sz w:val="21"/>
          <w:szCs w:val="21"/>
        </w:rPr>
        <w:t>105</w:t>
      </w:r>
      <w:r>
        <w:rPr>
          <w:rFonts w:hint="eastAsia" w:ascii="楷体" w:hAnsi="楷体" w:eastAsia="楷体" w:cs="楷体"/>
          <w:sz w:val="21"/>
          <w:szCs w:val="21"/>
        </w:rPr>
        <w:fldChar w:fldCharType="end"/>
      </w:r>
    </w:p>
    <w:p w14:paraId="7D533CED">
      <w:pPr>
        <w:pStyle w:val="5"/>
        <w:tabs>
          <w:tab w:val="right" w:leader="dot" w:pos="8730"/>
        </w:tabs>
        <w:rPr>
          <w:rFonts w:hint="eastAsia" w:ascii="楷体" w:hAnsi="楷体" w:eastAsia="楷体" w:cs="楷体"/>
          <w:sz w:val="21"/>
          <w:szCs w:val="21"/>
        </w:rPr>
      </w:pPr>
      <w:r>
        <w:rPr>
          <w:rFonts w:hint="eastAsia" w:ascii="楷体" w:hAnsi="楷体" w:eastAsia="楷体" w:cs="楷体"/>
          <w:color w:val="auto"/>
          <w:sz w:val="21"/>
          <w:szCs w:val="21"/>
        </w:rPr>
        <w:t>案例 01　品牌打假</w:t>
      </w:r>
      <w:r>
        <w:rPr>
          <w:rFonts w:hint="eastAsia" w:ascii="楷体" w:hAnsi="楷体" w:eastAsia="楷体" w:cs="楷体"/>
          <w:color w:val="auto"/>
          <w:sz w:val="21"/>
          <w:szCs w:val="21"/>
          <w:lang w:val="en-US" w:eastAsia="zh-CN"/>
        </w:rPr>
        <w:t>智能体</w:t>
      </w:r>
      <w:r>
        <w:rPr>
          <w:rFonts w:hint="eastAsia" w:ascii="楷体" w:hAnsi="楷体" w:eastAsia="楷体" w:cs="楷体"/>
          <w:color w:val="auto"/>
          <w:sz w:val="21"/>
          <w:szCs w:val="21"/>
        </w:rPr>
        <w:t>——AI+自动化采集维权系统让电商平台品牌维权从“人海战术”到“智能闭环”</w:t>
      </w:r>
      <w:r>
        <w:rPr>
          <w:rFonts w:hint="eastAsia" w:ascii="楷体" w:hAnsi="楷体" w:eastAsia="楷体" w:cs="楷体"/>
          <w:sz w:val="21"/>
          <w:szCs w:val="21"/>
        </w:rPr>
        <w:tab/>
      </w:r>
      <w:r>
        <w:rPr>
          <w:rFonts w:hint="eastAsia" w:ascii="楷体" w:hAnsi="楷体" w:eastAsia="楷体" w:cs="楷体"/>
          <w:sz w:val="21"/>
          <w:szCs w:val="21"/>
        </w:rPr>
        <w:fldChar w:fldCharType="begin"/>
      </w:r>
      <w:r>
        <w:rPr>
          <w:rFonts w:hint="eastAsia" w:ascii="楷体" w:hAnsi="楷体" w:eastAsia="楷体" w:cs="楷体"/>
          <w:sz w:val="21"/>
          <w:szCs w:val="21"/>
        </w:rPr>
        <w:instrText xml:space="preserve"> PAGEREF _Toc11271 \h </w:instrText>
      </w:r>
      <w:r>
        <w:rPr>
          <w:rFonts w:hint="eastAsia" w:ascii="楷体" w:hAnsi="楷体" w:eastAsia="楷体" w:cs="楷体"/>
          <w:sz w:val="21"/>
          <w:szCs w:val="21"/>
        </w:rPr>
        <w:fldChar w:fldCharType="separate"/>
      </w:r>
      <w:r>
        <w:rPr>
          <w:rFonts w:hint="eastAsia" w:ascii="楷体" w:hAnsi="楷体" w:eastAsia="楷体" w:cs="楷体"/>
          <w:sz w:val="21"/>
          <w:szCs w:val="21"/>
        </w:rPr>
        <w:t>106</w:t>
      </w:r>
      <w:r>
        <w:rPr>
          <w:rFonts w:hint="eastAsia" w:ascii="楷体" w:hAnsi="楷体" w:eastAsia="楷体" w:cs="楷体"/>
          <w:sz w:val="21"/>
          <w:szCs w:val="21"/>
        </w:rPr>
        <w:fldChar w:fldCharType="end"/>
      </w:r>
    </w:p>
    <w:p w14:paraId="26395AD7">
      <w:pPr>
        <w:pStyle w:val="5"/>
        <w:tabs>
          <w:tab w:val="right" w:leader="dot" w:pos="8730"/>
        </w:tabs>
        <w:rPr>
          <w:rFonts w:hint="eastAsia" w:ascii="楷体" w:hAnsi="楷体" w:eastAsia="楷体" w:cs="楷体"/>
          <w:sz w:val="21"/>
          <w:szCs w:val="21"/>
        </w:rPr>
      </w:pPr>
      <w:r>
        <w:rPr>
          <w:rFonts w:hint="eastAsia" w:ascii="楷体" w:hAnsi="楷体" w:eastAsia="楷体" w:cs="楷体"/>
          <w:color w:val="auto"/>
          <w:sz w:val="21"/>
          <w:szCs w:val="21"/>
        </w:rPr>
        <w:t>案例 02　问小数盒子在法律数字员工与AI办公场景中的应用案例</w:t>
      </w:r>
      <w:r>
        <w:rPr>
          <w:rFonts w:hint="eastAsia" w:ascii="楷体" w:hAnsi="楷体" w:eastAsia="楷体" w:cs="楷体"/>
          <w:sz w:val="21"/>
          <w:szCs w:val="21"/>
        </w:rPr>
        <w:tab/>
      </w:r>
      <w:r>
        <w:rPr>
          <w:rFonts w:hint="eastAsia" w:ascii="楷体" w:hAnsi="楷体" w:eastAsia="楷体" w:cs="楷体"/>
          <w:sz w:val="21"/>
          <w:szCs w:val="21"/>
        </w:rPr>
        <w:fldChar w:fldCharType="begin"/>
      </w:r>
      <w:r>
        <w:rPr>
          <w:rFonts w:hint="eastAsia" w:ascii="楷体" w:hAnsi="楷体" w:eastAsia="楷体" w:cs="楷体"/>
          <w:sz w:val="21"/>
          <w:szCs w:val="21"/>
        </w:rPr>
        <w:instrText xml:space="preserve"> PAGEREF _Toc9225 \h </w:instrText>
      </w:r>
      <w:r>
        <w:rPr>
          <w:rFonts w:hint="eastAsia" w:ascii="楷体" w:hAnsi="楷体" w:eastAsia="楷体" w:cs="楷体"/>
          <w:sz w:val="21"/>
          <w:szCs w:val="21"/>
        </w:rPr>
        <w:fldChar w:fldCharType="separate"/>
      </w:r>
      <w:r>
        <w:rPr>
          <w:rFonts w:hint="eastAsia" w:ascii="楷体" w:hAnsi="楷体" w:eastAsia="楷体" w:cs="楷体"/>
          <w:sz w:val="21"/>
          <w:szCs w:val="21"/>
        </w:rPr>
        <w:t>110</w:t>
      </w:r>
      <w:r>
        <w:rPr>
          <w:rFonts w:hint="eastAsia" w:ascii="楷体" w:hAnsi="楷体" w:eastAsia="楷体" w:cs="楷体"/>
          <w:sz w:val="21"/>
          <w:szCs w:val="21"/>
        </w:rPr>
        <w:fldChar w:fldCharType="end"/>
      </w:r>
    </w:p>
    <w:p w14:paraId="3FECEFC7">
      <w:pPr>
        <w:pStyle w:val="5"/>
        <w:tabs>
          <w:tab w:val="right" w:leader="dot" w:pos="8730"/>
        </w:tabs>
        <w:rPr>
          <w:rFonts w:hint="eastAsia" w:ascii="楷体" w:hAnsi="楷体" w:eastAsia="楷体" w:cs="楷体"/>
          <w:sz w:val="21"/>
          <w:szCs w:val="21"/>
        </w:rPr>
      </w:pPr>
      <w:r>
        <w:rPr>
          <w:rFonts w:hint="eastAsia" w:ascii="楷体" w:hAnsi="楷体" w:eastAsia="楷体" w:cs="楷体"/>
          <w:color w:val="auto"/>
          <w:sz w:val="21"/>
          <w:szCs w:val="21"/>
        </w:rPr>
        <w:t>案例 03　安保云-视频监控云平台AI算法服务</w:t>
      </w:r>
      <w:r>
        <w:rPr>
          <w:rFonts w:hint="eastAsia" w:ascii="楷体" w:hAnsi="楷体" w:eastAsia="楷体" w:cs="楷体"/>
          <w:sz w:val="21"/>
          <w:szCs w:val="21"/>
        </w:rPr>
        <w:tab/>
      </w:r>
      <w:r>
        <w:rPr>
          <w:rFonts w:hint="eastAsia" w:ascii="楷体" w:hAnsi="楷体" w:eastAsia="楷体" w:cs="楷体"/>
          <w:sz w:val="21"/>
          <w:szCs w:val="21"/>
        </w:rPr>
        <w:fldChar w:fldCharType="begin"/>
      </w:r>
      <w:r>
        <w:rPr>
          <w:rFonts w:hint="eastAsia" w:ascii="楷体" w:hAnsi="楷体" w:eastAsia="楷体" w:cs="楷体"/>
          <w:sz w:val="21"/>
          <w:szCs w:val="21"/>
        </w:rPr>
        <w:instrText xml:space="preserve"> PAGEREF _Toc9494 \h </w:instrText>
      </w:r>
      <w:r>
        <w:rPr>
          <w:rFonts w:hint="eastAsia" w:ascii="楷体" w:hAnsi="楷体" w:eastAsia="楷体" w:cs="楷体"/>
          <w:sz w:val="21"/>
          <w:szCs w:val="21"/>
        </w:rPr>
        <w:fldChar w:fldCharType="separate"/>
      </w:r>
      <w:r>
        <w:rPr>
          <w:rFonts w:hint="eastAsia" w:ascii="楷体" w:hAnsi="楷体" w:eastAsia="楷体" w:cs="楷体"/>
          <w:sz w:val="21"/>
          <w:szCs w:val="21"/>
        </w:rPr>
        <w:t>113</w:t>
      </w:r>
      <w:r>
        <w:rPr>
          <w:rFonts w:hint="eastAsia" w:ascii="楷体" w:hAnsi="楷体" w:eastAsia="楷体" w:cs="楷体"/>
          <w:sz w:val="21"/>
          <w:szCs w:val="21"/>
        </w:rPr>
        <w:fldChar w:fldCharType="end"/>
      </w:r>
    </w:p>
    <w:p w14:paraId="5ED2C252">
      <w:pPr>
        <w:pStyle w:val="5"/>
        <w:tabs>
          <w:tab w:val="right" w:leader="dot" w:pos="8730"/>
        </w:tabs>
        <w:rPr>
          <w:rFonts w:hint="eastAsia" w:ascii="楷体" w:hAnsi="楷体" w:eastAsia="楷体" w:cs="楷体"/>
          <w:sz w:val="21"/>
          <w:szCs w:val="21"/>
        </w:rPr>
      </w:pPr>
      <w:r>
        <w:rPr>
          <w:rFonts w:hint="eastAsia" w:ascii="楷体" w:hAnsi="楷体" w:eastAsia="楷体" w:cs="楷体"/>
          <w:color w:val="auto"/>
          <w:sz w:val="21"/>
          <w:szCs w:val="21"/>
        </w:rPr>
        <w:t>案例 04　基于AI视觉的卸猪通道自动计数与数据采集平台</w:t>
      </w:r>
      <w:r>
        <w:rPr>
          <w:rFonts w:hint="eastAsia" w:ascii="楷体" w:hAnsi="楷体" w:eastAsia="楷体" w:cs="楷体"/>
          <w:sz w:val="21"/>
          <w:szCs w:val="21"/>
        </w:rPr>
        <w:tab/>
      </w:r>
      <w:r>
        <w:rPr>
          <w:rFonts w:hint="eastAsia" w:ascii="楷体" w:hAnsi="楷体" w:eastAsia="楷体" w:cs="楷体"/>
          <w:sz w:val="21"/>
          <w:szCs w:val="21"/>
        </w:rPr>
        <w:fldChar w:fldCharType="begin"/>
      </w:r>
      <w:r>
        <w:rPr>
          <w:rFonts w:hint="eastAsia" w:ascii="楷体" w:hAnsi="楷体" w:eastAsia="楷体" w:cs="楷体"/>
          <w:sz w:val="21"/>
          <w:szCs w:val="21"/>
        </w:rPr>
        <w:instrText xml:space="preserve"> PAGEREF _Toc9959 \h </w:instrText>
      </w:r>
      <w:r>
        <w:rPr>
          <w:rFonts w:hint="eastAsia" w:ascii="楷体" w:hAnsi="楷体" w:eastAsia="楷体" w:cs="楷体"/>
          <w:sz w:val="21"/>
          <w:szCs w:val="21"/>
        </w:rPr>
        <w:fldChar w:fldCharType="separate"/>
      </w:r>
      <w:r>
        <w:rPr>
          <w:rFonts w:hint="eastAsia" w:ascii="楷体" w:hAnsi="楷体" w:eastAsia="楷体" w:cs="楷体"/>
          <w:sz w:val="21"/>
          <w:szCs w:val="21"/>
        </w:rPr>
        <w:t>117</w:t>
      </w:r>
      <w:r>
        <w:rPr>
          <w:rFonts w:hint="eastAsia" w:ascii="楷体" w:hAnsi="楷体" w:eastAsia="楷体" w:cs="楷体"/>
          <w:sz w:val="21"/>
          <w:szCs w:val="21"/>
        </w:rPr>
        <w:fldChar w:fldCharType="end"/>
      </w:r>
    </w:p>
    <w:p w14:paraId="127B120C">
      <w:pPr>
        <w:pStyle w:val="5"/>
        <w:tabs>
          <w:tab w:val="right" w:leader="dot" w:pos="8730"/>
        </w:tabs>
      </w:pPr>
      <w:r>
        <w:rPr>
          <w:rFonts w:hint="eastAsia" w:ascii="楷体" w:hAnsi="楷体" w:eastAsia="楷体" w:cs="楷体"/>
          <w:color w:val="auto"/>
          <w:sz w:val="21"/>
          <w:szCs w:val="21"/>
        </w:rPr>
        <w:t>案例 05　AI赋能水产养殖智能管理系统</w:t>
      </w:r>
      <w:r>
        <w:rPr>
          <w:rFonts w:hint="eastAsia" w:ascii="楷体" w:hAnsi="楷体" w:eastAsia="楷体" w:cs="楷体"/>
          <w:sz w:val="21"/>
          <w:szCs w:val="21"/>
        </w:rPr>
        <w:tab/>
      </w:r>
      <w:r>
        <w:rPr>
          <w:rFonts w:hint="eastAsia" w:ascii="楷体" w:hAnsi="楷体" w:eastAsia="楷体" w:cs="楷体"/>
          <w:sz w:val="21"/>
          <w:szCs w:val="21"/>
        </w:rPr>
        <w:fldChar w:fldCharType="begin"/>
      </w:r>
      <w:r>
        <w:rPr>
          <w:rFonts w:hint="eastAsia" w:ascii="楷体" w:hAnsi="楷体" w:eastAsia="楷体" w:cs="楷体"/>
          <w:sz w:val="21"/>
          <w:szCs w:val="21"/>
        </w:rPr>
        <w:instrText xml:space="preserve"> PAGEREF _Toc4600 \h </w:instrText>
      </w:r>
      <w:r>
        <w:rPr>
          <w:rFonts w:hint="eastAsia" w:ascii="楷体" w:hAnsi="楷体" w:eastAsia="楷体" w:cs="楷体"/>
          <w:sz w:val="21"/>
          <w:szCs w:val="21"/>
        </w:rPr>
        <w:fldChar w:fldCharType="separate"/>
      </w:r>
      <w:r>
        <w:rPr>
          <w:rFonts w:hint="eastAsia" w:ascii="楷体" w:hAnsi="楷体" w:eastAsia="楷体" w:cs="楷体"/>
          <w:sz w:val="21"/>
          <w:szCs w:val="21"/>
        </w:rPr>
        <w:t>120</w:t>
      </w:r>
      <w:r>
        <w:rPr>
          <w:rFonts w:hint="eastAsia" w:ascii="楷体" w:hAnsi="楷体" w:eastAsia="楷体" w:cs="楷体"/>
          <w:sz w:val="21"/>
          <w:szCs w:val="21"/>
        </w:rPr>
        <w:fldChar w:fldCharType="end"/>
      </w:r>
    </w:p>
    <w:p w14:paraId="2D64F559">
      <w:pPr>
        <w:pageBreakBefore/>
        <w:spacing w:after="280"/>
        <w:jc w:val="center"/>
        <w:rPr>
          <w:rFonts w:ascii="黑体" w:hAnsi="黑体" w:eastAsia="黑体"/>
          <w:b/>
          <w:color w:val="auto"/>
          <w:sz w:val="40"/>
        </w:rPr>
      </w:pPr>
      <w:r>
        <w:rPr>
          <w:rFonts w:ascii="黑体" w:hAnsi="黑体" w:eastAsia="黑体"/>
          <w:color w:val="auto"/>
        </w:rPr>
        <w:fldChar w:fldCharType="end"/>
      </w:r>
    </w:p>
    <w:p w14:paraId="6EE4C387">
      <w:pPr>
        <w:jc w:val="left"/>
        <w:rPr>
          <w:rFonts w:ascii="宋体" w:hAnsi="宋体" w:eastAsia="宋体"/>
          <w:color w:val="auto"/>
          <w:sz w:val="36"/>
        </w:rPr>
      </w:pPr>
      <w:r>
        <w:rPr>
          <w:rFonts w:ascii="宋体" w:hAnsi="宋体" w:eastAsia="宋体"/>
          <w:color w:val="auto"/>
          <w:sz w:val="36"/>
        </w:rPr>
        <w:t xml:space="preserve"> </w:t>
      </w:r>
    </w:p>
    <w:p w14:paraId="0E20739D">
      <w:pPr>
        <w:jc w:val="left"/>
        <w:rPr>
          <w:rFonts w:ascii="宋体" w:hAnsi="宋体" w:eastAsia="宋体"/>
          <w:color w:val="auto"/>
          <w:sz w:val="36"/>
        </w:rPr>
      </w:pPr>
      <w:r>
        <w:rPr>
          <w:rFonts w:ascii="宋体" w:hAnsi="宋体" w:eastAsia="宋体"/>
          <w:color w:val="auto"/>
          <w:sz w:val="36"/>
        </w:rPr>
        <w:t xml:space="preserve"> </w:t>
      </w:r>
    </w:p>
    <w:p w14:paraId="64AA7F6F">
      <w:pPr>
        <w:jc w:val="left"/>
        <w:rPr>
          <w:rFonts w:ascii="宋体" w:hAnsi="宋体" w:eastAsia="宋体"/>
          <w:color w:val="auto"/>
          <w:sz w:val="36"/>
        </w:rPr>
      </w:pPr>
      <w:r>
        <w:rPr>
          <w:rFonts w:ascii="宋体" w:hAnsi="宋体" w:eastAsia="宋体"/>
          <w:color w:val="auto"/>
          <w:sz w:val="36"/>
        </w:rPr>
        <w:t xml:space="preserve"> </w:t>
      </w:r>
    </w:p>
    <w:p w14:paraId="3BD7DFD4">
      <w:pPr>
        <w:jc w:val="left"/>
        <w:rPr>
          <w:rFonts w:ascii="宋体" w:hAnsi="宋体" w:eastAsia="宋体"/>
          <w:color w:val="auto"/>
          <w:sz w:val="36"/>
        </w:rPr>
      </w:pPr>
      <w:r>
        <w:rPr>
          <w:rFonts w:ascii="宋体" w:hAnsi="宋体" w:eastAsia="宋体"/>
          <w:color w:val="auto"/>
          <w:sz w:val="36"/>
        </w:rPr>
        <w:t xml:space="preserve"> </w:t>
      </w:r>
    </w:p>
    <w:p w14:paraId="03E0569B">
      <w:pPr>
        <w:jc w:val="left"/>
        <w:rPr>
          <w:rFonts w:ascii="宋体" w:hAnsi="宋体" w:eastAsia="宋体"/>
          <w:color w:val="auto"/>
          <w:sz w:val="36"/>
        </w:rPr>
      </w:pPr>
      <w:r>
        <w:rPr>
          <w:rFonts w:ascii="宋体" w:hAnsi="宋体" w:eastAsia="宋体"/>
          <w:color w:val="auto"/>
          <w:sz w:val="36"/>
        </w:rPr>
        <w:t xml:space="preserve"> </w:t>
      </w:r>
    </w:p>
    <w:p w14:paraId="3F950CC9">
      <w:pPr>
        <w:jc w:val="left"/>
        <w:rPr>
          <w:rFonts w:ascii="宋体" w:hAnsi="宋体" w:eastAsia="宋体"/>
          <w:color w:val="auto"/>
          <w:sz w:val="36"/>
        </w:rPr>
      </w:pPr>
      <w:r>
        <w:rPr>
          <w:rFonts w:ascii="宋体" w:hAnsi="宋体" w:eastAsia="宋体"/>
          <w:color w:val="auto"/>
          <w:sz w:val="36"/>
        </w:rPr>
        <w:t xml:space="preserve"> </w:t>
      </w:r>
    </w:p>
    <w:p w14:paraId="4863588C">
      <w:pPr>
        <w:jc w:val="left"/>
        <w:rPr>
          <w:rFonts w:ascii="宋体" w:hAnsi="宋体" w:eastAsia="宋体"/>
          <w:color w:val="auto"/>
          <w:sz w:val="36"/>
        </w:rPr>
      </w:pPr>
      <w:r>
        <w:rPr>
          <w:rFonts w:ascii="宋体" w:hAnsi="宋体" w:eastAsia="宋体"/>
          <w:color w:val="auto"/>
          <w:sz w:val="36"/>
        </w:rPr>
        <w:t xml:space="preserve"> </w:t>
      </w:r>
    </w:p>
    <w:p w14:paraId="3BC1FB82">
      <w:pPr>
        <w:jc w:val="left"/>
        <w:rPr>
          <w:rFonts w:ascii="宋体" w:hAnsi="宋体" w:eastAsia="宋体"/>
          <w:color w:val="auto"/>
          <w:sz w:val="36"/>
        </w:rPr>
      </w:pPr>
      <w:r>
        <w:rPr>
          <w:rFonts w:ascii="宋体" w:hAnsi="宋体" w:eastAsia="宋体"/>
          <w:color w:val="auto"/>
          <w:sz w:val="36"/>
        </w:rPr>
        <w:t xml:space="preserve"> </w:t>
      </w:r>
    </w:p>
    <w:p w14:paraId="570B6A58">
      <w:pPr>
        <w:jc w:val="left"/>
        <w:rPr>
          <w:rFonts w:ascii="宋体" w:hAnsi="宋体" w:eastAsia="宋体"/>
          <w:color w:val="auto"/>
          <w:sz w:val="36"/>
        </w:rPr>
      </w:pPr>
      <w:r>
        <w:rPr>
          <w:rFonts w:ascii="宋体" w:hAnsi="宋体" w:eastAsia="宋体"/>
          <w:color w:val="auto"/>
          <w:sz w:val="36"/>
        </w:rPr>
        <w:t xml:space="preserve"> </w:t>
      </w:r>
    </w:p>
    <w:p w14:paraId="16966B7B">
      <w:pPr>
        <w:pStyle w:val="10"/>
        <w:rPr>
          <w:color w:val="auto"/>
        </w:rPr>
      </w:pPr>
      <w:bookmarkStart w:id="0" w:name="_Toc21827"/>
      <w:r>
        <w:rPr>
          <w:color w:val="auto"/>
        </w:rPr>
        <w:t>一、智能制造领域</w:t>
      </w:r>
      <w:bookmarkEnd w:id="0"/>
    </w:p>
    <w:p w14:paraId="18AD928E">
      <w:pPr>
        <w:spacing w:after="360"/>
        <w:jc w:val="center"/>
        <w:rPr>
          <w:rFonts w:ascii="楷体" w:hAnsi="楷体" w:eastAsia="楷体"/>
          <w:color w:val="auto"/>
          <w:sz w:val="24"/>
        </w:rPr>
      </w:pPr>
    </w:p>
    <w:p w14:paraId="1D00B745">
      <w:pPr>
        <w:spacing w:after="360"/>
        <w:jc w:val="center"/>
        <w:rPr>
          <w:rFonts w:ascii="楷体" w:hAnsi="楷体" w:eastAsia="楷体"/>
          <w:color w:val="auto"/>
          <w:sz w:val="24"/>
        </w:rPr>
      </w:pPr>
    </w:p>
    <w:p w14:paraId="0100227A">
      <w:pPr>
        <w:pStyle w:val="12"/>
        <w:pageBreakBefore/>
        <w:rPr>
          <w:color w:val="auto"/>
        </w:rPr>
      </w:pPr>
      <w:bookmarkStart w:id="1" w:name="_Toc17703"/>
      <w:r>
        <w:rPr>
          <w:color w:val="auto"/>
        </w:rPr>
        <w:t>案例 01　奥马冰箱全链AI智能体赋能应用</w:t>
      </w:r>
      <w:bookmarkEnd w:id="1"/>
    </w:p>
    <w:p w14:paraId="6C1DCEF2">
      <w:pPr>
        <w:spacing w:after="40"/>
        <w:jc w:val="left"/>
        <w:rPr>
          <w:rFonts w:ascii="楷体" w:hAnsi="楷体" w:eastAsia="楷体"/>
          <w:color w:val="auto"/>
          <w:sz w:val="22"/>
        </w:rPr>
      </w:pPr>
      <w:r>
        <w:rPr>
          <w:rFonts w:ascii="楷体" w:hAnsi="楷体" w:eastAsia="楷体"/>
          <w:color w:val="auto"/>
          <w:sz w:val="22"/>
        </w:rPr>
        <w:t>申报单位：广东奥马冰箱有限公司</w:t>
      </w:r>
    </w:p>
    <w:p w14:paraId="2A8ABF52">
      <w:pPr>
        <w:snapToGrid w:val="0"/>
        <w:spacing w:line="560" w:lineRule="exact"/>
        <w:rPr>
          <w:rFonts w:hint="eastAsia" w:ascii="仿宋_GB2312" w:hAnsi="仿宋_GB2312" w:eastAsia="仿宋_GB2312" w:cs="仿宋_GB2312"/>
          <w:color w:val="auto"/>
          <w:sz w:val="32"/>
          <w:szCs w:val="32"/>
          <w:shd w:val="clear" w:color="auto" w:fill="FFFFFF"/>
        </w:rPr>
      </w:pPr>
    </w:p>
    <w:p w14:paraId="4DC495AD">
      <w:pPr>
        <w:snapToGrid w:val="0"/>
        <w:spacing w:line="560" w:lineRule="exact"/>
        <w:ind w:firstLine="640"/>
        <w:rPr>
          <w:rFonts w:hint="eastAsia" w:ascii="黑体" w:hAnsi="黑体" w:eastAsia="黑体" w:cs="黑体"/>
          <w:color w:val="auto"/>
          <w:sz w:val="32"/>
          <w:szCs w:val="32"/>
          <w:shd w:val="clear" w:color="auto" w:fill="FFFFFF"/>
        </w:rPr>
      </w:pPr>
      <w:r>
        <w:rPr>
          <w:rFonts w:hint="eastAsia" w:ascii="黑体" w:hAnsi="黑体" w:eastAsia="黑体" w:cs="黑体"/>
          <w:color w:val="auto"/>
          <w:sz w:val="32"/>
          <w:szCs w:val="32"/>
          <w:shd w:val="clear" w:color="auto" w:fill="FFFFFF"/>
        </w:rPr>
        <w:t>一、案例基本情况</w:t>
      </w:r>
    </w:p>
    <w:p w14:paraId="324166D9">
      <w:pPr>
        <w:snapToGrid w:val="0"/>
        <w:spacing w:line="560" w:lineRule="exact"/>
        <w:ind w:firstLine="640"/>
        <w:rPr>
          <w:rFonts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（一）案例名称：奥马冰箱全链AI智能体赋能应用。</w:t>
      </w:r>
    </w:p>
    <w:p w14:paraId="1532180F">
      <w:pPr>
        <w:snapToGrid w:val="0"/>
        <w:spacing w:line="560" w:lineRule="exact"/>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（二）人工智能技术应用方：广东奥马冰箱有限公司</w:t>
      </w:r>
    </w:p>
    <w:p w14:paraId="34E5B213">
      <w:pPr>
        <w:snapToGrid w:val="0"/>
        <w:spacing w:line="560" w:lineRule="exact"/>
        <w:ind w:firstLine="640"/>
        <w:rPr>
          <w:rFonts w:hint="eastAsia" w:ascii="仿宋_GB2312" w:hAnsi="仿宋_GB2312" w:eastAsia="仿宋_GB2312" w:cs="仿宋_GB2312"/>
          <w:b w:val="0"/>
          <w:bCs w:val="0"/>
          <w:color w:val="auto"/>
          <w:sz w:val="32"/>
          <w:szCs w:val="32"/>
          <w:shd w:val="clear" w:color="auto" w:fill="FFFFFF"/>
        </w:rPr>
      </w:pPr>
      <w:r>
        <w:rPr>
          <w:rFonts w:hint="eastAsia" w:ascii="仿宋_GB2312" w:hAnsi="仿宋_GB2312" w:eastAsia="仿宋_GB2312" w:cs="仿宋_GB2312"/>
          <w:b w:val="0"/>
          <w:bCs w:val="0"/>
          <w:color w:val="auto"/>
          <w:sz w:val="32"/>
          <w:szCs w:val="32"/>
          <w:shd w:val="clear" w:color="auto" w:fill="FFFFFF"/>
        </w:rPr>
        <w:t>应用企业简介：奥马冰箱成立于2015年，注册资金1.68亿元，员工6686人，拥有9大制造基地+1配套配件厂，冰箱冷柜年综合产能1550万台，是国内冰箱出口龙头、全球ODM+OBM一体化制冷设备制造商，产品销往130余个国家，累计服务1.3亿户家庭。2023</w:t>
      </w:r>
      <w:r>
        <w:rPr>
          <w:rFonts w:hint="eastAsia" w:ascii="仿宋_GB2312" w:hAnsi="仿宋_GB2312" w:eastAsia="仿宋_GB2312" w:cs="仿宋_GB2312"/>
          <w:b w:val="0"/>
          <w:bCs w:val="0"/>
          <w:color w:val="auto"/>
          <w:sz w:val="32"/>
          <w:szCs w:val="32"/>
          <w:shd w:val="clear" w:color="auto" w:fill="FFFFFF"/>
          <w:lang w:eastAsia="zh-CN"/>
        </w:rPr>
        <w:t>—</w:t>
      </w:r>
      <w:r>
        <w:rPr>
          <w:rFonts w:hint="eastAsia" w:ascii="仿宋_GB2312" w:hAnsi="仿宋_GB2312" w:eastAsia="仿宋_GB2312" w:cs="仿宋_GB2312"/>
          <w:b w:val="0"/>
          <w:bCs w:val="0"/>
          <w:color w:val="auto"/>
          <w:sz w:val="32"/>
          <w:szCs w:val="32"/>
          <w:shd w:val="clear" w:color="auto" w:fill="FFFFFF"/>
        </w:rPr>
        <w:t>2025年营收年均增速12.57%，连续17年国内冰箱出口第一、18年出口欧洲第一，拥有国家级先进智能工厂、国家级工业设计中心等多项资质，研发团队1080人，建有完整软硬件研发检测平台，累计授权专利345项。</w:t>
      </w:r>
    </w:p>
    <w:p w14:paraId="2C96E2DA">
      <w:pPr>
        <w:snapToGrid w:val="0"/>
        <w:spacing w:line="560" w:lineRule="exact"/>
        <w:ind w:firstLine="640"/>
        <w:rPr>
          <w:rFonts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（三）人工智能技术供给方：企业自研</w:t>
      </w:r>
    </w:p>
    <w:p w14:paraId="4013E0F0">
      <w:pPr>
        <w:snapToGrid w:val="0"/>
        <w:spacing w:line="560" w:lineRule="exact"/>
        <w:rPr>
          <w:rFonts w:hint="eastAsia" w:ascii="黑体" w:hAnsi="黑体" w:eastAsia="黑体" w:cs="黑体"/>
          <w:color w:val="auto"/>
          <w:sz w:val="32"/>
          <w:szCs w:val="32"/>
          <w:shd w:val="clear" w:color="auto" w:fill="FFFFFF"/>
        </w:rPr>
      </w:pPr>
    </w:p>
    <w:p w14:paraId="4876FBDB">
      <w:pPr>
        <w:snapToGrid w:val="0"/>
        <w:spacing w:line="560" w:lineRule="exact"/>
        <w:ind w:firstLine="640"/>
        <w:rPr>
          <w:rFonts w:hint="eastAsia" w:ascii="黑体" w:hAnsi="黑体" w:eastAsia="黑体" w:cs="黑体"/>
          <w:color w:val="auto"/>
          <w:sz w:val="32"/>
          <w:szCs w:val="32"/>
          <w:shd w:val="clear" w:color="auto" w:fill="FFFFFF"/>
        </w:rPr>
      </w:pPr>
      <w:r>
        <w:rPr>
          <w:rFonts w:hint="eastAsia" w:ascii="黑体" w:hAnsi="黑体" w:eastAsia="黑体" w:cs="黑体"/>
          <w:color w:val="auto"/>
          <w:sz w:val="32"/>
          <w:szCs w:val="32"/>
          <w:shd w:val="clear" w:color="auto" w:fill="FFFFFF"/>
        </w:rPr>
        <w:t>二、案例内容介绍</w:t>
      </w:r>
    </w:p>
    <w:p w14:paraId="2D126916">
      <w:pPr>
        <w:snapToGrid w:val="0"/>
        <w:spacing w:line="560" w:lineRule="exact"/>
        <w:ind w:firstLine="640"/>
        <w:rPr>
          <w:rFonts w:hint="eastAsia" w:ascii="楷体_GB2312" w:hAnsi="楷体_GB2312" w:eastAsia="楷体_GB2312" w:cs="楷体_GB2312"/>
          <w:color w:val="auto"/>
          <w:sz w:val="32"/>
          <w:szCs w:val="32"/>
          <w:shd w:val="clear" w:color="auto" w:fill="FFFFFF"/>
        </w:rPr>
      </w:pPr>
      <w:r>
        <w:rPr>
          <w:rFonts w:hint="eastAsia" w:ascii="楷体_GB2312" w:hAnsi="楷体_GB2312" w:eastAsia="楷体_GB2312" w:cs="楷体_GB2312"/>
          <w:color w:val="auto"/>
          <w:sz w:val="32"/>
          <w:szCs w:val="32"/>
          <w:shd w:val="clear" w:color="auto" w:fill="FFFFFF"/>
        </w:rPr>
        <w:t>（一）包括案例背景、采用的人工智能关键技术、所实现的功能和亮点优势</w:t>
      </w:r>
    </w:p>
    <w:p w14:paraId="2D7E3F7B">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为推动数字化转型向智能化深度升级，助力“高端产品、高端制造”战略落地，奥马冰箱以Dify开源LLM应用平台为核心技术基座，自研AI智能体作为核心业务执行单元，系统性地推进AI技术在生产、智慧园区管控等场景落地。通过搭建AI产线实现智能化生产规模化复制，落地AI智能园区完成物理空间与数字空间的双重智能化，最终将AI能力沉淀为企业AI中台，形成“能力构建→生产应用→场景落地→中枢沉淀”的完整闭环，为企业高端智造提供强劲的AI支撑。</w:t>
      </w:r>
    </w:p>
    <w:p w14:paraId="79918AFE">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在此基础上，重点推进AI产线、AI智能园区及AI安全检测三大核心场景落地，构建全方位AI赋能体系</w:t>
      </w:r>
      <w:r>
        <w:rPr>
          <w:rFonts w:hint="eastAsia" w:ascii="仿宋_GB2312" w:hAnsi="仿宋_GB2312" w:eastAsia="仿宋_GB2312"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rPr>
        <w:t>AI产线聚焦生产制造环节，实现品质检测的智能化升级；AI智能园区则覆盖标杆工厂全场景，实现园区管控的数字化、智能化；AI安全检测作为核心支撑，深度融入产线与园区场景，依托Dify开源LLM应用平台的技术能力，结合自研AI智能体，实现生产设备安全、园区安防、产品质量安全等多维度检测。通过AI视觉识别、数据实时分析，精准排查生产设备运行隐患、园区安全风险及产品质量缺陷，提前预警、快速处置，既保障生产安全与产品品质，又减少人工巡检成本。三大场景协同发力，推动生产效率、产品品质与园区运营效能的同步提升，同时为AI能力沉淀至企业中台奠定基础，形成可循环、可迭代的AI赋能体系，助力奥马冰箱从数字化向智能化跨越。</w:t>
      </w:r>
    </w:p>
    <w:p w14:paraId="5DDB00D1">
      <w:pPr>
        <w:snapToGrid w:val="0"/>
        <w:spacing w:line="560" w:lineRule="exact"/>
        <w:ind w:firstLine="640"/>
        <w:rPr>
          <w:rFonts w:hint="eastAsia" w:ascii="楷体_GB2312" w:hAnsi="楷体_GB2312" w:eastAsia="楷体_GB2312" w:cs="楷体_GB2312"/>
          <w:color w:val="auto"/>
          <w:sz w:val="32"/>
          <w:szCs w:val="32"/>
          <w:shd w:val="clear" w:color="auto" w:fill="FFFFFF"/>
        </w:rPr>
      </w:pPr>
      <w:r>
        <w:rPr>
          <w:rFonts w:hint="eastAsia" w:ascii="楷体_GB2312" w:hAnsi="楷体_GB2312" w:eastAsia="楷体_GB2312" w:cs="楷体_GB2312"/>
          <w:color w:val="auto"/>
          <w:sz w:val="32"/>
          <w:szCs w:val="32"/>
          <w:shd w:val="clear" w:color="auto" w:fill="FFFFFF"/>
        </w:rPr>
        <w:t>（二）具体应用成效。</w:t>
      </w:r>
    </w:p>
    <w:p w14:paraId="25F01D89">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AI产线已部署AI品质检测点14个，实现生产品质检测环节智能化、精准化，大幅提升检测效率与产品品质；AI园区已完成AI训练超50个，其中核心聚焦AI安全检测相关训练，全面实现生产安全、消防安全及人员行为检查等安全场景的智能化管控，同步达成物理空间与数字空间的双重智能化，既筑牢生产安全防线，又显著提升园区运营效能。</w:t>
      </w:r>
    </w:p>
    <w:p w14:paraId="6791751E">
      <w:pPr>
        <w:snapToGrid w:val="0"/>
        <w:spacing w:line="560" w:lineRule="exact"/>
        <w:ind w:firstLine="640"/>
        <w:rPr>
          <w:rFonts w:hint="eastAsia" w:ascii="黑体" w:hAnsi="黑体" w:eastAsia="黑体" w:cs="黑体"/>
          <w:color w:val="auto"/>
          <w:sz w:val="32"/>
          <w:szCs w:val="32"/>
          <w:shd w:val="clear" w:color="auto" w:fill="FFFFFF"/>
        </w:rPr>
      </w:pPr>
      <w:r>
        <w:rPr>
          <w:rFonts w:hint="eastAsia" w:ascii="黑体" w:hAnsi="黑体" w:eastAsia="黑体" w:cs="黑体"/>
          <w:color w:val="auto"/>
          <w:sz w:val="32"/>
          <w:szCs w:val="32"/>
          <w:shd w:val="clear" w:color="auto" w:fill="FFFFFF"/>
        </w:rPr>
        <w:t>三、案例所获得荣誉、复制推广情况等</w:t>
      </w:r>
    </w:p>
    <w:p w14:paraId="31FF8D29">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pict>
          <v:shape id="_x0000_s1026" o:spid="_x0000_s1026" o:spt="75" alt="奥马冰箱" type="#_x0000_t75" style="position:absolute;left:0pt;margin-left:33.05pt;margin-top:169pt;height:283.1pt;width:336.7pt;mso-wrap-distance-left:9pt;mso-wrap-distance-right:9pt;z-index:-251657216;mso-width-relative:page;mso-height-relative:page;" filled="f" o:preferrelative="t" stroked="f" coordsize="21600,21600" wrapcoords="21592 -2 0 0 0 21600 21592 21602 8 21602 21600 21600 21600 0 8 -2 21592 -2">
            <v:path/>
            <v:fill on="f" focussize="0,0"/>
            <v:stroke on="f" joinstyle="miter"/>
            <v:imagedata r:id="rId10" o:title="奥马冰箱"/>
            <o:lock v:ext="edit" aspectratio="t"/>
            <w10:wrap type="through"/>
          </v:shape>
        </w:pict>
      </w:r>
      <w:r>
        <w:rPr>
          <w:rFonts w:hint="eastAsia" w:ascii="仿宋_GB2312" w:hAnsi="仿宋_GB2312" w:eastAsia="仿宋_GB2312" w:cs="仿宋_GB2312"/>
          <w:color w:val="auto"/>
          <w:sz w:val="32"/>
          <w:szCs w:val="32"/>
          <w:shd w:val="clear" w:color="auto" w:fill="FFFFFF"/>
        </w:rPr>
        <w:t>公司自研企业级AI智能体平台，构建25类工业AI模型、8大行业知识库，形成13个标准化AI工业场景，累计节约各类运营成本3254万元；形成机器视觉、工业大模型编排、离散制造数据治理等多项自研AI核心技术，参与6项智能家电AI相关国标/团体标准，相关AI发明专利2项、软件著</w:t>
      </w:r>
      <w:r>
        <w:rPr>
          <w:rFonts w:hint="eastAsia" w:ascii="仿宋_GB2312" w:hAnsi="仿宋_GB2312" w:eastAsia="仿宋_GB2312" w:cs="仿宋_GB2312"/>
          <w:color w:val="auto"/>
          <w:sz w:val="32"/>
          <w:szCs w:val="32"/>
          <w:shd w:val="clear" w:color="auto" w:fill="FFFFFF"/>
          <w:lang w:eastAsia="zh-CN"/>
        </w:rPr>
        <w:t>作权</w:t>
      </w:r>
      <w:r>
        <w:rPr>
          <w:rFonts w:hint="eastAsia" w:ascii="仿宋_GB2312" w:hAnsi="仿宋_GB2312" w:eastAsia="仿宋_GB2312" w:cs="仿宋_GB2312"/>
          <w:color w:val="auto"/>
          <w:sz w:val="32"/>
          <w:szCs w:val="32"/>
          <w:shd w:val="clear" w:color="auto" w:fill="FFFFFF"/>
        </w:rPr>
        <w:t>9项，成果可向家电制造、海外生产基地批量复制。</w:t>
      </w:r>
    </w:p>
    <w:p w14:paraId="004F8051">
      <w:pPr>
        <w:snapToGrid w:val="0"/>
        <w:spacing w:line="560" w:lineRule="exact"/>
        <w:ind w:firstLine="640"/>
        <w:rPr>
          <w:rFonts w:hint="eastAsia" w:ascii="仿宋_GB2312" w:hAnsi="仿宋_GB2312" w:eastAsia="仿宋_GB2312" w:cs="仿宋_GB2312"/>
          <w:color w:val="auto"/>
          <w:sz w:val="32"/>
          <w:szCs w:val="32"/>
          <w:shd w:val="clear" w:color="auto" w:fill="FFFFFF"/>
        </w:rPr>
      </w:pPr>
    </w:p>
    <w:p w14:paraId="02E83865">
      <w:pPr>
        <w:snapToGrid w:val="0"/>
        <w:spacing w:line="560" w:lineRule="exact"/>
        <w:ind w:firstLine="640"/>
        <w:rPr>
          <w:rFonts w:hint="eastAsia" w:ascii="仿宋_GB2312" w:hAnsi="仿宋_GB2312" w:eastAsia="仿宋_GB2312" w:cs="仿宋_GB2312"/>
          <w:color w:val="auto"/>
          <w:sz w:val="32"/>
          <w:szCs w:val="32"/>
          <w:shd w:val="clear" w:color="auto" w:fill="FFFFFF"/>
        </w:rPr>
      </w:pPr>
    </w:p>
    <w:p w14:paraId="657F3A57">
      <w:pPr>
        <w:spacing w:after="40"/>
        <w:jc w:val="left"/>
        <w:rPr>
          <w:rFonts w:ascii="楷体" w:hAnsi="楷体" w:eastAsia="楷体"/>
          <w:color w:val="auto"/>
          <w:sz w:val="22"/>
        </w:rPr>
      </w:pPr>
    </w:p>
    <w:p w14:paraId="498F5002">
      <w:pPr>
        <w:pStyle w:val="12"/>
        <w:pageBreakBefore/>
        <w:rPr>
          <w:color w:val="auto"/>
        </w:rPr>
      </w:pPr>
      <w:bookmarkStart w:id="2" w:name="_Toc21142"/>
      <w:r>
        <w:rPr>
          <w:color w:val="auto"/>
        </w:rPr>
        <w:t>案例 02　AI赋能调味品智能制造应用</w:t>
      </w:r>
      <w:bookmarkEnd w:id="2"/>
    </w:p>
    <w:p w14:paraId="4D4F58DA">
      <w:pPr>
        <w:spacing w:after="40"/>
        <w:jc w:val="left"/>
        <w:rPr>
          <w:rFonts w:ascii="楷体" w:hAnsi="楷体" w:eastAsia="楷体"/>
          <w:color w:val="auto"/>
          <w:sz w:val="22"/>
        </w:rPr>
      </w:pPr>
      <w:r>
        <w:rPr>
          <w:rFonts w:ascii="楷体" w:hAnsi="楷体" w:eastAsia="楷体"/>
          <w:color w:val="auto"/>
          <w:sz w:val="22"/>
        </w:rPr>
        <w:t>申报单位：广东美味鲜调味食品有限公司</w:t>
      </w:r>
    </w:p>
    <w:p w14:paraId="0689077F">
      <w:pPr>
        <w:snapToGrid w:val="0"/>
        <w:spacing w:line="560" w:lineRule="exact"/>
        <w:rPr>
          <w:rFonts w:hint="eastAsia" w:ascii="仿宋_GB2312" w:hAnsi="仿宋_GB2312" w:eastAsia="仿宋_GB2312" w:cs="仿宋_GB2312"/>
          <w:color w:val="auto"/>
          <w:sz w:val="32"/>
          <w:szCs w:val="32"/>
          <w:shd w:val="clear" w:color="auto" w:fill="FFFFFF"/>
        </w:rPr>
      </w:pPr>
    </w:p>
    <w:p w14:paraId="58915F80">
      <w:pPr>
        <w:snapToGrid w:val="0"/>
        <w:spacing w:line="560" w:lineRule="exact"/>
        <w:ind w:firstLine="640"/>
        <w:rPr>
          <w:rFonts w:hint="eastAsia" w:ascii="黑体" w:hAnsi="黑体" w:eastAsia="黑体" w:cs="黑体"/>
          <w:color w:val="auto"/>
          <w:sz w:val="32"/>
          <w:szCs w:val="32"/>
          <w:shd w:val="clear" w:color="auto" w:fill="FFFFFF"/>
        </w:rPr>
      </w:pPr>
      <w:r>
        <w:rPr>
          <w:rFonts w:hint="eastAsia" w:ascii="黑体" w:hAnsi="黑体" w:eastAsia="黑体" w:cs="黑体"/>
          <w:color w:val="auto"/>
          <w:sz w:val="32"/>
          <w:szCs w:val="32"/>
          <w:shd w:val="clear" w:color="auto" w:fill="FFFFFF"/>
        </w:rPr>
        <w:t>一、案例基本情况</w:t>
      </w:r>
    </w:p>
    <w:p w14:paraId="2428A699">
      <w:pPr>
        <w:snapToGrid w:val="0"/>
        <w:spacing w:line="560" w:lineRule="exact"/>
        <w:ind w:firstLine="640"/>
        <w:rPr>
          <w:rFonts w:ascii="仿宋_GB2312" w:hAnsi="仿宋_GB2312" w:eastAsia="仿宋_GB2312" w:cs="仿宋_GB2312"/>
          <w:color w:val="auto"/>
          <w:sz w:val="32"/>
          <w:szCs w:val="32"/>
          <w:shd w:val="clear" w:color="auto" w:fill="FFFFFF"/>
        </w:rPr>
      </w:pPr>
      <w:r>
        <w:rPr>
          <w:rFonts w:hint="eastAsia" w:ascii="楷体_GB2312" w:hAnsi="楷体_GB2312" w:eastAsia="楷体_GB2312" w:cs="楷体_GB2312"/>
          <w:color w:val="auto"/>
          <w:sz w:val="32"/>
          <w:szCs w:val="32"/>
          <w:shd w:val="clear" w:color="auto" w:fill="FFFFFF"/>
        </w:rPr>
        <w:t>（一）案例名称</w:t>
      </w:r>
      <w:r>
        <w:rPr>
          <w:rFonts w:hint="eastAsia" w:ascii="仿宋_GB2312" w:hAnsi="仿宋_GB2312" w:eastAsia="仿宋_GB2312" w:cs="仿宋_GB2312"/>
          <w:color w:val="auto"/>
          <w:sz w:val="32"/>
          <w:szCs w:val="32"/>
          <w:shd w:val="clear" w:color="auto" w:fill="FFFFFF"/>
        </w:rPr>
        <w:t>：AI赋能调味品智能制造应用。</w:t>
      </w:r>
    </w:p>
    <w:p w14:paraId="5CA01C3B">
      <w:pPr>
        <w:snapToGrid w:val="0"/>
        <w:spacing w:line="560" w:lineRule="exact"/>
        <w:ind w:firstLine="640" w:firstLineChars="200"/>
        <w:rPr>
          <w:rFonts w:hint="eastAsia" w:ascii="仿宋_GB2312" w:hAnsi="仿宋_GB2312" w:eastAsia="仿宋_GB2312" w:cs="仿宋_GB2312"/>
          <w:color w:val="auto"/>
          <w:sz w:val="32"/>
          <w:szCs w:val="32"/>
          <w:shd w:val="clear" w:color="auto" w:fill="FFFFFF"/>
        </w:rPr>
      </w:pPr>
      <w:r>
        <w:rPr>
          <w:rFonts w:hint="eastAsia" w:ascii="楷体_GB2312" w:hAnsi="楷体_GB2312" w:eastAsia="楷体_GB2312" w:cs="楷体_GB2312"/>
          <w:color w:val="auto"/>
          <w:sz w:val="32"/>
          <w:szCs w:val="32"/>
          <w:shd w:val="clear" w:color="auto" w:fill="FFFFFF"/>
        </w:rPr>
        <w:t>（二）人工智能技术应用方</w:t>
      </w:r>
      <w:r>
        <w:rPr>
          <w:rFonts w:hint="eastAsia" w:ascii="仿宋_GB2312" w:hAnsi="仿宋_GB2312" w:eastAsia="仿宋_GB2312" w:cs="仿宋_GB2312"/>
          <w:color w:val="auto"/>
          <w:sz w:val="32"/>
          <w:szCs w:val="32"/>
          <w:shd w:val="clear" w:color="auto" w:fill="FFFFFF"/>
        </w:rPr>
        <w:t>：广东美味鲜调味食品有限公司。</w:t>
      </w:r>
    </w:p>
    <w:p w14:paraId="3AD7995F">
      <w:pPr>
        <w:snapToGrid w:val="0"/>
        <w:spacing w:line="560" w:lineRule="exact"/>
        <w:ind w:firstLine="640" w:firstLineChars="200"/>
        <w:rPr>
          <w:rFonts w:hint="eastAsia" w:ascii="仿宋_GB2312" w:hAnsi="仿宋_GB2312" w:eastAsia="仿宋_GB2312" w:cs="仿宋_GB2312"/>
          <w:color w:val="auto"/>
          <w:sz w:val="32"/>
          <w:szCs w:val="32"/>
          <w:shd w:val="clear" w:color="auto" w:fill="FFFFFF"/>
        </w:rPr>
      </w:pPr>
      <w:r>
        <w:rPr>
          <w:rFonts w:hint="eastAsia" w:ascii="楷体_GB2312" w:hAnsi="楷体_GB2312" w:eastAsia="楷体_GB2312" w:cs="楷体_GB2312"/>
          <w:color w:val="auto"/>
          <w:sz w:val="32"/>
          <w:szCs w:val="32"/>
          <w:shd w:val="clear" w:color="auto" w:fill="FFFFFF"/>
        </w:rPr>
        <w:t>应用企业简介：</w:t>
      </w:r>
      <w:r>
        <w:rPr>
          <w:rFonts w:hint="eastAsia" w:ascii="仿宋_GB2312" w:hAnsi="仿宋_GB2312" w:eastAsia="仿宋_GB2312" w:cs="仿宋_GB2312"/>
          <w:color w:val="auto"/>
          <w:sz w:val="32"/>
          <w:szCs w:val="32"/>
          <w:shd w:val="clear" w:color="auto" w:fill="FFFFFF"/>
        </w:rPr>
        <w:t>广东美味鲜调味食品有限公司是一家专业生产调味品的现代化大型高新技术企业。公司起源于20世纪初的香山酱园，近百年来积极传承和发展南派酱油酿造文化，始终专注于酱油、鸡粉等调味品的研究和开发，其中酱油酿造技艺（中山酱油酿造技艺）已入选中山市非物质文化遗产代表性项目。主营业务涵盖酱油、鸡粉（精）、蚝油、酱类、料酒、醋类、食用油等十大品类，产品种类超过100种，产销量位居全国同行业前列。公司拥有“美味鲜”和“厨邦”两大自主品牌，其中“厨邦”品牌价值高达292.89亿元，连续多年入选“中国500强最具价值品牌”，并荣获“中华老字号”“中国驰名商标”等多项国家级荣誉。</w:t>
      </w:r>
    </w:p>
    <w:p w14:paraId="529D0020">
      <w:pPr>
        <w:snapToGrid w:val="0"/>
        <w:spacing w:line="560" w:lineRule="exact"/>
        <w:ind w:firstLine="640"/>
        <w:rPr>
          <w:rFonts w:hint="eastAsia" w:ascii="楷体_GB2312" w:hAnsi="楷体_GB2312" w:eastAsia="楷体_GB2312" w:cs="楷体_GB2312"/>
          <w:color w:val="auto"/>
          <w:sz w:val="32"/>
          <w:szCs w:val="32"/>
          <w:shd w:val="clear" w:color="auto" w:fill="FFFFFF"/>
        </w:rPr>
      </w:pPr>
      <w:r>
        <w:rPr>
          <w:rFonts w:hint="eastAsia" w:ascii="楷体_GB2312" w:hAnsi="楷体_GB2312" w:eastAsia="楷体_GB2312" w:cs="楷体_GB2312"/>
          <w:color w:val="auto"/>
          <w:sz w:val="32"/>
          <w:szCs w:val="32"/>
          <w:shd w:val="clear" w:color="auto" w:fill="FFFFFF"/>
        </w:rPr>
        <w:t>（三）人工智能技术供给方：</w:t>
      </w:r>
    </w:p>
    <w:p w14:paraId="70AA7463">
      <w:pPr>
        <w:snapToGrid w:val="0"/>
        <w:spacing w:line="560" w:lineRule="exact"/>
        <w:ind w:firstLine="643"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b/>
          <w:bCs/>
          <w:color w:val="auto"/>
          <w:sz w:val="32"/>
          <w:szCs w:val="32"/>
          <w:shd w:val="clear" w:color="auto" w:fill="FFFFFF"/>
        </w:rPr>
        <w:t>1.深圳华龙讯达信息技术股份有限公司</w:t>
      </w:r>
      <w:r>
        <w:rPr>
          <w:rFonts w:hint="eastAsia" w:ascii="仿宋_GB2312" w:hAnsi="仿宋_GB2312" w:eastAsia="仿宋_GB2312" w:cs="仿宋_GB2312"/>
          <w:color w:val="auto"/>
          <w:sz w:val="32"/>
          <w:szCs w:val="32"/>
          <w:shd w:val="clear" w:color="auto" w:fill="FFFFFF"/>
        </w:rPr>
        <w:t>。</w:t>
      </w:r>
    </w:p>
    <w:p w14:paraId="31A6DE36">
      <w:pPr>
        <w:snapToGrid w:val="0"/>
        <w:spacing w:line="560" w:lineRule="exact"/>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深圳华龙讯达信息技术股份有限公司是国家级专精特新重点“小巨人”企业，专注工业智能制造，是MES系统核心建设服务商。公司突出优势为工业人工智能技术，构建云边端协同AI架构，融合工业大模型、机器学习、数字孪生技术，打通底层工控与上层生产软件。依托自研国产PLC、工业操作系统，将AI能力深度嵌入MES等工业软件，可实现智能排产、设备预测预警、质量智能分析、工艺仿真优化等功能。擅长将AI算法与工业现场工艺知识结合，解决制造数据挖掘、故障预判、生产决策优化难题。面向汽车、装备制造等行业，提供国产化智能制造整体解决方案，助力工厂数智化转型落地。</w:t>
      </w:r>
    </w:p>
    <w:p w14:paraId="43E70E5C">
      <w:pPr>
        <w:snapToGrid w:val="0"/>
        <w:spacing w:line="560" w:lineRule="exact"/>
        <w:ind w:firstLine="643"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b/>
          <w:bCs/>
          <w:color w:val="auto"/>
          <w:sz w:val="32"/>
          <w:szCs w:val="32"/>
          <w:shd w:val="clear" w:color="auto" w:fill="FFFFFF"/>
        </w:rPr>
        <w:t>2.河北网星软件有限公司</w:t>
      </w:r>
      <w:r>
        <w:rPr>
          <w:rFonts w:hint="eastAsia" w:ascii="仿宋_GB2312" w:hAnsi="仿宋_GB2312" w:eastAsia="仿宋_GB2312" w:cs="仿宋_GB2312"/>
          <w:color w:val="auto"/>
          <w:sz w:val="32"/>
          <w:szCs w:val="32"/>
          <w:shd w:val="clear" w:color="auto" w:fill="FFFFFF"/>
        </w:rPr>
        <w:t>。</w:t>
      </w:r>
    </w:p>
    <w:p w14:paraId="3E64142F">
      <w:pPr>
        <w:snapToGrid w:val="0"/>
        <w:spacing w:line="560" w:lineRule="exact"/>
        <w:ind w:firstLine="640" w:firstLineChars="200"/>
        <w:rPr>
          <w:rFonts w:ascii="黑体" w:hAnsi="黑体" w:eastAsia="黑体" w:cs="黑体"/>
          <w:color w:val="auto"/>
          <w:sz w:val="32"/>
          <w:szCs w:val="32"/>
          <w:highlight w:val="yellow"/>
          <w:shd w:val="clear" w:color="auto" w:fill="FFFFFF"/>
        </w:rPr>
      </w:pPr>
      <w:r>
        <w:rPr>
          <w:rFonts w:hint="eastAsia" w:ascii="仿宋_GB2312" w:hAnsi="仿宋_GB2312" w:eastAsia="仿宋_GB2312" w:cs="仿宋_GB2312"/>
          <w:color w:val="auto"/>
          <w:sz w:val="32"/>
          <w:szCs w:val="32"/>
          <w:shd w:val="clear" w:color="auto" w:fill="FFFFFF"/>
        </w:rPr>
        <w:t>河北网星软件有限公司是国内专业LIMS实验室信息管理系统建设服务商，拥有双研发中心，具备CMMI5等多项权威资质，深耕检验检测信息化领域，服务覆盖多行业上千家实验室客户。公司突出优势为实验室场景人工智能技术，将AI原生能力深度嵌入LIMS平台，实现仪器数据AI自动采集解析、检测任务智能调度分配。运用机器学习开展实验数据校验、质量异常预判预警，自动识别、解析法规标准，支持自然语言数据分析、智能问答辅助业务，减少人为操作差错。AI技术贯穿样品流转、检测分析、报告生成全流程，兼顾CNAS、CMA等合规要求，可适配信创环境，为各类实验室提供智能化数字化整体解决方案，推动实验室由经验驱动转向数据智能驱动。</w:t>
      </w:r>
    </w:p>
    <w:p w14:paraId="41DE668D">
      <w:pPr>
        <w:snapToGrid w:val="0"/>
        <w:spacing w:line="560" w:lineRule="exact"/>
        <w:ind w:firstLine="640"/>
        <w:rPr>
          <w:rFonts w:hint="eastAsia" w:ascii="黑体" w:hAnsi="黑体" w:eastAsia="黑体" w:cs="黑体"/>
          <w:color w:val="auto"/>
          <w:sz w:val="32"/>
          <w:szCs w:val="32"/>
          <w:shd w:val="clear" w:color="auto" w:fill="FFFFFF"/>
        </w:rPr>
      </w:pPr>
      <w:r>
        <w:rPr>
          <w:rFonts w:hint="eastAsia" w:ascii="黑体" w:hAnsi="黑体" w:eastAsia="黑体" w:cs="黑体"/>
          <w:color w:val="auto"/>
          <w:sz w:val="32"/>
          <w:szCs w:val="32"/>
          <w:shd w:val="clear" w:color="auto" w:fill="FFFFFF"/>
        </w:rPr>
        <w:t>二、案例内容介绍</w:t>
      </w:r>
    </w:p>
    <w:p w14:paraId="78B941FD">
      <w:pPr>
        <w:widowControl/>
        <w:ind w:firstLine="640" w:firstLineChars="200"/>
        <w:jc w:val="left"/>
        <w:rPr>
          <w:rFonts w:hint="eastAsia" w:ascii="楷体_GB2312" w:hAnsi="楷体_GB2312" w:eastAsia="楷体_GB2312" w:cs="楷体_GB2312"/>
          <w:color w:val="auto"/>
          <w:sz w:val="32"/>
          <w:szCs w:val="32"/>
          <w:shd w:val="clear" w:color="auto" w:fill="FFFFFF"/>
        </w:rPr>
      </w:pPr>
      <w:r>
        <w:rPr>
          <w:rFonts w:hint="eastAsia" w:ascii="楷体_GB2312" w:hAnsi="楷体_GB2312" w:eastAsia="楷体_GB2312" w:cs="楷体_GB2312"/>
          <w:color w:val="auto"/>
          <w:sz w:val="32"/>
          <w:szCs w:val="32"/>
          <w:shd w:val="clear" w:color="auto" w:fill="FFFFFF"/>
        </w:rPr>
        <w:t>（一）包括案例背景、采用的人工智能关键技术、所实现的功能和亮点优势</w:t>
      </w:r>
    </w:p>
    <w:p w14:paraId="6FA72D67">
      <w:pPr>
        <w:snapToGrid w:val="0"/>
        <w:spacing w:line="560" w:lineRule="exact"/>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本项目打造覆盖调味品生产制造、过程品控、标准化实验室、成品仓储全环节的食品行业AI数字化标杆工程，彻底替代传统纸质台账、人工逐项复核的低效管理模式，实现生产过程动态管控与全程可追溯。</w:t>
      </w:r>
    </w:p>
    <w:p w14:paraId="47ABC871">
      <w:pPr>
        <w:snapToGrid w:val="0"/>
        <w:spacing w:line="560" w:lineRule="exact"/>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结合酱油品类长周期发酵的工艺特点，打通投料、制曲、发酵、灭菌至灌装全流程数字化管控链路，完整归集原料批次、作业人员、工艺参数等全维度数据，支持成品与原料双向溯源；同时实现与LIMS实验室标准化检测管理系统数据互通，构建贯穿生产全流程的一体化质量管控体系。</w:t>
      </w:r>
    </w:p>
    <w:p w14:paraId="2FBAE86A">
      <w:pPr>
        <w:snapToGrid w:val="0"/>
        <w:spacing w:line="560" w:lineRule="exact"/>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依托人工智能技术自动识别品质指标波动规律，提前预判潜在质量风险；当关键参数偏离标准阈值时系统自动分级推送预警信息，督促相关工作人员及时介入处置，从源头降低不合格品产出。</w:t>
      </w:r>
    </w:p>
    <w:p w14:paraId="3D5474D1">
      <w:pPr>
        <w:snapToGrid w:val="0"/>
        <w:spacing w:line="560" w:lineRule="exact"/>
        <w:ind w:firstLine="640" w:firstLineChars="200"/>
        <w:rPr>
          <w:rFonts w:hint="eastAsia" w:ascii="楷体_GB2312" w:hAnsi="楷体_GB2312" w:eastAsia="楷体_GB2312" w:cs="楷体_GB2312"/>
          <w:color w:val="auto"/>
          <w:sz w:val="32"/>
          <w:szCs w:val="32"/>
          <w:shd w:val="clear" w:color="auto" w:fill="FFFFFF"/>
        </w:rPr>
      </w:pPr>
      <w:r>
        <w:rPr>
          <w:rFonts w:hint="eastAsia" w:ascii="楷体_GB2312" w:hAnsi="楷体_GB2312" w:eastAsia="楷体_GB2312" w:cs="楷体_GB2312"/>
          <w:color w:val="auto"/>
          <w:sz w:val="32"/>
          <w:szCs w:val="32"/>
          <w:shd w:val="clear" w:color="auto" w:fill="FFFFFF"/>
        </w:rPr>
        <w:t>（二）具体应用成效</w:t>
      </w:r>
    </w:p>
    <w:p w14:paraId="5836C0DD">
      <w:pPr>
        <w:snapToGrid w:val="0"/>
        <w:spacing w:line="560" w:lineRule="exact"/>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基于MES系统和LIMS联动，人工智能算法优化排产、质检、溯源全流程效率，各项指标提升成效显著：</w:t>
      </w:r>
    </w:p>
    <w:p w14:paraId="438864BA">
      <w:pPr>
        <w:snapToGrid w:val="0"/>
        <w:spacing w:line="560" w:lineRule="exact"/>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1.发酵投料计划排程从1小时缩短到10分钟，排程效率提升80%；</w:t>
      </w:r>
    </w:p>
    <w:p w14:paraId="2FD78D4E">
      <w:pPr>
        <w:snapToGrid w:val="0"/>
        <w:spacing w:line="560" w:lineRule="exact"/>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2.单批次检测时间由5小时缩短至5分钟，检测效率提升90%；</w:t>
      </w:r>
    </w:p>
    <w:p w14:paraId="4DE2D8D0">
      <w:pPr>
        <w:snapToGrid w:val="0"/>
        <w:spacing w:line="560" w:lineRule="exact"/>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3.产品质量问题追溯时长由原来的平均4小时缩短至1分钟以内，全链条追溯效率提升95%。</w:t>
      </w:r>
    </w:p>
    <w:p w14:paraId="02588891">
      <w:pPr>
        <w:snapToGrid w:val="0"/>
        <w:spacing w:line="560" w:lineRule="exact"/>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同时依托AI自动预警功能，提前规避发酵、灌装环节工艺异常，有效减少原料损耗与不合格产品，实现生产降本、提质、增效多重价值。</w:t>
      </w:r>
    </w:p>
    <w:p w14:paraId="55C3C275">
      <w:pPr>
        <w:snapToGrid w:val="0"/>
        <w:spacing w:line="560" w:lineRule="exact"/>
        <w:ind w:firstLine="640"/>
        <w:rPr>
          <w:rFonts w:hint="eastAsia" w:ascii="黑体" w:hAnsi="黑体" w:eastAsia="黑体" w:cs="黑体"/>
          <w:color w:val="auto"/>
          <w:sz w:val="32"/>
          <w:szCs w:val="32"/>
          <w:shd w:val="clear" w:color="auto" w:fill="FFFFFF"/>
        </w:rPr>
      </w:pPr>
      <w:r>
        <w:rPr>
          <w:rFonts w:hint="eastAsia" w:ascii="黑体" w:hAnsi="黑体" w:eastAsia="黑体" w:cs="黑体"/>
          <w:color w:val="auto"/>
          <w:sz w:val="32"/>
          <w:szCs w:val="32"/>
          <w:shd w:val="clear" w:color="auto" w:fill="FFFFFF"/>
        </w:rPr>
        <w:t>三、案例所获得荣誉、复制推广情况等</w:t>
      </w:r>
    </w:p>
    <w:p w14:paraId="1D7426D8">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广东美味鲜调味食品有限公司依托本AI智能制造项目建设成果，成功获评2026年广东省先进级智能工厂，为调味食品、传统酿造行业智能化改造提供可落地、可复制的实践范本。</w:t>
      </w:r>
    </w:p>
    <w:p w14:paraId="1833C108">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color w:val="auto"/>
        </w:rPr>
        <w:drawing>
          <wp:anchor distT="0" distB="0" distL="114300" distR="114300" simplePos="0" relativeHeight="251687936" behindDoc="0" locked="0" layoutInCell="1" allowOverlap="1">
            <wp:simplePos x="0" y="0"/>
            <wp:positionH relativeFrom="column">
              <wp:posOffset>640080</wp:posOffset>
            </wp:positionH>
            <wp:positionV relativeFrom="page">
              <wp:posOffset>5052060</wp:posOffset>
            </wp:positionV>
            <wp:extent cx="3836035" cy="2879725"/>
            <wp:effectExtent l="0" t="0" r="4445" b="635"/>
            <wp:wrapTopAndBottom/>
            <wp:docPr id="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8"/>
                    <pic:cNvPicPr>
                      <a:picLocks noChangeAspect="1"/>
                    </pic:cNvPicPr>
                  </pic:nvPicPr>
                  <pic:blipFill>
                    <a:blip r:embed="rId11"/>
                    <a:stretch>
                      <a:fillRect/>
                    </a:stretch>
                  </pic:blipFill>
                  <pic:spPr>
                    <a:xfrm>
                      <a:off x="0" y="0"/>
                      <a:ext cx="3836035" cy="2879725"/>
                    </a:xfrm>
                    <a:prstGeom prst="rect">
                      <a:avLst/>
                    </a:prstGeom>
                    <a:noFill/>
                    <a:ln>
                      <a:noFill/>
                    </a:ln>
                  </pic:spPr>
                </pic:pic>
              </a:graphicData>
            </a:graphic>
          </wp:anchor>
        </w:drawing>
      </w:r>
      <w:r>
        <w:rPr>
          <w:color w:val="auto"/>
        </w:rPr>
        <w:pict>
          <v:shape id="_x0000_s1027" o:spid="_x0000_s1027" o:spt="75" type="#_x0000_t75" style="position:absolute;left:0pt;margin-left:17.45pt;margin-top:144.95pt;height:235.55pt;width:398.45pt;mso-position-vertical-relative:page;mso-wrap-distance-bottom:0pt;mso-wrap-distance-top:0pt;z-index:251660288;mso-width-relative:page;mso-height-relative:page;" filled="f" o:preferrelative="t" stroked="f" coordsize="21600,21600">
            <v:path/>
            <v:fill on="f" focussize="0,0"/>
            <v:stroke on="f" joinstyle="miter"/>
            <v:imagedata r:id="rId12" o:title=""/>
            <o:lock v:ext="edit" aspectratio="t"/>
            <w10:wrap type="topAndBottom"/>
          </v:shape>
        </w:pict>
      </w:r>
    </w:p>
    <w:p w14:paraId="2F68F824">
      <w:pPr>
        <w:snapToGrid w:val="0"/>
        <w:spacing w:line="560" w:lineRule="exact"/>
        <w:ind w:firstLine="640"/>
        <w:rPr>
          <w:rFonts w:hint="eastAsia" w:ascii="仿宋_GB2312" w:hAnsi="仿宋_GB2312" w:eastAsia="仿宋_GB2312" w:cs="仿宋_GB2312"/>
          <w:color w:val="auto"/>
          <w:sz w:val="32"/>
          <w:szCs w:val="32"/>
          <w:shd w:val="clear" w:color="auto" w:fill="FFFFFF"/>
        </w:rPr>
      </w:pPr>
    </w:p>
    <w:p w14:paraId="474DAFB0">
      <w:pPr>
        <w:snapToGrid w:val="0"/>
        <w:spacing w:line="560" w:lineRule="exact"/>
        <w:ind w:firstLine="640"/>
        <w:rPr>
          <w:rFonts w:hint="eastAsia" w:ascii="仿宋_GB2312" w:hAnsi="仿宋_GB2312" w:eastAsia="仿宋_GB2312" w:cs="仿宋_GB2312"/>
          <w:color w:val="auto"/>
          <w:sz w:val="32"/>
          <w:szCs w:val="32"/>
          <w:shd w:val="clear" w:color="auto" w:fill="FFFFFF"/>
        </w:rPr>
      </w:pPr>
    </w:p>
    <w:p w14:paraId="0FE82FFE">
      <w:pPr>
        <w:snapToGrid w:val="0"/>
        <w:spacing w:line="560" w:lineRule="exact"/>
        <w:ind w:firstLine="640"/>
        <w:rPr>
          <w:rFonts w:hint="eastAsia" w:ascii="仿宋_GB2312" w:hAnsi="仿宋_GB2312" w:eastAsia="仿宋_GB2312" w:cs="仿宋_GB2312"/>
          <w:color w:val="auto"/>
          <w:sz w:val="32"/>
          <w:szCs w:val="32"/>
          <w:shd w:val="clear" w:color="auto" w:fill="FFFFFF"/>
        </w:rPr>
      </w:pPr>
    </w:p>
    <w:p w14:paraId="602F1CE7">
      <w:pPr>
        <w:spacing w:after="120"/>
        <w:jc w:val="left"/>
        <w:rPr>
          <w:rFonts w:ascii="楷体" w:hAnsi="楷体" w:eastAsia="楷体"/>
          <w:color w:val="auto"/>
        </w:rPr>
      </w:pPr>
    </w:p>
    <w:p w14:paraId="4CA0ECBE">
      <w:pPr>
        <w:pStyle w:val="12"/>
        <w:pageBreakBefore/>
        <w:rPr>
          <w:color w:val="auto"/>
        </w:rPr>
      </w:pPr>
      <w:bookmarkStart w:id="3" w:name="_Toc30180"/>
      <w:r>
        <w:rPr>
          <w:color w:val="auto"/>
        </w:rPr>
        <w:t>案例 03　AI+工业互联网驱动的设备全生命周期智能运维</w:t>
      </w:r>
      <w:bookmarkEnd w:id="3"/>
    </w:p>
    <w:p w14:paraId="1519D4EA">
      <w:pPr>
        <w:spacing w:after="40"/>
        <w:jc w:val="left"/>
        <w:rPr>
          <w:rFonts w:ascii="楷体" w:hAnsi="楷体" w:eastAsia="楷体"/>
          <w:color w:val="auto"/>
          <w:sz w:val="22"/>
        </w:rPr>
      </w:pPr>
      <w:r>
        <w:rPr>
          <w:rFonts w:ascii="楷体" w:hAnsi="楷体" w:eastAsia="楷体"/>
          <w:color w:val="auto"/>
          <w:sz w:val="22"/>
        </w:rPr>
        <w:t>申报单位：欧普（中山）智能科技有限公司</w:t>
      </w:r>
    </w:p>
    <w:p w14:paraId="7637764C">
      <w:pPr>
        <w:snapToGrid w:val="0"/>
        <w:spacing w:line="560" w:lineRule="exact"/>
        <w:rPr>
          <w:rFonts w:hint="eastAsia" w:ascii="仿宋_GB2312" w:hAnsi="仿宋_GB2312" w:eastAsia="仿宋_GB2312" w:cs="仿宋_GB2312"/>
          <w:color w:val="auto"/>
          <w:sz w:val="32"/>
          <w:szCs w:val="32"/>
          <w:shd w:val="clear" w:color="auto" w:fill="FFFFFF"/>
        </w:rPr>
      </w:pPr>
    </w:p>
    <w:p w14:paraId="634F84DD">
      <w:pPr>
        <w:snapToGrid w:val="0"/>
        <w:spacing w:line="560" w:lineRule="exact"/>
        <w:ind w:firstLine="640"/>
        <w:rPr>
          <w:rFonts w:hint="eastAsia" w:ascii="黑体" w:hAnsi="黑体" w:eastAsia="黑体" w:cs="黑体"/>
          <w:color w:val="auto"/>
          <w:sz w:val="32"/>
          <w:szCs w:val="32"/>
          <w:shd w:val="clear" w:color="auto" w:fill="FFFFFF"/>
        </w:rPr>
      </w:pPr>
      <w:r>
        <w:rPr>
          <w:rFonts w:hint="eastAsia" w:ascii="黑体" w:hAnsi="黑体" w:eastAsia="黑体" w:cs="黑体"/>
          <w:color w:val="auto"/>
          <w:sz w:val="32"/>
          <w:szCs w:val="32"/>
          <w:shd w:val="clear" w:color="auto" w:fill="FFFFFF"/>
        </w:rPr>
        <w:t>一、案例基本情况</w:t>
      </w:r>
    </w:p>
    <w:p w14:paraId="41EA1F2C">
      <w:pPr>
        <w:snapToGrid w:val="0"/>
        <w:spacing w:line="560" w:lineRule="exact"/>
        <w:ind w:firstLine="640"/>
        <w:rPr>
          <w:rFonts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（一）案例名称：</w:t>
      </w:r>
      <w:r>
        <w:rPr>
          <w:rFonts w:ascii="仿宋_GB2312" w:hAnsi="仿宋_GB2312" w:eastAsia="仿宋_GB2312" w:cs="仿宋_GB2312"/>
          <w:color w:val="auto"/>
          <w:sz w:val="32"/>
          <w:szCs w:val="32"/>
          <w:shd w:val="clear" w:color="auto" w:fill="FFFFFF"/>
        </w:rPr>
        <w:t>AI+</w:t>
      </w:r>
      <w:r>
        <w:rPr>
          <w:rFonts w:hint="eastAsia" w:ascii="仿宋_GB2312" w:hAnsi="仿宋_GB2312" w:eastAsia="仿宋_GB2312" w:cs="仿宋_GB2312"/>
          <w:color w:val="auto"/>
          <w:sz w:val="32"/>
          <w:szCs w:val="32"/>
          <w:shd w:val="clear" w:color="auto" w:fill="FFFFFF"/>
        </w:rPr>
        <w:t>工业互联网驱动的设备全生命周期智能运维</w:t>
      </w:r>
    </w:p>
    <w:p w14:paraId="1F03813A">
      <w:pPr>
        <w:snapToGrid w:val="0"/>
        <w:spacing w:line="560" w:lineRule="exact"/>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（二）人工智能技术应用方：欧普（中山）智能科技有限公司。</w:t>
      </w:r>
    </w:p>
    <w:p w14:paraId="0311F436">
      <w:pPr>
        <w:snapToGrid w:val="0"/>
        <w:spacing w:line="560" w:lineRule="exact"/>
        <w:ind w:firstLine="640"/>
        <w:rPr>
          <w:rFonts w:ascii="仿宋_GB2312" w:hAnsi="仿宋_GB2312" w:eastAsia="仿宋_GB2312" w:cs="仿宋_GB2312"/>
          <w:b/>
          <w:bCs/>
          <w:color w:val="auto"/>
          <w:sz w:val="32"/>
          <w:szCs w:val="32"/>
          <w:shd w:val="clear" w:color="auto" w:fill="FFFFFF"/>
        </w:rPr>
      </w:pPr>
      <w:r>
        <w:rPr>
          <w:rFonts w:hint="eastAsia" w:ascii="仿宋_GB2312" w:hAnsi="仿宋_GB2312" w:eastAsia="仿宋_GB2312" w:cs="仿宋_GB2312"/>
          <w:b/>
          <w:bCs/>
          <w:color w:val="auto"/>
          <w:sz w:val="32"/>
          <w:szCs w:val="32"/>
          <w:shd w:val="clear" w:color="auto" w:fill="FFFFFF"/>
        </w:rPr>
        <w:t>应用企业简介：</w:t>
      </w:r>
    </w:p>
    <w:p w14:paraId="674D6763">
      <w:pPr>
        <w:snapToGrid w:val="0"/>
        <w:spacing w:line="560" w:lineRule="exact"/>
        <w:ind w:firstLine="640"/>
        <w:rPr>
          <w:rFonts w:ascii="仿宋_GB2312" w:hAnsi="仿宋_GB2312" w:eastAsia="仿宋_GB2312" w:cs="仿宋_GB2312"/>
          <w:bCs/>
          <w:color w:val="auto"/>
          <w:sz w:val="32"/>
          <w:szCs w:val="32"/>
          <w:shd w:val="clear" w:color="auto" w:fill="FFFFFF"/>
        </w:rPr>
      </w:pPr>
      <w:r>
        <w:rPr>
          <w:rFonts w:hint="eastAsia" w:ascii="仿宋_GB2312" w:hAnsi="仿宋_GB2312" w:eastAsia="仿宋_GB2312" w:cs="仿宋_GB2312"/>
          <w:bCs/>
          <w:color w:val="auto"/>
          <w:sz w:val="32"/>
          <w:szCs w:val="32"/>
          <w:shd w:val="clear" w:color="auto" w:fill="FFFFFF"/>
        </w:rPr>
        <w:t>欧普（中山）智能科技有限公司为上交所上市企业——欧普照明股份有限公司（股票代码6</w:t>
      </w:r>
      <w:r>
        <w:rPr>
          <w:rFonts w:ascii="仿宋_GB2312" w:hAnsi="仿宋_GB2312" w:eastAsia="仿宋_GB2312" w:cs="仿宋_GB2312"/>
          <w:bCs/>
          <w:color w:val="auto"/>
          <w:sz w:val="32"/>
          <w:szCs w:val="32"/>
          <w:shd w:val="clear" w:color="auto" w:fill="FFFFFF"/>
        </w:rPr>
        <w:t>03515</w:t>
      </w:r>
      <w:r>
        <w:rPr>
          <w:rFonts w:hint="eastAsia" w:ascii="仿宋_GB2312" w:hAnsi="仿宋_GB2312" w:eastAsia="仿宋_GB2312" w:cs="仿宋_GB2312"/>
          <w:bCs/>
          <w:color w:val="auto"/>
          <w:sz w:val="32"/>
          <w:szCs w:val="32"/>
          <w:shd w:val="clear" w:color="auto" w:fill="FFFFFF"/>
        </w:rPr>
        <w:t>）的全资子公司，成立于2</w:t>
      </w:r>
      <w:r>
        <w:rPr>
          <w:rFonts w:ascii="仿宋_GB2312" w:hAnsi="仿宋_GB2312" w:eastAsia="仿宋_GB2312" w:cs="仿宋_GB2312"/>
          <w:bCs/>
          <w:color w:val="auto"/>
          <w:sz w:val="32"/>
          <w:szCs w:val="32"/>
          <w:shd w:val="clear" w:color="auto" w:fill="FFFFFF"/>
        </w:rPr>
        <w:t>018</w:t>
      </w:r>
      <w:r>
        <w:rPr>
          <w:rFonts w:hint="eastAsia" w:ascii="仿宋_GB2312" w:hAnsi="仿宋_GB2312" w:eastAsia="仿宋_GB2312" w:cs="仿宋_GB2312"/>
          <w:bCs/>
          <w:color w:val="auto"/>
          <w:sz w:val="32"/>
          <w:szCs w:val="32"/>
          <w:shd w:val="clear" w:color="auto" w:fill="FFFFFF"/>
        </w:rPr>
        <w:t>年，注册资本3</w:t>
      </w:r>
      <w:r>
        <w:rPr>
          <w:rFonts w:ascii="仿宋_GB2312" w:hAnsi="仿宋_GB2312" w:eastAsia="仿宋_GB2312" w:cs="仿宋_GB2312"/>
          <w:bCs/>
          <w:color w:val="auto"/>
          <w:sz w:val="32"/>
          <w:szCs w:val="32"/>
          <w:shd w:val="clear" w:color="auto" w:fill="FFFFFF"/>
        </w:rPr>
        <w:t>0000</w:t>
      </w:r>
      <w:r>
        <w:rPr>
          <w:rFonts w:hint="eastAsia" w:ascii="仿宋_GB2312" w:hAnsi="仿宋_GB2312" w:eastAsia="仿宋_GB2312" w:cs="仿宋_GB2312"/>
          <w:bCs/>
          <w:color w:val="auto"/>
          <w:sz w:val="32"/>
          <w:szCs w:val="32"/>
          <w:shd w:val="clear" w:color="auto" w:fill="FFFFFF"/>
        </w:rPr>
        <w:t>万元，位于中山市民众街道沿江村众安大道1</w:t>
      </w:r>
      <w:r>
        <w:rPr>
          <w:rFonts w:ascii="仿宋_GB2312" w:hAnsi="仿宋_GB2312" w:eastAsia="仿宋_GB2312" w:cs="仿宋_GB2312"/>
          <w:bCs/>
          <w:color w:val="auto"/>
          <w:sz w:val="32"/>
          <w:szCs w:val="32"/>
          <w:shd w:val="clear" w:color="auto" w:fill="FFFFFF"/>
        </w:rPr>
        <w:t>03</w:t>
      </w:r>
      <w:r>
        <w:rPr>
          <w:rFonts w:hint="eastAsia" w:ascii="仿宋_GB2312" w:hAnsi="仿宋_GB2312" w:eastAsia="仿宋_GB2312" w:cs="仿宋_GB2312"/>
          <w:bCs/>
          <w:color w:val="auto"/>
          <w:sz w:val="32"/>
          <w:szCs w:val="32"/>
          <w:shd w:val="clear" w:color="auto" w:fill="FFFFFF"/>
        </w:rPr>
        <w:t>号，占地面积4</w:t>
      </w:r>
      <w:r>
        <w:rPr>
          <w:rFonts w:ascii="仿宋_GB2312" w:hAnsi="仿宋_GB2312" w:eastAsia="仿宋_GB2312" w:cs="仿宋_GB2312"/>
          <w:bCs/>
          <w:color w:val="auto"/>
          <w:sz w:val="32"/>
          <w:szCs w:val="32"/>
          <w:shd w:val="clear" w:color="auto" w:fill="FFFFFF"/>
        </w:rPr>
        <w:t>50</w:t>
      </w:r>
      <w:r>
        <w:rPr>
          <w:rFonts w:hint="eastAsia" w:ascii="仿宋_GB2312" w:hAnsi="仿宋_GB2312" w:eastAsia="仿宋_GB2312" w:cs="仿宋_GB2312"/>
          <w:bCs/>
          <w:color w:val="auto"/>
          <w:sz w:val="32"/>
          <w:szCs w:val="32"/>
          <w:shd w:val="clear" w:color="auto" w:fill="FFFFFF"/>
        </w:rPr>
        <w:t>亩，为中山市照明行业里最大的照明工业园。</w:t>
      </w:r>
    </w:p>
    <w:p w14:paraId="36705129">
      <w:pPr>
        <w:snapToGrid w:val="0"/>
        <w:spacing w:line="560" w:lineRule="exact"/>
        <w:ind w:firstLine="640"/>
        <w:rPr>
          <w:rFonts w:hint="eastAsia" w:ascii="仿宋_GB2312" w:hAnsi="仿宋_GB2312" w:eastAsia="仿宋_GB2312" w:cs="仿宋_GB2312"/>
          <w:bCs/>
          <w:color w:val="auto"/>
          <w:sz w:val="32"/>
          <w:szCs w:val="32"/>
          <w:shd w:val="clear" w:color="auto" w:fill="FFFFFF"/>
        </w:rPr>
      </w:pPr>
      <w:r>
        <w:rPr>
          <w:rFonts w:hint="eastAsia" w:ascii="仿宋_GB2312" w:hAnsi="仿宋_GB2312" w:eastAsia="仿宋_GB2312" w:cs="仿宋_GB2312"/>
          <w:bCs/>
          <w:color w:val="auto"/>
          <w:sz w:val="32"/>
          <w:szCs w:val="32"/>
          <w:shd w:val="clear" w:color="auto" w:fill="FFFFFF"/>
        </w:rPr>
        <w:t>公司主要从事电光源、智能照明器具、电子控制系统、电器开关等产品的研发、生产及销售，主要产品包括节能灯、装饰灯、支架、筒射灯、L</w:t>
      </w:r>
      <w:r>
        <w:rPr>
          <w:rFonts w:ascii="仿宋_GB2312" w:hAnsi="仿宋_GB2312" w:eastAsia="仿宋_GB2312" w:cs="仿宋_GB2312"/>
          <w:bCs/>
          <w:color w:val="auto"/>
          <w:sz w:val="32"/>
          <w:szCs w:val="32"/>
          <w:shd w:val="clear" w:color="auto" w:fill="FFFFFF"/>
        </w:rPr>
        <w:t>ED</w:t>
      </w:r>
      <w:r>
        <w:rPr>
          <w:rFonts w:hint="eastAsia" w:ascii="仿宋_GB2312" w:hAnsi="仿宋_GB2312" w:eastAsia="仿宋_GB2312" w:cs="仿宋_GB2312"/>
          <w:bCs/>
          <w:color w:val="auto"/>
          <w:sz w:val="32"/>
          <w:szCs w:val="32"/>
          <w:shd w:val="clear" w:color="auto" w:fill="FFFFFF"/>
        </w:rPr>
        <w:t>照明及电工电器等。</w:t>
      </w:r>
    </w:p>
    <w:p w14:paraId="6584A61B">
      <w:pPr>
        <w:snapToGrid w:val="0"/>
        <w:spacing w:line="560" w:lineRule="exact"/>
        <w:ind w:firstLine="640"/>
        <w:rPr>
          <w:rFonts w:hint="eastAsia" w:ascii="仿宋_GB2312" w:hAnsi="仿宋_GB2312" w:eastAsia="仿宋_GB2312" w:cs="仿宋_GB2312"/>
          <w:bCs/>
          <w:color w:val="auto"/>
          <w:sz w:val="32"/>
          <w:szCs w:val="32"/>
          <w:shd w:val="clear" w:color="auto" w:fill="FFFFFF"/>
        </w:rPr>
      </w:pPr>
      <w:r>
        <w:rPr>
          <w:rFonts w:hint="eastAsia" w:ascii="仿宋_GB2312" w:hAnsi="仿宋_GB2312" w:eastAsia="仿宋_GB2312" w:cs="仿宋_GB2312"/>
          <w:bCs/>
          <w:color w:val="auto"/>
          <w:sz w:val="32"/>
          <w:szCs w:val="32"/>
          <w:shd w:val="clear" w:color="auto" w:fill="FFFFFF"/>
        </w:rPr>
        <w:t>公司为中国照明行业十强企业</w:t>
      </w:r>
      <w:r>
        <w:rPr>
          <w:rFonts w:hint="eastAsia" w:ascii="仿宋_GB2312" w:hAnsi="仿宋_GB2312" w:eastAsia="仿宋_GB2312" w:cs="仿宋_GB2312"/>
          <w:bCs/>
          <w:color w:val="auto"/>
          <w:sz w:val="32"/>
          <w:szCs w:val="32"/>
          <w:shd w:val="clear" w:color="auto" w:fill="FFFFFF"/>
          <w:lang w:eastAsia="zh-CN"/>
        </w:rPr>
        <w:t>、</w:t>
      </w:r>
      <w:r>
        <w:rPr>
          <w:rFonts w:hint="eastAsia" w:ascii="仿宋_GB2312" w:hAnsi="仿宋_GB2312" w:eastAsia="仿宋_GB2312" w:cs="仿宋_GB2312"/>
          <w:bCs/>
          <w:color w:val="auto"/>
          <w:sz w:val="32"/>
          <w:szCs w:val="32"/>
          <w:shd w:val="clear" w:color="auto" w:fill="FFFFFF"/>
        </w:rPr>
        <w:t>地方制造业领军十强企业，作为行业领先的整体照明解决方案提供者，建有国家C</w:t>
      </w:r>
      <w:r>
        <w:rPr>
          <w:rFonts w:ascii="仿宋_GB2312" w:hAnsi="仿宋_GB2312" w:eastAsia="仿宋_GB2312" w:cs="仿宋_GB2312"/>
          <w:bCs/>
          <w:color w:val="auto"/>
          <w:sz w:val="32"/>
          <w:szCs w:val="32"/>
          <w:shd w:val="clear" w:color="auto" w:fill="FFFFFF"/>
        </w:rPr>
        <w:t>NAS</w:t>
      </w:r>
      <w:r>
        <w:rPr>
          <w:rFonts w:hint="eastAsia" w:ascii="仿宋_GB2312" w:hAnsi="仿宋_GB2312" w:eastAsia="仿宋_GB2312" w:cs="仿宋_GB2312"/>
          <w:bCs/>
          <w:color w:val="auto"/>
          <w:sz w:val="32"/>
          <w:szCs w:val="32"/>
          <w:shd w:val="clear" w:color="auto" w:fill="FFFFFF"/>
        </w:rPr>
        <w:t>和德国T</w:t>
      </w:r>
      <w:r>
        <w:rPr>
          <w:rFonts w:ascii="仿宋_GB2312" w:hAnsi="仿宋_GB2312" w:eastAsia="仿宋_GB2312" w:cs="仿宋_GB2312"/>
          <w:bCs/>
          <w:color w:val="auto"/>
          <w:sz w:val="32"/>
          <w:szCs w:val="32"/>
          <w:shd w:val="clear" w:color="auto" w:fill="FFFFFF"/>
        </w:rPr>
        <w:t>UV</w:t>
      </w:r>
      <w:r>
        <w:rPr>
          <w:rFonts w:hint="eastAsia" w:ascii="仿宋_GB2312" w:hAnsi="仿宋_GB2312" w:eastAsia="仿宋_GB2312" w:cs="仿宋_GB2312"/>
          <w:bCs/>
          <w:color w:val="auto"/>
          <w:sz w:val="32"/>
          <w:szCs w:val="32"/>
          <w:shd w:val="clear" w:color="auto" w:fill="FFFFFF"/>
        </w:rPr>
        <w:t>认证的专业照明检测实验室。截至目前，已累计申请专利4</w:t>
      </w:r>
      <w:r>
        <w:rPr>
          <w:rFonts w:ascii="仿宋_GB2312" w:hAnsi="仿宋_GB2312" w:eastAsia="仿宋_GB2312" w:cs="仿宋_GB2312"/>
          <w:bCs/>
          <w:color w:val="auto"/>
          <w:sz w:val="32"/>
          <w:szCs w:val="32"/>
          <w:shd w:val="clear" w:color="auto" w:fill="FFFFFF"/>
        </w:rPr>
        <w:t>0</w:t>
      </w:r>
      <w:r>
        <w:rPr>
          <w:rFonts w:hint="eastAsia" w:ascii="仿宋_GB2312" w:hAnsi="仿宋_GB2312" w:eastAsia="仿宋_GB2312" w:cs="仿宋_GB2312"/>
          <w:bCs/>
          <w:color w:val="auto"/>
          <w:sz w:val="32"/>
          <w:szCs w:val="32"/>
          <w:shd w:val="clear" w:color="auto" w:fill="FFFFFF"/>
        </w:rPr>
        <w:t>项。</w:t>
      </w:r>
    </w:p>
    <w:p w14:paraId="31D857F5">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（三）人工智能技术供给方：上海汉得信息技术股份有限公司。</w:t>
      </w:r>
    </w:p>
    <w:p w14:paraId="1B629F38">
      <w:pPr>
        <w:snapToGrid w:val="0"/>
        <w:spacing w:line="560" w:lineRule="exact"/>
        <w:ind w:firstLine="640"/>
        <w:rPr>
          <w:rFonts w:ascii="仿宋_GB2312" w:hAnsi="仿宋_GB2312" w:eastAsia="仿宋_GB2312" w:cs="仿宋_GB2312"/>
          <w:b/>
          <w:bCs/>
          <w:color w:val="auto"/>
          <w:sz w:val="32"/>
          <w:szCs w:val="32"/>
          <w:shd w:val="clear" w:color="auto" w:fill="FFFFFF"/>
        </w:rPr>
      </w:pPr>
      <w:r>
        <w:rPr>
          <w:rFonts w:hint="eastAsia" w:ascii="仿宋_GB2312" w:hAnsi="仿宋_GB2312" w:eastAsia="仿宋_GB2312" w:cs="仿宋_GB2312"/>
          <w:b/>
          <w:bCs/>
          <w:color w:val="auto"/>
          <w:sz w:val="32"/>
          <w:szCs w:val="32"/>
          <w:shd w:val="clear" w:color="auto" w:fill="FFFFFF"/>
        </w:rPr>
        <w:t>供给企业简介：</w:t>
      </w:r>
    </w:p>
    <w:p w14:paraId="263A336D">
      <w:pPr>
        <w:snapToGrid w:val="0"/>
        <w:spacing w:line="560" w:lineRule="exact"/>
        <w:ind w:firstLine="640"/>
        <w:rPr>
          <w:rFonts w:ascii="仿宋_GB2312" w:hAnsi="仿宋_GB2312" w:eastAsia="仿宋_GB2312" w:cs="仿宋_GB2312"/>
          <w:bCs/>
          <w:color w:val="auto"/>
          <w:sz w:val="32"/>
          <w:szCs w:val="32"/>
          <w:shd w:val="clear" w:color="auto" w:fill="FFFFFF"/>
        </w:rPr>
      </w:pPr>
      <w:r>
        <w:rPr>
          <w:rFonts w:ascii="仿宋_GB2312" w:hAnsi="仿宋_GB2312" w:eastAsia="仿宋_GB2312" w:cs="仿宋_GB2312"/>
          <w:bCs/>
          <w:color w:val="auto"/>
          <w:sz w:val="32"/>
          <w:szCs w:val="32"/>
          <w:shd w:val="clear" w:color="auto" w:fill="FFFFFF"/>
        </w:rPr>
        <w:t xml:space="preserve">上海汉得信息技术股份有限公司（300170.SZ）成立于2002年，2011年在深交所创业板上市，是中国领先的企业数字化综合服务商。公司以泛ERP咨询实施为基石，提供涵盖产业数字化、财务数字化、IT外包的全链条解决方案。公司总部位于上海，拥有超9000名专业顾问，服务网络覆盖全球，已助力超7000家企业（含300余家中国500强）实现智能化转型。 </w:t>
      </w:r>
    </w:p>
    <w:p w14:paraId="3C45C46C">
      <w:pPr>
        <w:snapToGrid w:val="0"/>
        <w:spacing w:line="560" w:lineRule="exact"/>
        <w:rPr>
          <w:rFonts w:hint="eastAsia" w:ascii="黑体" w:hAnsi="黑体" w:eastAsia="黑体" w:cs="黑体"/>
          <w:color w:val="auto"/>
          <w:sz w:val="32"/>
          <w:szCs w:val="32"/>
          <w:shd w:val="clear" w:color="auto" w:fill="FFFFFF"/>
        </w:rPr>
      </w:pPr>
    </w:p>
    <w:p w14:paraId="69B9F873">
      <w:pPr>
        <w:snapToGrid w:val="0"/>
        <w:spacing w:line="560" w:lineRule="exact"/>
        <w:ind w:firstLine="640"/>
        <w:rPr>
          <w:rFonts w:hint="eastAsia" w:ascii="黑体" w:hAnsi="黑体" w:eastAsia="黑体" w:cs="黑体"/>
          <w:color w:val="auto"/>
          <w:sz w:val="32"/>
          <w:szCs w:val="32"/>
          <w:shd w:val="clear" w:color="auto" w:fill="FFFFFF"/>
        </w:rPr>
      </w:pPr>
      <w:r>
        <w:rPr>
          <w:rFonts w:hint="eastAsia" w:ascii="黑体" w:hAnsi="黑体" w:eastAsia="黑体" w:cs="黑体"/>
          <w:color w:val="auto"/>
          <w:sz w:val="32"/>
          <w:szCs w:val="32"/>
          <w:shd w:val="clear" w:color="auto" w:fill="FFFFFF"/>
        </w:rPr>
        <w:t>二、案例内容介绍</w:t>
      </w:r>
    </w:p>
    <w:p w14:paraId="08432C49">
      <w:pPr>
        <w:snapToGrid w:val="0"/>
        <w:spacing w:line="560" w:lineRule="exact"/>
        <w:ind w:firstLine="640"/>
        <w:rPr>
          <w:rFonts w:ascii="楷体_GB2312" w:hAnsi="楷体_GB2312" w:eastAsia="楷体_GB2312" w:cs="楷体_GB2312"/>
          <w:color w:val="auto"/>
          <w:sz w:val="32"/>
          <w:szCs w:val="32"/>
          <w:shd w:val="clear" w:color="auto" w:fill="FFFFFF"/>
        </w:rPr>
      </w:pPr>
      <w:r>
        <w:rPr>
          <w:rFonts w:hint="eastAsia" w:ascii="楷体_GB2312" w:hAnsi="楷体_GB2312" w:eastAsia="楷体_GB2312" w:cs="楷体_GB2312"/>
          <w:color w:val="auto"/>
          <w:sz w:val="32"/>
          <w:szCs w:val="32"/>
          <w:shd w:val="clear" w:color="auto" w:fill="FFFFFF"/>
        </w:rPr>
        <w:t>（一）包括案例背景、采用的人工智能关键技术、所实现的功能和亮点优势</w:t>
      </w:r>
    </w:p>
    <w:p w14:paraId="7DC7ACE9">
      <w:pPr>
        <w:snapToGrid w:val="0"/>
        <w:spacing w:line="560" w:lineRule="exact"/>
        <w:ind w:firstLine="640"/>
        <w:rPr>
          <w:rFonts w:ascii="仿宋_GB2312" w:hAnsi="仿宋_GB2312" w:eastAsia="仿宋_GB2312" w:cs="仿宋_GB2312"/>
          <w:bCs/>
          <w:color w:val="auto"/>
          <w:sz w:val="32"/>
          <w:szCs w:val="32"/>
          <w:shd w:val="clear" w:color="auto" w:fill="FFFFFF"/>
        </w:rPr>
      </w:pPr>
      <w:r>
        <w:rPr>
          <w:rFonts w:hint="eastAsia" w:ascii="仿宋_GB2312" w:hAnsi="仿宋_GB2312" w:eastAsia="仿宋_GB2312" w:cs="仿宋_GB2312"/>
          <w:b/>
          <w:bCs/>
          <w:color w:val="auto"/>
          <w:sz w:val="32"/>
          <w:szCs w:val="32"/>
          <w:shd w:val="clear" w:color="auto" w:fill="FFFFFF"/>
          <w:lang w:eastAsia="zh-CN"/>
        </w:rPr>
        <w:t>1.</w:t>
      </w:r>
      <w:r>
        <w:rPr>
          <w:rFonts w:hint="eastAsia" w:ascii="仿宋_GB2312" w:hAnsi="仿宋_GB2312" w:eastAsia="仿宋_GB2312" w:cs="仿宋_GB2312"/>
          <w:b/>
          <w:bCs/>
          <w:color w:val="auto"/>
          <w:sz w:val="32"/>
          <w:szCs w:val="32"/>
          <w:shd w:val="clear" w:color="auto" w:fill="FFFFFF"/>
        </w:rPr>
        <w:t>案例背景：</w:t>
      </w:r>
      <w:r>
        <w:rPr>
          <w:rFonts w:hint="eastAsia" w:ascii="仿宋_GB2312" w:hAnsi="仿宋_GB2312" w:eastAsia="仿宋_GB2312" w:cs="仿宋_GB2312"/>
          <w:bCs/>
          <w:color w:val="auto"/>
          <w:sz w:val="32"/>
          <w:szCs w:val="32"/>
          <w:shd w:val="clear" w:color="auto" w:fill="FFFFFF"/>
        </w:rPr>
        <w:t>公司过去的设备管理长期依赖人</w:t>
      </w:r>
      <w:r>
        <w:rPr>
          <w:rFonts w:ascii="仿宋_GB2312" w:hAnsi="仿宋_GB2312" w:eastAsia="仿宋_GB2312" w:cs="仿宋_GB2312"/>
          <w:bCs/>
          <w:color w:val="auto"/>
          <w:sz w:val="32"/>
          <w:szCs w:val="32"/>
          <w:shd w:val="clear" w:color="auto" w:fill="FFFFFF"/>
        </w:rPr>
        <w:t>工纸质记录与经验判断，导致点检漏错频发、保养逾期、故障维修效率低。同时，备品备件缺乏数字化追溯，积压与缺件并存；维修经验无法沉淀，重复故障率高；缺乏预判能力，长期依赖事后抢修，严重影响生产连续性。</w:t>
      </w:r>
    </w:p>
    <w:p w14:paraId="0E755282">
      <w:pPr>
        <w:snapToGrid w:val="0"/>
        <w:spacing w:line="560" w:lineRule="exact"/>
        <w:ind w:firstLine="640"/>
        <w:rPr>
          <w:rFonts w:ascii="仿宋_GB2312" w:hAnsi="仿宋_GB2312" w:eastAsia="仿宋_GB2312" w:cs="仿宋_GB2312"/>
          <w:b/>
          <w:bCs/>
          <w:color w:val="auto"/>
          <w:sz w:val="32"/>
          <w:szCs w:val="32"/>
          <w:shd w:val="clear" w:color="auto" w:fill="FFFFFF"/>
        </w:rPr>
      </w:pPr>
      <w:r>
        <w:rPr>
          <w:rFonts w:hint="eastAsia" w:ascii="仿宋_GB2312" w:hAnsi="仿宋_GB2312" w:eastAsia="仿宋_GB2312" w:cs="仿宋_GB2312"/>
          <w:b/>
          <w:bCs/>
          <w:color w:val="auto"/>
          <w:sz w:val="32"/>
          <w:szCs w:val="32"/>
          <w:shd w:val="clear" w:color="auto" w:fill="FFFFFF"/>
          <w:lang w:eastAsia="zh-CN"/>
        </w:rPr>
        <w:t>2.</w:t>
      </w:r>
      <w:r>
        <w:rPr>
          <w:rFonts w:hint="eastAsia" w:ascii="仿宋_GB2312" w:hAnsi="仿宋_GB2312" w:eastAsia="仿宋_GB2312" w:cs="仿宋_GB2312"/>
          <w:b/>
          <w:bCs/>
          <w:color w:val="auto"/>
          <w:sz w:val="32"/>
          <w:szCs w:val="32"/>
          <w:shd w:val="clear" w:color="auto" w:fill="FFFFFF"/>
        </w:rPr>
        <w:t>采用人工智能关键技术：</w:t>
      </w:r>
    </w:p>
    <w:p w14:paraId="1AC35ABD">
      <w:pPr>
        <w:snapToGrid w:val="0"/>
        <w:spacing w:line="560" w:lineRule="exact"/>
        <w:ind w:firstLine="640"/>
        <w:rPr>
          <w:rFonts w:hint="eastAsia" w:ascii="仿宋_GB2312" w:hAnsi="仿宋_GB2312" w:eastAsia="仿宋_GB2312" w:cs="仿宋_GB2312"/>
          <w:bCs/>
          <w:color w:val="auto"/>
          <w:sz w:val="32"/>
          <w:szCs w:val="32"/>
          <w:shd w:val="clear" w:color="auto" w:fill="FFFFFF"/>
        </w:rPr>
      </w:pPr>
      <w:r>
        <w:rPr>
          <w:rFonts w:hint="eastAsia" w:ascii="仿宋_GB2312" w:hAnsi="仿宋_GB2312" w:eastAsia="仿宋_GB2312" w:cs="仿宋_GB2312"/>
          <w:bCs/>
          <w:color w:val="auto"/>
          <w:sz w:val="32"/>
          <w:szCs w:val="32"/>
          <w:shd w:val="clear" w:color="auto" w:fill="FFFFFF"/>
        </w:rPr>
        <w:t>（1）维修知识图谱与</w:t>
      </w:r>
      <w:r>
        <w:rPr>
          <w:rFonts w:ascii="仿宋_GB2312" w:hAnsi="仿宋_GB2312" w:eastAsia="仿宋_GB2312" w:cs="仿宋_GB2312"/>
          <w:bCs/>
          <w:color w:val="auto"/>
          <w:sz w:val="32"/>
          <w:szCs w:val="32"/>
          <w:shd w:val="clear" w:color="auto" w:fill="FFFFFF"/>
        </w:rPr>
        <w:t>D</w:t>
      </w:r>
      <w:r>
        <w:rPr>
          <w:rFonts w:hint="eastAsia" w:ascii="仿宋_GB2312" w:hAnsi="仿宋_GB2312" w:eastAsia="仿宋_GB2312" w:cs="仿宋_GB2312"/>
          <w:bCs/>
          <w:color w:val="auto"/>
          <w:sz w:val="32"/>
          <w:szCs w:val="32"/>
          <w:shd w:val="clear" w:color="auto" w:fill="FFFFFF"/>
        </w:rPr>
        <w:t>i</w:t>
      </w:r>
      <w:r>
        <w:rPr>
          <w:rFonts w:ascii="仿宋_GB2312" w:hAnsi="仿宋_GB2312" w:eastAsia="仿宋_GB2312" w:cs="仿宋_GB2312"/>
          <w:bCs/>
          <w:color w:val="auto"/>
          <w:sz w:val="32"/>
          <w:szCs w:val="32"/>
          <w:shd w:val="clear" w:color="auto" w:fill="FFFFFF"/>
        </w:rPr>
        <w:t>fy AI</w:t>
      </w:r>
      <w:r>
        <w:rPr>
          <w:rFonts w:hint="eastAsia" w:ascii="仿宋_GB2312" w:hAnsi="仿宋_GB2312" w:eastAsia="仿宋_GB2312" w:cs="仿宋_GB2312"/>
          <w:bCs/>
          <w:color w:val="auto"/>
          <w:sz w:val="32"/>
          <w:szCs w:val="32"/>
          <w:shd w:val="clear" w:color="auto" w:fill="FFFFFF"/>
        </w:rPr>
        <w:t>助手</w:t>
      </w:r>
    </w:p>
    <w:p w14:paraId="5F215701">
      <w:pPr>
        <w:snapToGrid w:val="0"/>
        <w:spacing w:line="560" w:lineRule="exact"/>
        <w:ind w:firstLine="640"/>
        <w:rPr>
          <w:rFonts w:ascii="仿宋_GB2312" w:hAnsi="仿宋_GB2312" w:eastAsia="仿宋_GB2312" w:cs="仿宋_GB2312"/>
          <w:bCs/>
          <w:color w:val="auto"/>
          <w:sz w:val="32"/>
          <w:szCs w:val="32"/>
          <w:shd w:val="clear" w:color="auto" w:fill="FFFFFF"/>
        </w:rPr>
      </w:pPr>
      <w:r>
        <w:rPr>
          <w:rFonts w:hint="eastAsia" w:ascii="仿宋_GB2312" w:hAnsi="仿宋_GB2312" w:eastAsia="仿宋_GB2312" w:cs="仿宋_GB2312"/>
          <w:bCs/>
          <w:color w:val="auto"/>
          <w:sz w:val="32"/>
          <w:szCs w:val="32"/>
          <w:shd w:val="clear" w:color="auto" w:fill="FFFFFF"/>
        </w:rPr>
        <w:t>（2）移动端数字化点检技术</w:t>
      </w:r>
    </w:p>
    <w:p w14:paraId="0BCCDECC">
      <w:pPr>
        <w:snapToGrid w:val="0"/>
        <w:spacing w:line="560" w:lineRule="exact"/>
        <w:ind w:firstLine="640"/>
        <w:rPr>
          <w:rFonts w:ascii="仿宋_GB2312" w:hAnsi="仿宋_GB2312" w:eastAsia="仿宋_GB2312" w:cs="仿宋_GB2312"/>
          <w:b/>
          <w:bCs/>
          <w:color w:val="auto"/>
          <w:sz w:val="32"/>
          <w:szCs w:val="32"/>
          <w:shd w:val="clear" w:color="auto" w:fill="FFFFFF"/>
        </w:rPr>
      </w:pPr>
      <w:r>
        <w:rPr>
          <w:rFonts w:hint="eastAsia" w:ascii="仿宋_GB2312" w:hAnsi="仿宋_GB2312" w:eastAsia="仿宋_GB2312" w:cs="仿宋_GB2312"/>
          <w:b/>
          <w:bCs/>
          <w:color w:val="auto"/>
          <w:sz w:val="32"/>
          <w:szCs w:val="32"/>
          <w:shd w:val="clear" w:color="auto" w:fill="FFFFFF"/>
          <w:lang w:eastAsia="zh-CN"/>
        </w:rPr>
        <w:t>3.</w:t>
      </w:r>
      <w:r>
        <w:rPr>
          <w:rFonts w:hint="eastAsia" w:ascii="仿宋_GB2312" w:hAnsi="仿宋_GB2312" w:eastAsia="仿宋_GB2312" w:cs="仿宋_GB2312"/>
          <w:b/>
          <w:bCs/>
          <w:color w:val="auto"/>
          <w:sz w:val="32"/>
          <w:szCs w:val="32"/>
          <w:shd w:val="clear" w:color="auto" w:fill="FFFFFF"/>
        </w:rPr>
        <w:t>实现功能与亮点优势：</w:t>
      </w:r>
    </w:p>
    <w:p w14:paraId="52E5197E">
      <w:pPr>
        <w:snapToGrid w:val="0"/>
        <w:spacing w:line="560" w:lineRule="exact"/>
        <w:ind w:firstLine="640"/>
        <w:rPr>
          <w:rFonts w:ascii="仿宋_GB2312" w:hAnsi="仿宋_GB2312" w:eastAsia="仿宋_GB2312" w:cs="仿宋_GB2312"/>
          <w:bCs/>
          <w:color w:val="auto"/>
          <w:sz w:val="32"/>
          <w:szCs w:val="32"/>
          <w:shd w:val="clear" w:color="auto" w:fill="FFFFFF"/>
        </w:rPr>
      </w:pPr>
      <w:r>
        <w:rPr>
          <w:rFonts w:hint="eastAsia" w:ascii="仿宋_GB2312" w:hAnsi="仿宋_GB2312" w:eastAsia="仿宋_GB2312" w:cs="仿宋_GB2312"/>
          <w:b/>
          <w:color w:val="auto"/>
          <w:sz w:val="32"/>
          <w:szCs w:val="32"/>
          <w:shd w:val="clear" w:color="auto" w:fill="FFFFFF"/>
        </w:rPr>
        <w:t>（1）</w:t>
      </w:r>
      <w:r>
        <w:rPr>
          <w:rFonts w:ascii="仿宋_GB2312" w:hAnsi="仿宋_GB2312" w:eastAsia="仿宋_GB2312" w:cs="仿宋_GB2312"/>
          <w:b/>
          <w:color w:val="auto"/>
          <w:sz w:val="32"/>
          <w:szCs w:val="32"/>
          <w:shd w:val="clear" w:color="auto" w:fill="FFFFFF"/>
        </w:rPr>
        <w:t>实现功能</w:t>
      </w:r>
      <w:r>
        <w:rPr>
          <w:rFonts w:ascii="仿宋_GB2312" w:hAnsi="仿宋_GB2312" w:eastAsia="仿宋_GB2312" w:cs="仿宋_GB2312"/>
          <w:b/>
          <w:bCs/>
          <w:color w:val="auto"/>
          <w:sz w:val="32"/>
          <w:szCs w:val="32"/>
          <w:shd w:val="clear" w:color="auto" w:fill="FFFFFF"/>
        </w:rPr>
        <w:t>：</w:t>
      </w:r>
      <w:r>
        <w:rPr>
          <w:rFonts w:ascii="仿宋_GB2312" w:hAnsi="仿宋_GB2312" w:eastAsia="仿宋_GB2312" w:cs="仿宋_GB2312"/>
          <w:bCs/>
          <w:color w:val="auto"/>
          <w:sz w:val="32"/>
          <w:szCs w:val="32"/>
          <w:shd w:val="clear" w:color="auto" w:fill="FFFFFF"/>
        </w:rPr>
        <w:t>部署移动端点检APP与自动保养推送；搭建AI故障预测模型；建立备件全流程线上追溯；构建维修知识库及AI检索助手。</w:t>
      </w:r>
    </w:p>
    <w:p w14:paraId="73120699">
      <w:pPr>
        <w:snapToGrid w:val="0"/>
        <w:spacing w:line="560" w:lineRule="exact"/>
        <w:ind w:firstLine="640"/>
        <w:rPr>
          <w:rFonts w:hint="eastAsia" w:ascii="仿宋_GB2312" w:hAnsi="仿宋_GB2312" w:eastAsia="仿宋_GB2312" w:cs="仿宋_GB2312"/>
          <w:bCs/>
          <w:color w:val="auto"/>
          <w:sz w:val="32"/>
          <w:szCs w:val="32"/>
          <w:shd w:val="clear" w:color="auto" w:fill="FFFFFF"/>
        </w:rPr>
      </w:pPr>
      <w:r>
        <w:rPr>
          <w:rFonts w:hint="eastAsia" w:ascii="仿宋_GB2312" w:hAnsi="仿宋_GB2312" w:eastAsia="仿宋_GB2312" w:cs="仿宋_GB2312"/>
          <w:b/>
          <w:color w:val="auto"/>
          <w:sz w:val="32"/>
          <w:szCs w:val="32"/>
          <w:shd w:val="clear" w:color="auto" w:fill="FFFFFF"/>
        </w:rPr>
        <w:t>（2）</w:t>
      </w:r>
      <w:r>
        <w:rPr>
          <w:rFonts w:ascii="仿宋_GB2312" w:hAnsi="仿宋_GB2312" w:eastAsia="仿宋_GB2312" w:cs="仿宋_GB2312"/>
          <w:b/>
          <w:color w:val="auto"/>
          <w:sz w:val="32"/>
          <w:szCs w:val="32"/>
          <w:shd w:val="clear" w:color="auto" w:fill="FFFFFF"/>
        </w:rPr>
        <w:t>亮点优势</w:t>
      </w:r>
      <w:r>
        <w:rPr>
          <w:rFonts w:ascii="仿宋_GB2312" w:hAnsi="仿宋_GB2312" w:eastAsia="仿宋_GB2312" w:cs="仿宋_GB2312"/>
          <w:b/>
          <w:bCs/>
          <w:color w:val="auto"/>
          <w:sz w:val="32"/>
          <w:szCs w:val="32"/>
          <w:shd w:val="clear" w:color="auto" w:fill="FFFFFF"/>
        </w:rPr>
        <w:t>：</w:t>
      </w:r>
      <w:r>
        <w:rPr>
          <w:rFonts w:ascii="仿宋_GB2312" w:hAnsi="仿宋_GB2312" w:eastAsia="仿宋_GB2312" w:cs="仿宋_GB2312"/>
          <w:bCs/>
          <w:color w:val="auto"/>
          <w:sz w:val="32"/>
          <w:szCs w:val="32"/>
          <w:shd w:val="clear" w:color="auto" w:fill="FFFFFF"/>
        </w:rPr>
        <w:t>变纸质记录为实时数据，杜绝漏检与逾期保养；变事后维修为预测预警，降低非计划停机；变备件无序为全程可溯，减少积压与缺件；变经验依赖为智能检索，加速故障定位与技能传承。</w:t>
      </w:r>
    </w:p>
    <w:p w14:paraId="28B203BA">
      <w:pPr>
        <w:snapToGrid w:val="0"/>
        <w:spacing w:line="560" w:lineRule="exact"/>
        <w:ind w:firstLine="640"/>
        <w:rPr>
          <w:rFonts w:hint="eastAsia" w:ascii="楷体_GB2312" w:hAnsi="楷体_GB2312" w:eastAsia="楷体_GB2312" w:cs="楷体_GB2312"/>
          <w:color w:val="auto"/>
          <w:sz w:val="32"/>
          <w:szCs w:val="32"/>
          <w:shd w:val="clear" w:color="auto" w:fill="FFFFFF"/>
        </w:rPr>
      </w:pPr>
      <w:r>
        <w:rPr>
          <w:rFonts w:hint="eastAsia" w:ascii="楷体_GB2312" w:hAnsi="楷体_GB2312" w:eastAsia="楷体_GB2312" w:cs="楷体_GB2312"/>
          <w:color w:val="auto"/>
          <w:sz w:val="32"/>
          <w:szCs w:val="32"/>
          <w:shd w:val="clear" w:color="auto" w:fill="FFFFFF"/>
        </w:rPr>
        <w:t>（二）具体应用成效。</w:t>
      </w:r>
    </w:p>
    <w:p w14:paraId="2A5AC9B4">
      <w:pPr>
        <w:snapToGrid w:val="0"/>
        <w:spacing w:line="560" w:lineRule="exact"/>
        <w:ind w:firstLine="640"/>
        <w:rPr>
          <w:rFonts w:ascii="仿宋_GB2312" w:hAnsi="仿宋_GB2312" w:eastAsia="仿宋_GB2312" w:cs="仿宋_GB2312"/>
          <w:bCs/>
          <w:color w:val="auto"/>
          <w:sz w:val="32"/>
          <w:szCs w:val="32"/>
          <w:shd w:val="clear" w:color="auto" w:fill="FFFFFF"/>
        </w:rPr>
      </w:pPr>
      <w:r>
        <w:rPr>
          <w:rFonts w:hint="eastAsia" w:ascii="仿宋_GB2312" w:hAnsi="仿宋_GB2312" w:eastAsia="仿宋_GB2312" w:cs="仿宋_GB2312"/>
          <w:bCs/>
          <w:color w:val="auto"/>
          <w:sz w:val="32"/>
          <w:szCs w:val="32"/>
          <w:shd w:val="clear" w:color="auto" w:fill="FFFFFF"/>
        </w:rPr>
        <w:t>1.无纸化点检率100%，漏检率降至50%；</w:t>
      </w:r>
    </w:p>
    <w:p w14:paraId="3779CDEE">
      <w:pPr>
        <w:snapToGrid w:val="0"/>
        <w:spacing w:line="560" w:lineRule="exact"/>
        <w:ind w:firstLine="640"/>
        <w:rPr>
          <w:rFonts w:ascii="仿宋_GB2312" w:hAnsi="仿宋_GB2312" w:eastAsia="仿宋_GB2312" w:cs="仿宋_GB2312"/>
          <w:bCs/>
          <w:color w:val="auto"/>
          <w:sz w:val="32"/>
          <w:szCs w:val="32"/>
          <w:shd w:val="clear" w:color="auto" w:fill="FFFFFF"/>
        </w:rPr>
      </w:pPr>
      <w:r>
        <w:rPr>
          <w:rFonts w:hint="eastAsia" w:ascii="仿宋_GB2312" w:hAnsi="仿宋_GB2312" w:eastAsia="仿宋_GB2312" w:cs="仿宋_GB2312"/>
          <w:bCs/>
          <w:color w:val="auto"/>
          <w:sz w:val="32"/>
          <w:szCs w:val="32"/>
          <w:shd w:val="clear" w:color="auto" w:fill="FFFFFF"/>
        </w:rPr>
        <w:t>2.设备保养计划执行率≥99%，逾期保养次数减少80%；</w:t>
      </w:r>
    </w:p>
    <w:p w14:paraId="515BEFFC">
      <w:pPr>
        <w:snapToGrid w:val="0"/>
        <w:spacing w:line="560" w:lineRule="exact"/>
        <w:ind w:firstLine="640"/>
        <w:rPr>
          <w:rFonts w:ascii="仿宋_GB2312" w:hAnsi="仿宋_GB2312" w:eastAsia="仿宋_GB2312" w:cs="仿宋_GB2312"/>
          <w:bCs/>
          <w:color w:val="auto"/>
          <w:sz w:val="32"/>
          <w:szCs w:val="32"/>
          <w:shd w:val="clear" w:color="auto" w:fill="FFFFFF"/>
        </w:rPr>
      </w:pPr>
      <w:r>
        <w:rPr>
          <w:rFonts w:hint="eastAsia" w:ascii="仿宋_GB2312" w:hAnsi="仿宋_GB2312" w:eastAsia="仿宋_GB2312" w:cs="仿宋_GB2312"/>
          <w:bCs/>
          <w:color w:val="auto"/>
          <w:sz w:val="32"/>
          <w:szCs w:val="32"/>
          <w:shd w:val="clear" w:color="auto" w:fill="FFFFFF"/>
        </w:rPr>
        <w:t>3.设备故障平均诊断时间缩短60%，维修效率提升50%；</w:t>
      </w:r>
    </w:p>
    <w:p w14:paraId="6BBC8BF1">
      <w:pPr>
        <w:snapToGrid w:val="0"/>
        <w:spacing w:line="560" w:lineRule="exact"/>
        <w:ind w:firstLine="640"/>
        <w:rPr>
          <w:rFonts w:ascii="仿宋_GB2312" w:hAnsi="仿宋_GB2312" w:eastAsia="仿宋_GB2312" w:cs="仿宋_GB2312"/>
          <w:bCs/>
          <w:color w:val="auto"/>
          <w:sz w:val="32"/>
          <w:szCs w:val="32"/>
          <w:shd w:val="clear" w:color="auto" w:fill="FFFFFF"/>
        </w:rPr>
      </w:pPr>
      <w:r>
        <w:rPr>
          <w:rFonts w:hint="eastAsia" w:ascii="仿宋_GB2312" w:hAnsi="仿宋_GB2312" w:eastAsia="仿宋_GB2312" w:cs="仿宋_GB2312"/>
          <w:bCs/>
          <w:color w:val="auto"/>
          <w:sz w:val="32"/>
          <w:szCs w:val="32"/>
          <w:shd w:val="clear" w:color="auto" w:fill="FFFFFF"/>
        </w:rPr>
        <w:t>4.设备综合效率（OEE）提升</w:t>
      </w:r>
      <w:r>
        <w:rPr>
          <w:rFonts w:hint="eastAsia" w:ascii="仿宋_GB2312" w:hAnsi="仿宋_GB2312" w:eastAsia="仿宋_GB2312" w:cs="仿宋_GB2312"/>
          <w:bCs/>
          <w:color w:val="auto"/>
          <w:sz w:val="32"/>
          <w:szCs w:val="32"/>
          <w:shd w:val="clear" w:color="auto" w:fill="FFFFFF"/>
          <w:lang w:eastAsia="zh-CN"/>
        </w:rPr>
        <w:t>12%—15%</w:t>
      </w:r>
      <w:r>
        <w:rPr>
          <w:rFonts w:hint="eastAsia" w:ascii="仿宋_GB2312" w:hAnsi="仿宋_GB2312" w:eastAsia="仿宋_GB2312" w:cs="仿宋_GB2312"/>
          <w:bCs/>
          <w:color w:val="auto"/>
          <w:sz w:val="32"/>
          <w:szCs w:val="32"/>
          <w:shd w:val="clear" w:color="auto" w:fill="FFFFFF"/>
        </w:rPr>
        <w:t>；</w:t>
      </w:r>
    </w:p>
    <w:p w14:paraId="462554AC">
      <w:pPr>
        <w:snapToGrid w:val="0"/>
        <w:spacing w:line="560" w:lineRule="exact"/>
        <w:ind w:firstLine="640"/>
        <w:rPr>
          <w:rFonts w:ascii="仿宋_GB2312" w:hAnsi="仿宋_GB2312" w:eastAsia="仿宋_GB2312" w:cs="仿宋_GB2312"/>
          <w:bCs/>
          <w:color w:val="auto"/>
          <w:sz w:val="32"/>
          <w:szCs w:val="32"/>
          <w:shd w:val="clear" w:color="auto" w:fill="FFFFFF"/>
        </w:rPr>
      </w:pPr>
      <w:r>
        <w:rPr>
          <w:rFonts w:hint="eastAsia" w:ascii="仿宋_GB2312" w:hAnsi="仿宋_GB2312" w:eastAsia="仿宋_GB2312" w:cs="仿宋_GB2312"/>
          <w:bCs/>
          <w:color w:val="auto"/>
          <w:sz w:val="32"/>
          <w:szCs w:val="32"/>
          <w:shd w:val="clear" w:color="auto" w:fill="FFFFFF"/>
        </w:rPr>
        <w:t>5.AI维修助手故障方案匹配准确率≥85%。</w:t>
      </w:r>
    </w:p>
    <w:p w14:paraId="013E96E4">
      <w:pPr>
        <w:snapToGrid w:val="0"/>
        <w:spacing w:line="560" w:lineRule="exact"/>
        <w:ind w:firstLine="640"/>
        <w:rPr>
          <w:rFonts w:hint="eastAsia" w:ascii="黑体" w:hAnsi="黑体" w:eastAsia="黑体" w:cs="黑体"/>
          <w:color w:val="auto"/>
          <w:sz w:val="32"/>
          <w:szCs w:val="32"/>
          <w:shd w:val="clear" w:color="auto" w:fill="FFFFFF"/>
        </w:rPr>
      </w:pPr>
      <w:r>
        <w:rPr>
          <w:rFonts w:hint="eastAsia" w:ascii="黑体" w:hAnsi="黑体" w:eastAsia="黑体" w:cs="黑体"/>
          <w:color w:val="auto"/>
          <w:sz w:val="32"/>
          <w:szCs w:val="32"/>
          <w:shd w:val="clear" w:color="auto" w:fill="FFFFFF"/>
        </w:rPr>
        <w:t>三、案例所获得荣誉、复制推广情况等</w:t>
      </w:r>
    </w:p>
    <w:p w14:paraId="50D379C1">
      <w:pPr>
        <w:snapToGrid w:val="0"/>
        <w:spacing w:line="560" w:lineRule="exact"/>
        <w:ind w:firstLine="640"/>
        <w:rPr>
          <w:rFonts w:ascii="仿宋_GB2312" w:hAnsi="仿宋_GB2312" w:eastAsia="仿宋_GB2312" w:cs="仿宋_GB2312"/>
          <w:bCs/>
          <w:color w:val="auto"/>
          <w:sz w:val="32"/>
          <w:szCs w:val="32"/>
          <w:shd w:val="clear" w:color="auto" w:fill="FFFFFF"/>
        </w:rPr>
      </w:pPr>
      <w:r>
        <w:rPr>
          <w:rFonts w:hint="eastAsia" w:ascii="楷体_GB2312" w:hAnsi="楷体_GB2312" w:eastAsia="楷体_GB2312" w:cs="楷体_GB2312"/>
          <w:color w:val="auto"/>
          <w:sz w:val="32"/>
          <w:szCs w:val="32"/>
          <w:shd w:val="clear" w:color="auto" w:fill="FFFFFF"/>
        </w:rPr>
        <w:t>（一）经济性：</w:t>
      </w:r>
      <w:r>
        <w:rPr>
          <w:rFonts w:hint="eastAsia" w:ascii="仿宋_GB2312" w:hAnsi="仿宋_GB2312" w:eastAsia="仿宋_GB2312" w:cs="仿宋_GB2312"/>
          <w:bCs/>
          <w:color w:val="auto"/>
          <w:sz w:val="32"/>
          <w:szCs w:val="32"/>
          <w:shd w:val="clear" w:color="auto" w:fill="FFFFFF"/>
        </w:rPr>
        <w:t>大幅降低设备抢修成本、备件积压资金，减少停机造成的产能损失，年度设备运维成本降低20%以上，投入回收期短于18个月；设备寿命延长10%，进一步降低设备更新投入。</w:t>
      </w:r>
    </w:p>
    <w:p w14:paraId="3B81C35E">
      <w:pPr>
        <w:snapToGrid w:val="0"/>
        <w:spacing w:line="560" w:lineRule="exact"/>
        <w:ind w:firstLine="640"/>
        <w:rPr>
          <w:rFonts w:hint="eastAsia" w:ascii="仿宋_GB2312" w:hAnsi="仿宋_GB2312" w:eastAsia="仿宋_GB2312" w:cs="仿宋_GB2312"/>
          <w:bCs/>
          <w:color w:val="auto"/>
          <w:sz w:val="32"/>
          <w:szCs w:val="32"/>
          <w:shd w:val="clear" w:color="auto" w:fill="FFFFFF"/>
        </w:rPr>
      </w:pPr>
      <w:r>
        <w:rPr>
          <w:rFonts w:hint="eastAsia" w:ascii="楷体_GB2312" w:hAnsi="楷体_GB2312" w:eastAsia="楷体_GB2312" w:cs="楷体_GB2312"/>
          <w:color w:val="auto"/>
          <w:sz w:val="32"/>
          <w:szCs w:val="32"/>
          <w:shd w:val="clear" w:color="auto" w:fill="FFFFFF"/>
        </w:rPr>
        <w:t>（二）可推广性：</w:t>
      </w:r>
      <w:r>
        <w:rPr>
          <w:rFonts w:hint="eastAsia" w:ascii="仿宋_GB2312" w:hAnsi="仿宋_GB2312" w:eastAsia="仿宋_GB2312" w:cs="仿宋_GB2312"/>
          <w:bCs/>
          <w:color w:val="auto"/>
          <w:sz w:val="32"/>
          <w:szCs w:val="32"/>
          <w:shd w:val="clear" w:color="auto" w:fill="FFFFFF"/>
        </w:rPr>
        <w:t>方案适配各类生产、辅助设备，数字化运维模式可快速复制至工厂全车间，适用于离散制造、流程制造等各类制造场景，标准化模块+AI助手模式适配不同规模工厂，落地门槛低、通用性强。</w:t>
      </w:r>
    </w:p>
    <w:p w14:paraId="14C8F40F">
      <w:pPr>
        <w:snapToGrid w:val="0"/>
        <w:spacing w:line="560" w:lineRule="exact"/>
        <w:ind w:firstLine="640"/>
        <w:rPr>
          <w:rFonts w:hint="eastAsia" w:ascii="仿宋_GB2312" w:hAnsi="仿宋_GB2312" w:eastAsia="仿宋_GB2312" w:cs="仿宋_GB2312"/>
          <w:bCs/>
          <w:color w:val="auto"/>
          <w:sz w:val="32"/>
          <w:szCs w:val="32"/>
          <w:shd w:val="clear" w:color="auto" w:fill="FFFFFF"/>
        </w:rPr>
      </w:pPr>
      <w:r>
        <w:rPr>
          <w:color w:val="auto"/>
        </w:rPr>
        <w:drawing>
          <wp:anchor distT="0" distB="0" distL="114300" distR="114300" simplePos="0" relativeHeight="251688960" behindDoc="1" locked="0" layoutInCell="1" allowOverlap="1">
            <wp:simplePos x="0" y="0"/>
            <wp:positionH relativeFrom="column">
              <wp:posOffset>475615</wp:posOffset>
            </wp:positionH>
            <wp:positionV relativeFrom="page">
              <wp:posOffset>7040245</wp:posOffset>
            </wp:positionV>
            <wp:extent cx="4434205" cy="2421890"/>
            <wp:effectExtent l="0" t="0" r="635" b="1270"/>
            <wp:wrapThrough wrapText="bothSides">
              <wp:wrapPolygon>
                <wp:start x="12472" y="0"/>
                <wp:lineTo x="0" y="0"/>
                <wp:lineTo x="0" y="17534"/>
                <wp:lineTo x="2004" y="19573"/>
                <wp:lineTo x="2004" y="21339"/>
                <wp:lineTo x="18411" y="21339"/>
                <wp:lineTo x="21380" y="21068"/>
                <wp:lineTo x="21380" y="20796"/>
                <wp:lineTo x="19302" y="19573"/>
                <wp:lineTo x="19970" y="19573"/>
                <wp:lineTo x="21158" y="18213"/>
                <wp:lineTo x="21306" y="10874"/>
                <wp:lineTo x="21083" y="6524"/>
                <wp:lineTo x="21380" y="4349"/>
                <wp:lineTo x="21380" y="0"/>
                <wp:lineTo x="12472" y="0"/>
              </wp:wrapPolygon>
            </wp:wrapThrough>
            <wp:docPr id="2"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6"/>
                    <pic:cNvPicPr>
                      <a:picLocks noChangeAspect="1"/>
                    </pic:cNvPicPr>
                  </pic:nvPicPr>
                  <pic:blipFill>
                    <a:blip r:embed="rId13"/>
                    <a:stretch>
                      <a:fillRect/>
                    </a:stretch>
                  </pic:blipFill>
                  <pic:spPr>
                    <a:xfrm>
                      <a:off x="0" y="0"/>
                      <a:ext cx="4434205" cy="2421890"/>
                    </a:xfrm>
                    <a:prstGeom prst="rect">
                      <a:avLst/>
                    </a:prstGeom>
                    <a:noFill/>
                    <a:ln>
                      <a:noFill/>
                    </a:ln>
                  </pic:spPr>
                </pic:pic>
              </a:graphicData>
            </a:graphic>
          </wp:anchor>
        </w:drawing>
      </w:r>
    </w:p>
    <w:p w14:paraId="315B0264">
      <w:pPr>
        <w:snapToGrid w:val="0"/>
        <w:spacing w:line="560" w:lineRule="exact"/>
        <w:ind w:firstLine="640"/>
        <w:rPr>
          <w:rFonts w:hint="eastAsia" w:ascii="仿宋_GB2312" w:hAnsi="仿宋_GB2312" w:eastAsia="仿宋_GB2312" w:cs="仿宋_GB2312"/>
          <w:bCs/>
          <w:color w:val="auto"/>
          <w:sz w:val="32"/>
          <w:szCs w:val="32"/>
          <w:shd w:val="clear" w:color="auto" w:fill="FFFFFF"/>
        </w:rPr>
      </w:pPr>
    </w:p>
    <w:p w14:paraId="0658F9BE">
      <w:pPr>
        <w:snapToGrid w:val="0"/>
        <w:spacing w:line="560" w:lineRule="exact"/>
        <w:ind w:firstLine="640"/>
        <w:rPr>
          <w:rFonts w:hint="eastAsia" w:ascii="仿宋_GB2312" w:hAnsi="仿宋_GB2312" w:eastAsia="仿宋_GB2312" w:cs="仿宋_GB2312"/>
          <w:bCs/>
          <w:color w:val="auto"/>
          <w:sz w:val="32"/>
          <w:szCs w:val="32"/>
          <w:shd w:val="clear" w:color="auto" w:fill="FFFFFF"/>
        </w:rPr>
      </w:pPr>
    </w:p>
    <w:p w14:paraId="19DFE87D">
      <w:pPr>
        <w:snapToGrid w:val="0"/>
        <w:spacing w:line="560" w:lineRule="exact"/>
        <w:ind w:firstLine="640"/>
        <w:rPr>
          <w:rFonts w:hint="eastAsia" w:ascii="仿宋_GB2312" w:hAnsi="仿宋_GB2312" w:eastAsia="仿宋_GB2312" w:cs="仿宋_GB2312"/>
          <w:bCs/>
          <w:color w:val="auto"/>
          <w:sz w:val="32"/>
          <w:szCs w:val="32"/>
          <w:shd w:val="clear" w:color="auto" w:fill="FFFFFF"/>
        </w:rPr>
      </w:pPr>
    </w:p>
    <w:p w14:paraId="687068C1">
      <w:pPr>
        <w:snapToGrid w:val="0"/>
        <w:spacing w:line="560" w:lineRule="exact"/>
        <w:ind w:firstLine="640"/>
        <w:rPr>
          <w:rFonts w:hint="eastAsia" w:ascii="仿宋_GB2312" w:hAnsi="仿宋_GB2312" w:eastAsia="仿宋_GB2312" w:cs="仿宋_GB2312"/>
          <w:bCs/>
          <w:color w:val="auto"/>
          <w:sz w:val="32"/>
          <w:szCs w:val="32"/>
          <w:shd w:val="clear" w:color="auto" w:fill="FFFFFF"/>
        </w:rPr>
      </w:pPr>
    </w:p>
    <w:p w14:paraId="0E17421C">
      <w:pPr>
        <w:snapToGrid w:val="0"/>
        <w:spacing w:line="560" w:lineRule="exact"/>
        <w:ind w:firstLine="640"/>
        <w:rPr>
          <w:rFonts w:hint="eastAsia" w:ascii="仿宋_GB2312" w:hAnsi="仿宋_GB2312" w:eastAsia="仿宋_GB2312" w:cs="仿宋_GB2312"/>
          <w:bCs/>
          <w:color w:val="auto"/>
          <w:sz w:val="32"/>
          <w:szCs w:val="32"/>
          <w:shd w:val="clear" w:color="auto" w:fill="FFFFFF"/>
        </w:rPr>
      </w:pPr>
    </w:p>
    <w:p w14:paraId="68176E7E">
      <w:pPr>
        <w:snapToGrid w:val="0"/>
        <w:spacing w:line="560" w:lineRule="exact"/>
        <w:ind w:firstLine="640"/>
        <w:rPr>
          <w:rFonts w:hint="eastAsia" w:ascii="仿宋_GB2312" w:hAnsi="仿宋_GB2312" w:eastAsia="仿宋_GB2312" w:cs="仿宋_GB2312"/>
          <w:bCs/>
          <w:color w:val="auto"/>
          <w:sz w:val="32"/>
          <w:szCs w:val="32"/>
          <w:shd w:val="clear" w:color="auto" w:fill="FFFFFF"/>
        </w:rPr>
      </w:pPr>
    </w:p>
    <w:p w14:paraId="2CA0120E">
      <w:pPr>
        <w:pStyle w:val="12"/>
        <w:pageBreakBefore/>
        <w:rPr>
          <w:color w:val="auto"/>
        </w:rPr>
      </w:pPr>
      <w:bookmarkStart w:id="4" w:name="_Toc16469"/>
      <w:r>
        <w:rPr>
          <w:color w:val="auto"/>
        </w:rPr>
        <w:t>案例 04　富日智造绿色印刷新材料全流程数字化管控先进级智能工厂</w:t>
      </w:r>
      <w:bookmarkEnd w:id="4"/>
    </w:p>
    <w:p w14:paraId="518B0130">
      <w:pPr>
        <w:spacing w:after="40"/>
        <w:jc w:val="left"/>
        <w:rPr>
          <w:rFonts w:ascii="楷体" w:hAnsi="楷体" w:eastAsia="楷体"/>
          <w:color w:val="auto"/>
          <w:sz w:val="22"/>
        </w:rPr>
      </w:pPr>
      <w:r>
        <w:rPr>
          <w:rFonts w:ascii="楷体" w:hAnsi="楷体" w:eastAsia="楷体"/>
          <w:color w:val="auto"/>
          <w:sz w:val="22"/>
        </w:rPr>
        <w:t>申报单位：中山市富日印刷材料有限公司</w:t>
      </w:r>
    </w:p>
    <w:p w14:paraId="60E9360B">
      <w:pPr>
        <w:snapToGrid w:val="0"/>
        <w:spacing w:line="560" w:lineRule="exact"/>
        <w:rPr>
          <w:rFonts w:hint="eastAsia" w:ascii="仿宋_GB2312" w:hAnsi="仿宋_GB2312" w:eastAsia="仿宋_GB2312" w:cs="仿宋_GB2312"/>
          <w:color w:val="auto"/>
          <w:sz w:val="32"/>
          <w:szCs w:val="32"/>
          <w:shd w:val="clear" w:color="auto" w:fill="FFFFFF"/>
        </w:rPr>
      </w:pPr>
    </w:p>
    <w:p w14:paraId="6898C386">
      <w:pPr>
        <w:snapToGrid w:val="0"/>
        <w:spacing w:line="560" w:lineRule="exact"/>
        <w:ind w:firstLine="640"/>
        <w:rPr>
          <w:rFonts w:hint="eastAsia" w:ascii="黑体" w:hAnsi="黑体" w:eastAsia="黑体" w:cs="黑体"/>
          <w:color w:val="auto"/>
          <w:sz w:val="32"/>
          <w:szCs w:val="32"/>
          <w:shd w:val="clear" w:color="auto" w:fill="FFFFFF"/>
        </w:rPr>
      </w:pPr>
      <w:r>
        <w:rPr>
          <w:rFonts w:hint="eastAsia" w:ascii="黑体" w:hAnsi="黑体" w:eastAsia="黑体" w:cs="黑体"/>
          <w:color w:val="auto"/>
          <w:sz w:val="32"/>
          <w:szCs w:val="32"/>
          <w:shd w:val="clear" w:color="auto" w:fill="FFFFFF"/>
        </w:rPr>
        <w:t>一、案例基本情况</w:t>
      </w:r>
    </w:p>
    <w:p w14:paraId="0A2827FA">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（一）案例名称：富日智造绿色印刷新材料全流程数字化管控先进级智能工厂。</w:t>
      </w:r>
    </w:p>
    <w:p w14:paraId="599C6924">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（二）人工智能技术应用方：中山市富日印刷材料有限公司。</w:t>
      </w:r>
    </w:p>
    <w:p w14:paraId="710C6C3F">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（三）人工智能技术供给方：中山市富日印刷材料有限公司。</w:t>
      </w:r>
    </w:p>
    <w:p w14:paraId="62EC3C80">
      <w:pPr>
        <w:snapToGrid w:val="0"/>
        <w:spacing w:line="560" w:lineRule="exact"/>
        <w:ind w:firstLine="640"/>
        <w:rPr>
          <w:rFonts w:ascii="仿宋_GB2312" w:hAnsi="仿宋_GB2312" w:eastAsia="仿宋_GB2312" w:cs="仿宋_GB2312"/>
          <w:b/>
          <w:bCs/>
          <w:color w:val="auto"/>
          <w:sz w:val="32"/>
          <w:szCs w:val="32"/>
          <w:shd w:val="clear" w:color="auto" w:fill="FFFFFF"/>
        </w:rPr>
      </w:pPr>
      <w:r>
        <w:rPr>
          <w:rFonts w:hint="eastAsia" w:ascii="仿宋_GB2312" w:hAnsi="仿宋_GB2312" w:eastAsia="仿宋_GB2312" w:cs="仿宋_GB2312"/>
          <w:b/>
          <w:bCs/>
          <w:color w:val="auto"/>
          <w:sz w:val="32"/>
          <w:szCs w:val="32"/>
          <w:shd w:val="clear" w:color="auto" w:fill="FFFFFF"/>
        </w:rPr>
        <w:t>应用企业简介：</w:t>
      </w:r>
    </w:p>
    <w:p w14:paraId="0FB025EE">
      <w:pPr>
        <w:snapToGrid w:val="0"/>
        <w:spacing w:line="560" w:lineRule="exact"/>
        <w:ind w:firstLine="640"/>
        <w:rPr>
          <w:rFonts w:hint="eastAsia" w:ascii="仿宋_GB2312" w:hAnsi="仿宋_GB2312" w:eastAsia="仿宋_GB2312" w:cs="仿宋_GB2312"/>
          <w:bCs/>
          <w:color w:val="auto"/>
          <w:sz w:val="32"/>
          <w:szCs w:val="32"/>
          <w:shd w:val="clear" w:color="auto" w:fill="FFFFFF"/>
        </w:rPr>
      </w:pPr>
      <w:r>
        <w:rPr>
          <w:rFonts w:hint="eastAsia" w:ascii="仿宋_GB2312" w:hAnsi="仿宋_GB2312" w:eastAsia="仿宋_GB2312" w:cs="仿宋_GB2312"/>
          <w:bCs/>
          <w:color w:val="auto"/>
          <w:sz w:val="32"/>
          <w:szCs w:val="32"/>
          <w:shd w:val="clear" w:color="auto" w:fill="FFFFFF"/>
        </w:rPr>
        <w:t>中山市富日印刷材料有限公司始创于2002年，是专注绿色印刷原辅材料研发、生产、销售的现代化科创型企业，深耕精细化工赛道，</w:t>
      </w:r>
      <w:r>
        <w:rPr>
          <w:rFonts w:hint="eastAsia" w:ascii="仿宋_GB2312" w:hAnsi="仿宋_GB2312" w:eastAsia="仿宋_GB2312" w:cs="仿宋_GB2312"/>
          <w:bCs/>
          <w:color w:val="auto"/>
          <w:sz w:val="32"/>
          <w:szCs w:val="32"/>
          <w:shd w:val="clear" w:color="auto" w:fill="FFFFFF"/>
          <w:lang w:eastAsia="zh-CN"/>
        </w:rPr>
        <w:t>坚持绿色低碳</w:t>
      </w:r>
      <w:r>
        <w:rPr>
          <w:rFonts w:hint="eastAsia" w:ascii="仿宋_GB2312" w:hAnsi="仿宋_GB2312" w:eastAsia="仿宋_GB2312" w:cs="仿宋_GB2312"/>
          <w:bCs/>
          <w:color w:val="auto"/>
          <w:sz w:val="32"/>
          <w:szCs w:val="32"/>
          <w:shd w:val="clear" w:color="auto" w:fill="FFFFFF"/>
        </w:rPr>
        <w:t>发展理念，聚焦印刷行业健康安全与产业升级，坚持技术创新与产学研协同发展。</w:t>
      </w:r>
    </w:p>
    <w:p w14:paraId="5C26D553">
      <w:pPr>
        <w:snapToGrid w:val="0"/>
        <w:spacing w:line="560" w:lineRule="exact"/>
        <w:ind w:firstLine="640"/>
        <w:rPr>
          <w:rFonts w:hint="eastAsia" w:ascii="仿宋_GB2312" w:hAnsi="仿宋_GB2312" w:eastAsia="仿宋_GB2312" w:cs="仿宋_GB2312"/>
          <w:bCs/>
          <w:color w:val="auto"/>
          <w:sz w:val="32"/>
          <w:szCs w:val="32"/>
          <w:shd w:val="clear" w:color="auto" w:fill="FFFFFF"/>
        </w:rPr>
      </w:pPr>
      <w:r>
        <w:rPr>
          <w:rFonts w:hint="eastAsia" w:ascii="仿宋_GB2312" w:hAnsi="仿宋_GB2312" w:eastAsia="仿宋_GB2312" w:cs="仿宋_GB2312"/>
          <w:bCs/>
          <w:color w:val="auto"/>
          <w:sz w:val="32"/>
          <w:szCs w:val="32"/>
          <w:shd w:val="clear" w:color="auto" w:fill="FFFFFF"/>
        </w:rPr>
        <w:t>主营胶印油墨、UV光固化油墨、水性光油、丙烯酸树脂、功能助剂等环保产品，拥有“Druckmeister”“topdot”等自主品牌，产品性能稳定、品质优异，服务国内外广大印刷企业，助力行业绿色化转型。</w:t>
      </w:r>
    </w:p>
    <w:p w14:paraId="4F798604">
      <w:pPr>
        <w:snapToGrid w:val="0"/>
        <w:spacing w:line="560" w:lineRule="exact"/>
        <w:ind w:firstLine="640"/>
        <w:rPr>
          <w:rFonts w:hint="eastAsia" w:ascii="仿宋_GB2312" w:hAnsi="仿宋_GB2312" w:eastAsia="仿宋_GB2312" w:cs="仿宋_GB2312"/>
          <w:bCs/>
          <w:color w:val="auto"/>
          <w:sz w:val="32"/>
          <w:szCs w:val="32"/>
          <w:shd w:val="clear" w:color="auto" w:fill="FFFFFF"/>
        </w:rPr>
      </w:pPr>
      <w:r>
        <w:rPr>
          <w:rFonts w:hint="eastAsia" w:ascii="仿宋_GB2312" w:hAnsi="仿宋_GB2312" w:eastAsia="仿宋_GB2312" w:cs="仿宋_GB2312"/>
          <w:bCs/>
          <w:color w:val="auto"/>
          <w:sz w:val="32"/>
          <w:szCs w:val="32"/>
          <w:shd w:val="clear" w:color="auto" w:fill="FFFFFF"/>
        </w:rPr>
        <w:t>公司资质体系完备，拥有危化品安全生产、排污许可及ISO9001、ISO14001、职业健康安全、中国环境标志、绿色印刷原辅材料认定等多项权威认证。建有企业产业技术研究院，依托博士科研团队与高校产学研合作，累计授权发明专利55项、核心知识产权超百项，在配方研发、工艺优化等领域具备行业领先技术实力。</w:t>
      </w:r>
    </w:p>
    <w:p w14:paraId="716A0B4C">
      <w:pPr>
        <w:snapToGrid w:val="0"/>
        <w:spacing w:line="560" w:lineRule="exact"/>
        <w:ind w:firstLine="640"/>
        <w:rPr>
          <w:rFonts w:ascii="仿宋_GB2312" w:hAnsi="仿宋_GB2312" w:eastAsia="仿宋_GB2312" w:cs="仿宋_GB2312"/>
          <w:bCs/>
          <w:color w:val="auto"/>
          <w:sz w:val="32"/>
          <w:szCs w:val="32"/>
          <w:shd w:val="clear" w:color="auto" w:fill="FFFFFF"/>
        </w:rPr>
      </w:pPr>
      <w:r>
        <w:rPr>
          <w:rFonts w:hint="eastAsia" w:ascii="仿宋_GB2312" w:hAnsi="仿宋_GB2312" w:eastAsia="仿宋_GB2312" w:cs="仿宋_GB2312"/>
          <w:bCs/>
          <w:color w:val="auto"/>
          <w:sz w:val="32"/>
          <w:szCs w:val="32"/>
          <w:shd w:val="clear" w:color="auto" w:fill="FFFFFF"/>
        </w:rPr>
        <w:t>企业先后获评</w:t>
      </w:r>
      <w:r>
        <w:rPr>
          <w:rFonts w:hint="eastAsia" w:ascii="仿宋_GB2312" w:hAnsi="仿宋_GB2312" w:eastAsia="仿宋_GB2312" w:cs="仿宋_GB2312"/>
          <w:bCs/>
          <w:color w:val="auto"/>
          <w:sz w:val="32"/>
          <w:szCs w:val="32"/>
          <w:shd w:val="clear" w:color="auto" w:fill="FFFFFF"/>
          <w:lang w:eastAsia="zh-CN"/>
        </w:rPr>
        <w:t>国家级专精特新“小巨人”企业</w:t>
      </w:r>
      <w:r>
        <w:rPr>
          <w:rFonts w:hint="eastAsia" w:ascii="仿宋_GB2312" w:hAnsi="仿宋_GB2312" w:eastAsia="仿宋_GB2312" w:cs="仿宋_GB2312"/>
          <w:bCs/>
          <w:color w:val="auto"/>
          <w:sz w:val="32"/>
          <w:szCs w:val="32"/>
          <w:shd w:val="clear" w:color="auto" w:fill="FFFFFF"/>
        </w:rPr>
        <w:t>、国家高新技术企业、省工程技术研究中心、省知识产权示范企业等多项省级以上荣誉，具备深厚产业基础与数字化智能化应用落地条件。</w:t>
      </w:r>
    </w:p>
    <w:p w14:paraId="52B0F848">
      <w:pPr>
        <w:snapToGrid w:val="0"/>
        <w:spacing w:line="560" w:lineRule="exact"/>
        <w:rPr>
          <w:rFonts w:hint="eastAsia" w:ascii="黑体" w:hAnsi="黑体" w:eastAsia="黑体" w:cs="黑体"/>
          <w:color w:val="auto"/>
          <w:sz w:val="32"/>
          <w:szCs w:val="32"/>
          <w:shd w:val="clear" w:color="auto" w:fill="FFFFFF"/>
        </w:rPr>
      </w:pPr>
    </w:p>
    <w:p w14:paraId="4696AAFF">
      <w:pPr>
        <w:snapToGrid w:val="0"/>
        <w:spacing w:line="560" w:lineRule="exact"/>
        <w:ind w:firstLine="640"/>
        <w:rPr>
          <w:rFonts w:hint="eastAsia" w:ascii="黑体" w:hAnsi="黑体" w:eastAsia="黑体" w:cs="黑体"/>
          <w:color w:val="auto"/>
          <w:sz w:val="32"/>
          <w:szCs w:val="32"/>
          <w:shd w:val="clear" w:color="auto" w:fill="FFFFFF"/>
        </w:rPr>
      </w:pPr>
      <w:r>
        <w:rPr>
          <w:rFonts w:hint="eastAsia" w:ascii="黑体" w:hAnsi="黑体" w:eastAsia="黑体" w:cs="黑体"/>
          <w:color w:val="auto"/>
          <w:sz w:val="32"/>
          <w:szCs w:val="32"/>
          <w:shd w:val="clear" w:color="auto" w:fill="FFFFFF"/>
        </w:rPr>
        <w:t>二、案例内容介绍</w:t>
      </w:r>
    </w:p>
    <w:p w14:paraId="7029DEF0">
      <w:pPr>
        <w:snapToGrid w:val="0"/>
        <w:spacing w:line="560" w:lineRule="exact"/>
        <w:ind w:firstLine="640"/>
        <w:rPr>
          <w:rFonts w:ascii="楷体_GB2312" w:hAnsi="楷体_GB2312" w:eastAsia="楷体_GB2312" w:cs="楷体_GB2312"/>
          <w:color w:val="auto"/>
          <w:sz w:val="32"/>
          <w:szCs w:val="32"/>
          <w:shd w:val="clear" w:color="auto" w:fill="FFFFFF"/>
        </w:rPr>
      </w:pPr>
      <w:r>
        <w:rPr>
          <w:rFonts w:hint="eastAsia" w:ascii="楷体_GB2312" w:hAnsi="楷体_GB2312" w:eastAsia="楷体_GB2312" w:cs="楷体_GB2312"/>
          <w:color w:val="auto"/>
          <w:sz w:val="32"/>
          <w:szCs w:val="32"/>
          <w:shd w:val="clear" w:color="auto" w:fill="FFFFFF"/>
        </w:rPr>
        <w:t>（一）包括案例背景、采用的人工智能关键技术、所实现的功能和亮点优势</w:t>
      </w:r>
    </w:p>
    <w:p w14:paraId="2E37EA2D">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为响应智能制造与绿色低碳发展战略，契合广东先进制造业高质量发展导向，针对印刷新材料生产工艺复杂、质量管控严、环保标准高、多品种柔性生产协同难等行业痛点，企业打造“富日智造”智能工厂，依托人工智能与数字化技术推动生产全流程智能升级。</w:t>
      </w:r>
    </w:p>
    <w:p w14:paraId="3A604FC4">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项目自研“富日好品”微信小程序，打通销售、研发、生产、质检、仓储、环保等全业务链条，构建订单驱动、协同可控、全程可追溯的一体化运营模式，适配行业小批量、多批次、定制化生产需求，赋能环保油墨、水性光油等绿色产品产业化落地，固废大幅减量、材料利用率显著提升。</w:t>
      </w:r>
    </w:p>
    <w:p w14:paraId="7DA59A90">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通过智能系统集成与数据治理，依托AI智能排产匹配产能负荷，联动DCS/SCADA实现关键工序数据自动采集、设备联网互通，形成全流程质量管控与原料批次溯源体系；结合能源碳排放智能管控，实现工艺优化、生产效率与分散均匀性大幅提升。项目建成装备智能化、系统集成化、数据价值化、运营绿色化的示范模式，为印刷材料行业AI赋能转型提供可复制应用样板。</w:t>
      </w:r>
    </w:p>
    <w:p w14:paraId="651DE642">
      <w:pPr>
        <w:snapToGrid w:val="0"/>
        <w:spacing w:line="560" w:lineRule="exact"/>
        <w:ind w:firstLine="640"/>
        <w:rPr>
          <w:rFonts w:hint="eastAsia" w:ascii="楷体_GB2312" w:hAnsi="楷体_GB2312" w:eastAsia="楷体_GB2312" w:cs="楷体_GB2312"/>
          <w:color w:val="auto"/>
          <w:sz w:val="32"/>
          <w:szCs w:val="32"/>
          <w:shd w:val="clear" w:color="auto" w:fill="FFFFFF"/>
        </w:rPr>
      </w:pPr>
      <w:r>
        <w:rPr>
          <w:rFonts w:hint="eastAsia" w:ascii="楷体_GB2312" w:hAnsi="楷体_GB2312" w:eastAsia="楷体_GB2312" w:cs="楷体_GB2312"/>
          <w:color w:val="auto"/>
          <w:sz w:val="32"/>
          <w:szCs w:val="32"/>
          <w:shd w:val="clear" w:color="auto" w:fill="FFFFFF"/>
        </w:rPr>
        <w:t>（二）具体应用成效。</w:t>
      </w:r>
    </w:p>
    <w:p w14:paraId="262AC2E1">
      <w:pPr>
        <w:snapToGrid w:val="0"/>
        <w:spacing w:line="560" w:lineRule="exact"/>
        <w:ind w:firstLine="640"/>
        <w:rPr>
          <w:rFonts w:hint="eastAsia" w:ascii="仿宋_GB2312" w:hAnsi="仿宋_GB2312" w:eastAsia="仿宋_GB2312" w:cs="仿宋_GB2312"/>
          <w:bCs/>
          <w:color w:val="auto"/>
          <w:sz w:val="32"/>
          <w:szCs w:val="32"/>
          <w:shd w:val="clear" w:color="auto" w:fill="FFFFFF"/>
        </w:rPr>
      </w:pPr>
      <w:r>
        <w:rPr>
          <w:rFonts w:hint="eastAsia" w:ascii="仿宋_GB2312" w:hAnsi="仿宋_GB2312" w:eastAsia="仿宋_GB2312" w:cs="仿宋_GB2312"/>
          <w:bCs/>
          <w:color w:val="auto"/>
          <w:sz w:val="32"/>
          <w:szCs w:val="32"/>
          <w:shd w:val="clear" w:color="auto" w:fill="FFFFFF"/>
        </w:rPr>
        <w:t>应用人工智能及智能化技术后，创新成效显著。企业依托产学研协同平台，突破多项关键技术，研发定制化中央管控系统、自动化设备及稳定性制备方法等核心技术，联动76项有效知识产权，实现生物基纯植物油油墨等产品研产销全流程数字化管控。自主优化自动化生产装备，适配多品种柔性生产，有效解决行业能耗高、效率低、批次稳定性差、劳动强度大等痛点，实现高精度、高一致性生产，成品无VOCs检出，技术水平行业领先，推动行业智能化、绿色化升级。</w:t>
      </w:r>
    </w:p>
    <w:p w14:paraId="6068AF9C">
      <w:pPr>
        <w:snapToGrid w:val="0"/>
        <w:spacing w:line="560" w:lineRule="exact"/>
        <w:ind w:firstLine="640"/>
        <w:rPr>
          <w:rFonts w:ascii="仿宋_GB2312" w:hAnsi="仿宋_GB2312" w:eastAsia="仿宋_GB2312" w:cs="仿宋_GB2312"/>
          <w:bCs/>
          <w:color w:val="auto"/>
          <w:sz w:val="32"/>
          <w:szCs w:val="32"/>
          <w:shd w:val="clear" w:color="auto" w:fill="FFFFFF"/>
        </w:rPr>
      </w:pPr>
      <w:r>
        <w:rPr>
          <w:rFonts w:hint="eastAsia" w:ascii="仿宋_GB2312" w:hAnsi="仿宋_GB2312" w:eastAsia="仿宋_GB2312" w:cs="仿宋_GB2312"/>
          <w:bCs/>
          <w:color w:val="auto"/>
          <w:sz w:val="32"/>
          <w:szCs w:val="32"/>
          <w:shd w:val="clear" w:color="auto" w:fill="FFFFFF"/>
        </w:rPr>
        <w:t>经济效益提升明显，较改造前生产效率提升40%以上，劳动生产率提升50%，人工成本降低35%；原材料利用率提升至99%，固废产生量减少50%，综合生产成本降低25%，投资回报率达28%。订单交付周期缩短30%，准时交付率达98%以上，核心产品日产能稳定60吨，满足食品、医药等高端环保要求，产品供应全球50多个国家和地区，实现经济与环保效益双赢。</w:t>
      </w:r>
    </w:p>
    <w:p w14:paraId="01FF8017">
      <w:pPr>
        <w:snapToGrid w:val="0"/>
        <w:spacing w:line="560" w:lineRule="exact"/>
        <w:ind w:firstLine="640"/>
        <w:rPr>
          <w:rFonts w:hint="eastAsia" w:ascii="黑体" w:hAnsi="黑体" w:eastAsia="黑体" w:cs="黑体"/>
          <w:color w:val="auto"/>
          <w:sz w:val="32"/>
          <w:szCs w:val="32"/>
          <w:shd w:val="clear" w:color="auto" w:fill="FFFFFF"/>
        </w:rPr>
      </w:pPr>
      <w:r>
        <w:rPr>
          <w:rFonts w:hint="eastAsia" w:ascii="黑体" w:hAnsi="黑体" w:eastAsia="黑体" w:cs="黑体"/>
          <w:color w:val="auto"/>
          <w:sz w:val="32"/>
          <w:szCs w:val="32"/>
          <w:shd w:val="clear" w:color="auto" w:fill="FFFFFF"/>
        </w:rPr>
        <w:t>三、案例所获得荣誉、复制推广情况等</w:t>
      </w:r>
    </w:p>
    <w:p w14:paraId="091FF9BB">
      <w:pPr>
        <w:snapToGrid w:val="0"/>
        <w:spacing w:line="560" w:lineRule="exact"/>
        <w:ind w:firstLine="640"/>
        <w:rPr>
          <w:rFonts w:hint="eastAsia" w:ascii="仿宋_GB2312" w:hAnsi="仿宋_GB2312" w:eastAsia="仿宋_GB2312" w:cs="仿宋_GB2312"/>
          <w:bCs/>
          <w:color w:val="auto"/>
          <w:sz w:val="32"/>
          <w:szCs w:val="32"/>
          <w:shd w:val="clear" w:color="auto" w:fill="FFFFFF"/>
        </w:rPr>
      </w:pPr>
      <w:r>
        <w:rPr>
          <w:rFonts w:hint="eastAsia" w:ascii="仿宋_GB2312" w:hAnsi="仿宋_GB2312" w:eastAsia="仿宋_GB2312" w:cs="仿宋_GB2312"/>
          <w:bCs/>
          <w:color w:val="auto"/>
          <w:sz w:val="32"/>
          <w:szCs w:val="32"/>
          <w:shd w:val="clear" w:color="auto" w:fill="FFFFFF"/>
        </w:rPr>
        <w:t>本项目打造的印刷材料行业智能工厂解决方案，贴合精细化工领域多品种、小批量、强环保的生产特性，已为同行业企业提供了可借鉴的参考示范。累计已有3家以上同类型</w:t>
      </w:r>
      <w:r>
        <w:rPr>
          <w:rFonts w:hint="eastAsia" w:ascii="仿宋_GB2312" w:hAnsi="仿宋_GB2312" w:eastAsia="仿宋_GB2312" w:cs="仿宋_GB2312"/>
          <w:bCs/>
          <w:color w:val="auto"/>
          <w:sz w:val="32"/>
          <w:szCs w:val="32"/>
          <w:shd w:val="clear" w:color="auto" w:fill="FFFFFF"/>
        </w:rPr>
        <w:pict>
          <v:shape id="_x0000_s1033" o:spid="_x0000_s1033" o:spt="75" type="#_x0000_t75" style="position:absolute;left:0pt;margin-left:-2.1pt;margin-top:342.55pt;height:242.05pt;width:414.6pt;mso-wrap-distance-bottom:0pt;mso-wrap-distance-top:0pt;z-index:251662336;mso-width-relative:page;mso-height-relative:page;" filled="f" o:preferrelative="t" stroked="f" coordsize="21600,21600">
            <v:path/>
            <v:fill on="f" focussize="0,0"/>
            <v:stroke on="f" joinstyle="miter"/>
            <v:imagedata r:id="rId14" o:title=""/>
            <o:lock v:ext="edit" aspectratio="t"/>
            <w10:wrap type="topAndBottom"/>
          </v:shape>
        </w:pict>
      </w:r>
      <w:r>
        <w:rPr>
          <w:rFonts w:hint="eastAsia" w:ascii="仿宋_GB2312" w:hAnsi="仿宋_GB2312" w:eastAsia="仿宋_GB2312" w:cs="仿宋_GB2312"/>
          <w:bCs/>
          <w:color w:val="auto"/>
          <w:sz w:val="32"/>
          <w:szCs w:val="32"/>
          <w:shd w:val="clear" w:color="auto" w:fill="FFFFFF"/>
        </w:rPr>
        <w:pict>
          <v:shape id="图片 5" o:spid="_x0000_s1032" o:spt="75" type="#_x0000_t75" style="position:absolute;left:0pt;flip:x;margin-left:22.3pt;margin-top:170.5pt;height:172.05pt;width:332.9pt;mso-wrap-distance-bottom:0pt;mso-wrap-distance-top:0pt;rotation:11796480f;z-index:251661312;mso-width-relative:page;mso-height-relative:page;" filled="f" o:preferrelative="t" stroked="f" coordsize="21600,21600">
            <v:path/>
            <v:fill on="f" focussize="0,0"/>
            <v:stroke on="f" joinstyle="miter"/>
            <v:imagedata r:id="rId15" cropleft="6405f" croptop="17206f" cropright="6484f" o:title=""/>
            <o:lock v:ext="edit" aspectratio="t"/>
            <w10:wrap type="topAndBottom"/>
          </v:shape>
        </w:pict>
      </w:r>
      <w:r>
        <w:rPr>
          <w:rFonts w:hint="eastAsia" w:ascii="仿宋_GB2312" w:hAnsi="仿宋_GB2312" w:eastAsia="仿宋_GB2312" w:cs="仿宋_GB2312"/>
          <w:bCs/>
          <w:color w:val="auto"/>
          <w:sz w:val="32"/>
          <w:szCs w:val="32"/>
          <w:shd w:val="clear" w:color="auto" w:fill="FFFFFF"/>
        </w:rPr>
        <w:t>精细化工企业（广东天龙油墨有限公司、金印联（天津）新材料科技有限公司、中山市华业油墨涂料有限公司等）前来考察学习，并计划借鉴本项目经验推进自身智能化改造。公司定期策划举办“工厂开放日”活动，面向同行业企业、目标客户、终端客户等群体，有效推动行业智能化、绿色化转型，充分发挥了标杆引领作用</w:t>
      </w:r>
      <w:r>
        <w:rPr>
          <w:rFonts w:hint="eastAsia" w:ascii="仿宋_GB2312" w:hAnsi="仿宋_GB2312" w:eastAsia="仿宋_GB2312" w:cs="仿宋_GB2312"/>
          <w:color w:val="auto"/>
          <w:sz w:val="32"/>
          <w:szCs w:val="32"/>
          <w:shd w:val="clear" w:color="auto" w:fill="FFFFFF"/>
        </w:rPr>
        <w:t>。</w:t>
      </w:r>
    </w:p>
    <w:p w14:paraId="273D3BE6">
      <w:pPr>
        <w:spacing w:after="40"/>
        <w:jc w:val="left"/>
        <w:rPr>
          <w:rFonts w:ascii="楷体" w:hAnsi="楷体" w:eastAsia="楷体"/>
          <w:color w:val="auto"/>
          <w:sz w:val="22"/>
        </w:rPr>
      </w:pPr>
    </w:p>
    <w:p w14:paraId="78A398FB">
      <w:pPr>
        <w:pStyle w:val="12"/>
        <w:pageBreakBefore/>
        <w:rPr>
          <w:color w:val="auto"/>
        </w:rPr>
      </w:pPr>
      <w:bookmarkStart w:id="5" w:name="_Toc15967"/>
      <w:r>
        <w:rPr>
          <w:color w:val="auto"/>
        </w:rPr>
        <w:t>案例 05　智能家电电控组件全流程AI提质智造标杆项目</w:t>
      </w:r>
      <w:bookmarkEnd w:id="5"/>
    </w:p>
    <w:p w14:paraId="31217565">
      <w:pPr>
        <w:spacing w:after="40"/>
        <w:jc w:val="left"/>
        <w:rPr>
          <w:rFonts w:ascii="楷体" w:hAnsi="楷体" w:eastAsia="楷体"/>
          <w:color w:val="auto"/>
          <w:sz w:val="22"/>
        </w:rPr>
      </w:pPr>
      <w:r>
        <w:rPr>
          <w:rFonts w:ascii="楷体" w:hAnsi="楷体" w:eastAsia="楷体"/>
          <w:color w:val="auto"/>
          <w:sz w:val="22"/>
        </w:rPr>
        <w:t>申报单位：中山市科卓尔电器有限公司</w:t>
      </w:r>
    </w:p>
    <w:p w14:paraId="42B932BC">
      <w:pPr>
        <w:snapToGrid w:val="0"/>
        <w:spacing w:line="560" w:lineRule="exact"/>
        <w:rPr>
          <w:rFonts w:hint="eastAsia" w:ascii="仿宋_GB2312" w:hAnsi="仿宋_GB2312" w:eastAsia="仿宋_GB2312" w:cs="仿宋_GB2312"/>
          <w:color w:val="auto"/>
          <w:sz w:val="32"/>
          <w:szCs w:val="32"/>
          <w:shd w:val="clear" w:color="auto" w:fill="FFFFFF"/>
        </w:rPr>
      </w:pPr>
    </w:p>
    <w:p w14:paraId="7667C56B">
      <w:pPr>
        <w:snapToGrid w:val="0"/>
        <w:spacing w:line="560" w:lineRule="exact"/>
        <w:ind w:firstLine="640"/>
        <w:rPr>
          <w:rFonts w:hint="eastAsia" w:ascii="黑体" w:hAnsi="黑体" w:eastAsia="黑体" w:cs="黑体"/>
          <w:color w:val="auto"/>
          <w:sz w:val="32"/>
          <w:szCs w:val="32"/>
          <w:shd w:val="clear" w:color="auto" w:fill="FFFFFF"/>
        </w:rPr>
      </w:pPr>
      <w:r>
        <w:rPr>
          <w:rFonts w:hint="eastAsia" w:ascii="黑体" w:hAnsi="黑体" w:eastAsia="黑体" w:cs="黑体"/>
          <w:color w:val="auto"/>
          <w:sz w:val="32"/>
          <w:szCs w:val="32"/>
          <w:shd w:val="clear" w:color="auto" w:fill="FFFFFF"/>
        </w:rPr>
        <w:t>一、案例基本情况</w:t>
      </w:r>
    </w:p>
    <w:p w14:paraId="5DB587EE">
      <w:pPr>
        <w:snapToGrid w:val="0"/>
        <w:spacing w:line="560" w:lineRule="exact"/>
        <w:ind w:firstLine="640"/>
        <w:rPr>
          <w:rFonts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（一）案例名称：智能家电电控组件全流程AI提质智造标杆项目。</w:t>
      </w:r>
    </w:p>
    <w:p w14:paraId="480B9870">
      <w:pPr>
        <w:snapToGrid w:val="0"/>
        <w:spacing w:line="560" w:lineRule="exact"/>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（二）人工智能技术应用方：中山市科卓尔电器有限公司。</w:t>
      </w:r>
    </w:p>
    <w:p w14:paraId="62A557D9">
      <w:pPr>
        <w:snapToGrid w:val="0"/>
        <w:spacing w:line="560" w:lineRule="exact"/>
        <w:ind w:firstLine="640"/>
        <w:rPr>
          <w:rFonts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b/>
          <w:bCs/>
          <w:color w:val="auto"/>
          <w:sz w:val="32"/>
          <w:szCs w:val="32"/>
          <w:shd w:val="clear" w:color="auto" w:fill="FFFFFF"/>
        </w:rPr>
        <w:t>应用企业简介：中山市科卓尔电器有限公司成立于2013年，坐落于中山市东凤镇，是一家专注智能家电电控组件研发、精密制造、市场销售与配套服务的国家级高新技术企业、广东省专精特新中小企业。公司经过13年深耕发展，已构建起研发创新、智能制造、品牌运营、市场销售、售后运维、供应链管控六位一体的完整业务体系，具备家电电控板全品类定制开发、规模化量产、全流程品质管控及一体化配套服务能力，产品广泛配套美的、飞利浦、苏泊尔、福库等国内外头部家电品牌。</w:t>
      </w:r>
    </w:p>
    <w:p w14:paraId="52B9779C">
      <w:pPr>
        <w:snapToGrid w:val="0"/>
        <w:spacing w:line="560" w:lineRule="exact"/>
        <w:rPr>
          <w:rFonts w:hint="eastAsia" w:ascii="黑体" w:hAnsi="黑体" w:eastAsia="黑体" w:cs="黑体"/>
          <w:color w:val="auto"/>
          <w:sz w:val="32"/>
          <w:szCs w:val="32"/>
          <w:shd w:val="clear" w:color="auto" w:fill="FFFFFF"/>
        </w:rPr>
      </w:pPr>
    </w:p>
    <w:p w14:paraId="07BFB73E">
      <w:pPr>
        <w:snapToGrid w:val="0"/>
        <w:spacing w:line="560" w:lineRule="exact"/>
        <w:ind w:firstLine="640"/>
        <w:rPr>
          <w:rFonts w:hint="eastAsia" w:ascii="黑体" w:hAnsi="黑体" w:eastAsia="黑体" w:cs="黑体"/>
          <w:color w:val="auto"/>
          <w:sz w:val="32"/>
          <w:szCs w:val="32"/>
          <w:shd w:val="clear" w:color="auto" w:fill="FFFFFF"/>
        </w:rPr>
      </w:pPr>
      <w:r>
        <w:rPr>
          <w:rFonts w:hint="eastAsia" w:ascii="黑体" w:hAnsi="黑体" w:eastAsia="黑体" w:cs="黑体"/>
          <w:color w:val="auto"/>
          <w:sz w:val="32"/>
          <w:szCs w:val="32"/>
          <w:shd w:val="clear" w:color="auto" w:fill="FFFFFF"/>
        </w:rPr>
        <w:t>二、案例内容介绍</w:t>
      </w:r>
    </w:p>
    <w:p w14:paraId="4DE45DA6">
      <w:pPr>
        <w:snapToGrid w:val="0"/>
        <w:spacing w:line="560" w:lineRule="exact"/>
        <w:ind w:firstLine="640"/>
        <w:rPr>
          <w:rFonts w:hint="eastAsia" w:ascii="楷体_GB2312" w:hAnsi="楷体_GB2312" w:eastAsia="楷体_GB2312" w:cs="楷体_GB2312"/>
          <w:color w:val="auto"/>
          <w:sz w:val="32"/>
          <w:szCs w:val="32"/>
          <w:shd w:val="clear" w:color="auto" w:fill="FFFFFF"/>
        </w:rPr>
      </w:pPr>
      <w:r>
        <w:rPr>
          <w:rFonts w:hint="eastAsia" w:ascii="楷体_GB2312" w:hAnsi="楷体_GB2312" w:eastAsia="楷体_GB2312" w:cs="楷体_GB2312"/>
          <w:color w:val="auto"/>
          <w:sz w:val="32"/>
          <w:szCs w:val="32"/>
          <w:shd w:val="clear" w:color="auto" w:fill="FFFFFF"/>
        </w:rPr>
        <w:t>（一）包括案例背景、采用的人工智能关键技术、所实现的功能和亮点优势</w:t>
      </w:r>
    </w:p>
    <w:p w14:paraId="182FAEC9">
      <w:pPr>
        <w:snapToGrid w:val="0"/>
        <w:spacing w:line="560" w:lineRule="exact"/>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项目面向家电电控组件生产制造全流程</w:t>
      </w:r>
      <w:r>
        <w:rPr>
          <w:rFonts w:hint="eastAsia" w:ascii="仿宋_GB2312" w:hAnsi="仿宋_GB2312" w:eastAsia="仿宋_GB2312"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rPr>
        <w:t>针对SMT 贴片、插件装配、成品检测等核心工序开展数字化、智能化升级改造。项目以机器视觉AI检测为核心基础</w:t>
      </w:r>
      <w:r>
        <w:rPr>
          <w:rFonts w:hint="eastAsia" w:ascii="仿宋_GB2312" w:hAnsi="仿宋_GB2312" w:eastAsia="仿宋_GB2312"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rPr>
        <w:t>依托外购视觉检测硬件设备的内置AI识别能力</w:t>
      </w:r>
      <w:r>
        <w:rPr>
          <w:rFonts w:hint="eastAsia" w:ascii="仿宋_GB2312" w:hAnsi="仿宋_GB2312" w:eastAsia="仿宋_GB2312"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rPr>
        <w:t>结合 MOM 运营管理系统、车间信息化弱电基础设施建设</w:t>
      </w:r>
      <w:r>
        <w:rPr>
          <w:rFonts w:hint="eastAsia" w:ascii="仿宋_GB2312" w:hAnsi="仿宋_GB2312" w:eastAsia="仿宋_GB2312"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rPr>
        <w:t>打通生产全流程数据采集链路</w:t>
      </w:r>
      <w:r>
        <w:rPr>
          <w:rFonts w:hint="eastAsia" w:ascii="仿宋_GB2312" w:hAnsi="仿宋_GB2312" w:eastAsia="仿宋_GB2312"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rPr>
        <w:t>将AI缺陷识别能力融入实际生产工序</w:t>
      </w:r>
      <w:r>
        <w:rPr>
          <w:rFonts w:hint="eastAsia" w:ascii="仿宋_GB2312" w:hAnsi="仿宋_GB2312" w:eastAsia="仿宋_GB2312"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rPr>
        <w:t>实现生产过程状态可追溯、产品外观缺陷智能识别、车间生产流程数字化管控</w:t>
      </w:r>
      <w:r>
        <w:rPr>
          <w:rFonts w:hint="eastAsia" w:ascii="仿宋_GB2312" w:hAnsi="仿宋_GB2312" w:eastAsia="仿宋_GB2312"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rPr>
        <w:t>全面提升家电电控组件生产环节的质量管控、生产运营与过程管理水平</w:t>
      </w:r>
      <w:r>
        <w:rPr>
          <w:rFonts w:hint="eastAsia" w:ascii="仿宋_GB2312" w:hAnsi="仿宋_GB2312" w:eastAsia="仿宋_GB2312"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rPr>
        <w:t>最终实现生产环节降本、提质、增效的核心建设目标。</w:t>
      </w:r>
    </w:p>
    <w:p w14:paraId="4B4F5282">
      <w:pPr>
        <w:snapToGrid w:val="0"/>
        <w:spacing w:line="560" w:lineRule="exact"/>
        <w:ind w:firstLine="640"/>
        <w:rPr>
          <w:rFonts w:hint="eastAsia" w:ascii="楷体_GB2312" w:hAnsi="楷体_GB2312" w:eastAsia="楷体_GB2312" w:cs="楷体_GB2312"/>
          <w:color w:val="auto"/>
          <w:sz w:val="32"/>
          <w:szCs w:val="32"/>
          <w:shd w:val="clear" w:color="auto" w:fill="FFFFFF"/>
        </w:rPr>
      </w:pPr>
      <w:r>
        <w:rPr>
          <w:rFonts w:hint="eastAsia" w:ascii="楷体_GB2312" w:hAnsi="楷体_GB2312" w:eastAsia="楷体_GB2312" w:cs="楷体_GB2312"/>
          <w:color w:val="auto"/>
          <w:sz w:val="32"/>
          <w:szCs w:val="32"/>
          <w:shd w:val="clear" w:color="auto" w:fill="FFFFFF"/>
        </w:rPr>
        <w:t>（二）具体应用成效。</w:t>
      </w:r>
    </w:p>
    <w:p w14:paraId="77970D4A">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通过AI大数据反向赋能研发设计，有效破解了家电电控新品试产缺陷多、工艺适配慢、验证周期长的行业难题。研发人员可依托智能数据分析结果，快速定位产品设计与工艺薄弱环节，精准优化PCB布线、元器件布局与焊接工艺参数，大幅降低新品试产返工率。相较于传统研发模式，新产品工艺验证周期缩短20%以上，试产缺陷发生率下降35%，有效规避量产阶段批量性品质问题，全面提升新品投产稳定性与市场适配性，强化企业新品研发迭代与创新能力。</w:t>
      </w:r>
    </w:p>
    <w:p w14:paraId="20CCE3E8">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AI视觉智能检测彻底解决人工质检主观差异大、标准不统一、疲劳误检、漏检率高的难题，构建起标准化、高精度、全天候的智能质检体系。项目落地后，产品质检漏检、误检率下降70%以上，出厂不良率由1.25%降至0.38%，质检作业效率提升30%，</w:t>
      </w:r>
      <w:r>
        <w:rPr>
          <w:rFonts w:hint="eastAsia" w:ascii="仿宋_GB2312" w:hAnsi="仿宋_GB2312" w:eastAsia="仿宋_GB2312" w:cs="仿宋_GB2312"/>
          <w:color w:val="auto"/>
          <w:sz w:val="32"/>
          <w:szCs w:val="32"/>
          <w:shd w:val="clear" w:color="auto" w:fill="FFFFFF"/>
          <w:lang w:eastAsia="zh-CN"/>
        </w:rPr>
        <w:t>杜绝</w:t>
      </w:r>
      <w:r>
        <w:rPr>
          <w:rFonts w:hint="eastAsia" w:ascii="仿宋_GB2312" w:hAnsi="仿宋_GB2312" w:eastAsia="仿宋_GB2312" w:cs="仿宋_GB2312"/>
          <w:color w:val="auto"/>
          <w:sz w:val="32"/>
          <w:szCs w:val="32"/>
          <w:shd w:val="clear" w:color="auto" w:fill="FFFFFF"/>
        </w:rPr>
        <w:t>不良品流入后道工序，大幅减少返工返修、报废损耗。同时AI检测可24小时稳定作业，不受人工状态、环境因素影响，有效保障大批量订单生产的品质一致性与稳定性，显著降低生产质检人力成本与售后返工成本，实现生产环节全方位提质、降本、增效。</w:t>
      </w:r>
    </w:p>
    <w:p w14:paraId="708BE3D7">
      <w:pPr>
        <w:snapToGrid w:val="0"/>
        <w:spacing w:line="560" w:lineRule="exact"/>
        <w:ind w:firstLine="640"/>
        <w:rPr>
          <w:rFonts w:hint="eastAsia" w:ascii="黑体" w:hAnsi="黑体" w:eastAsia="黑体" w:cs="黑体"/>
          <w:color w:val="auto"/>
          <w:sz w:val="32"/>
          <w:szCs w:val="32"/>
          <w:shd w:val="clear" w:color="auto" w:fill="FFFFFF"/>
        </w:rPr>
      </w:pPr>
      <w:r>
        <w:rPr>
          <w:rFonts w:hint="eastAsia" w:ascii="黑体" w:hAnsi="黑体" w:eastAsia="黑体" w:cs="黑体"/>
          <w:color w:val="auto"/>
          <w:sz w:val="32"/>
          <w:szCs w:val="32"/>
          <w:shd w:val="clear" w:color="auto" w:fill="FFFFFF"/>
        </w:rPr>
        <w:t>三、案例所获得荣誉、复制推广情况等</w:t>
      </w:r>
    </w:p>
    <w:p w14:paraId="0307940B">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本项目自建设实施以来</w:t>
      </w:r>
      <w:r>
        <w:rPr>
          <w:rFonts w:hint="eastAsia" w:ascii="仿宋_GB2312" w:hAnsi="仿宋_GB2312" w:eastAsia="仿宋_GB2312"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rPr>
        <w:t>各智能化、数字化系统及 AI 检测设备稳定投产使用</w:t>
      </w:r>
      <w:r>
        <w:rPr>
          <w:rFonts w:hint="eastAsia" w:ascii="仿宋_GB2312" w:hAnsi="仿宋_GB2312" w:eastAsia="仿宋_GB2312"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rPr>
        <w:t>全程无重大运行故障</w:t>
      </w:r>
      <w:r>
        <w:rPr>
          <w:rFonts w:hint="eastAsia" w:ascii="仿宋_GB2312" w:hAnsi="仿宋_GB2312" w:eastAsia="仿宋_GB2312"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rPr>
        <w:t>设备及系统适配性、实用性、稳定性完全满足家电电控组件规模化生产需求</w:t>
      </w:r>
      <w:r>
        <w:rPr>
          <w:rFonts w:hint="eastAsia" w:ascii="仿宋_GB2312" w:hAnsi="仿宋_GB2312" w:eastAsia="仿宋_GB2312"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rPr>
        <w:t>顺利完成项目建设落地目标。通过长期生产落地应用</w:t>
      </w:r>
      <w:r>
        <w:rPr>
          <w:rFonts w:hint="eastAsia" w:ascii="仿宋_GB2312" w:hAnsi="仿宋_GB2312" w:eastAsia="仿宋_GB2312"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rPr>
        <w:t>项目有效解决了传统生产模式质检精度不足、人工成本偏高、能耗管控粗放、物料周转低效、生产数据无法追溯等行业难题</w:t>
      </w:r>
      <w:r>
        <w:rPr>
          <w:rFonts w:hint="eastAsia" w:ascii="仿宋_GB2312" w:hAnsi="仿宋_GB2312" w:eastAsia="仿宋_GB2312"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rPr>
        <w:t>实现了生产全流程提质、降本、增效的核心价值。</w:t>
      </w:r>
    </w:p>
    <w:p w14:paraId="62E45EA8">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目前项目已形成成熟的AI 智造生产模式</w:t>
      </w:r>
      <w:r>
        <w:rPr>
          <w:rFonts w:hint="eastAsia" w:ascii="仿宋_GB2312" w:hAnsi="仿宋_GB2312" w:eastAsia="仿宋_GB2312"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rPr>
        <w:t>生产标准化、智能化、数字化水平显著提升</w:t>
      </w:r>
      <w:r>
        <w:rPr>
          <w:rFonts w:hint="eastAsia" w:ascii="仿宋_GB2312" w:hAnsi="仿宋_GB2312" w:eastAsia="仿宋_GB2312"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rPr>
        <w:t>产出产品品质稳定性大幅优化</w:t>
      </w:r>
      <w:r>
        <w:rPr>
          <w:rFonts w:hint="eastAsia" w:ascii="仿宋_GB2312" w:hAnsi="仿宋_GB2312" w:eastAsia="仿宋_GB2312"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rPr>
        <w:t>生产运营成本持续压降</w:t>
      </w:r>
      <w:r>
        <w:rPr>
          <w:rFonts w:hint="eastAsia" w:ascii="仿宋_GB2312" w:hAnsi="仿宋_GB2312" w:eastAsia="仿宋_GB2312"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rPr>
        <w:t>整体建设成效符合项目立项建设预期</w:t>
      </w:r>
      <w:r>
        <w:rPr>
          <w:rFonts w:hint="eastAsia" w:ascii="仿宋_GB2312" w:hAnsi="仿宋_GB2312" w:eastAsia="仿宋_GB2312"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rPr>
        <w:t>为家电电控行业全流程 AI 智造升级打造可复制、可推广的标杆示范。</w:t>
      </w:r>
    </w:p>
    <w:p w14:paraId="4F9193A4">
      <w:pPr>
        <w:snapToGrid w:val="0"/>
        <w:spacing w:line="560" w:lineRule="exact"/>
        <w:ind w:firstLine="640"/>
        <w:rPr>
          <w:rFonts w:hint="eastAsia" w:ascii="仿宋_GB2312" w:hAnsi="仿宋_GB2312" w:eastAsia="仿宋_GB2312" w:cs="仿宋_GB2312"/>
          <w:b/>
          <w:bCs/>
          <w:color w:val="auto"/>
          <w:sz w:val="32"/>
          <w:szCs w:val="32"/>
          <w:shd w:val="clear" w:color="auto" w:fill="FFFFFF"/>
        </w:rPr>
      </w:pPr>
      <w:r>
        <w:rPr>
          <w:rFonts w:hint="eastAsia" w:ascii="仿宋_GB2312" w:hAnsi="仿宋_GB2312" w:eastAsia="仿宋_GB2312" w:cs="仿宋_GB2312"/>
          <w:b/>
          <w:bCs/>
          <w:color w:val="auto"/>
          <w:sz w:val="32"/>
          <w:szCs w:val="32"/>
          <w:shd w:val="clear" w:color="auto" w:fill="FFFFFF"/>
        </w:rPr>
        <w:pict>
          <v:shape id="_x0000_s1034" o:spid="_x0000_s1034" o:spt="75" alt="科卓尔电器1" type="#_x0000_t75" style="position:absolute;left:0pt;margin-left:22.55pt;margin-top:287.4pt;height:360.05pt;width:415.2pt;mso-wrap-distance-left:9pt;mso-wrap-distance-right:9pt;z-index:-251653120;mso-width-relative:page;mso-height-relative:page;" filled="f" o:preferrelative="t" stroked="f" coordsize="21600,21600" wrapcoords="21592 -2 0 0 0 21600 21592 21602 8 21602 21600 21600 21600 0 8 -2 21592 -2">
            <v:path/>
            <v:fill on="f" focussize="0,0"/>
            <v:stroke on="f"/>
            <v:imagedata r:id="rId16" croptop="18391f" cropbottom="4522f" o:title="科卓尔电器1"/>
            <o:lock v:ext="edit" aspectratio="t"/>
            <w10:wrap type="through"/>
          </v:shape>
        </w:pict>
      </w:r>
    </w:p>
    <w:p w14:paraId="7068A2CF">
      <w:pPr>
        <w:snapToGrid w:val="0"/>
        <w:spacing w:line="560" w:lineRule="exact"/>
        <w:ind w:firstLine="640"/>
        <w:rPr>
          <w:rFonts w:hint="eastAsia" w:ascii="仿宋_GB2312" w:hAnsi="仿宋_GB2312" w:eastAsia="仿宋_GB2312" w:cs="仿宋_GB2312"/>
          <w:b/>
          <w:bCs/>
          <w:color w:val="auto"/>
          <w:sz w:val="32"/>
          <w:szCs w:val="32"/>
          <w:shd w:val="clear" w:color="auto" w:fill="FFFFFF"/>
        </w:rPr>
      </w:pPr>
      <w:r>
        <w:rPr>
          <w:rFonts w:hint="eastAsia" w:ascii="仿宋_GB2312" w:hAnsi="仿宋_GB2312" w:eastAsia="仿宋_GB2312" w:cs="仿宋_GB2312"/>
          <w:b/>
          <w:bCs/>
          <w:color w:val="auto"/>
          <w:sz w:val="32"/>
          <w:szCs w:val="32"/>
          <w:shd w:val="clear" w:color="auto" w:fill="FFFFFF"/>
        </w:rPr>
        <w:pict>
          <v:shape id="图片 4" o:spid="_x0000_s1035" o:spt="75" alt="科卓尔电器2" type="#_x0000_t75" style="position:absolute;left:0pt;margin-left:37.45pt;margin-top:23.5pt;height:270pt;width:360pt;mso-wrap-distance-bottom:0pt;mso-wrap-distance-top:0pt;z-index:251664384;mso-width-relative:page;mso-height-relative:page;" filled="f" o:preferrelative="t" stroked="f" coordsize="21600,21600">
            <v:path/>
            <v:fill on="f" focussize="0,0"/>
            <v:stroke on="f" joinstyle="miter"/>
            <v:imagedata r:id="rId17" o:title="科卓尔电器2"/>
            <o:lock v:ext="edit" aspectratio="t"/>
            <w10:wrap type="topAndBottom"/>
          </v:shape>
        </w:pict>
      </w:r>
    </w:p>
    <w:p w14:paraId="774052AB">
      <w:pPr>
        <w:snapToGrid w:val="0"/>
        <w:spacing w:line="560" w:lineRule="exact"/>
        <w:ind w:firstLine="640"/>
        <w:rPr>
          <w:rFonts w:hint="eastAsia" w:ascii="仿宋_GB2312" w:hAnsi="仿宋_GB2312" w:eastAsia="仿宋_GB2312" w:cs="仿宋_GB2312"/>
          <w:b/>
          <w:bCs/>
          <w:color w:val="auto"/>
          <w:sz w:val="32"/>
          <w:szCs w:val="32"/>
          <w:shd w:val="clear" w:color="auto" w:fill="FFFFFF"/>
        </w:rPr>
      </w:pPr>
    </w:p>
    <w:p w14:paraId="33260978">
      <w:pPr>
        <w:snapToGrid w:val="0"/>
        <w:spacing w:line="560" w:lineRule="exact"/>
        <w:ind w:firstLine="640"/>
        <w:rPr>
          <w:rFonts w:hint="eastAsia" w:ascii="仿宋_GB2312" w:hAnsi="仿宋_GB2312" w:eastAsia="仿宋_GB2312" w:cs="仿宋_GB2312"/>
          <w:b/>
          <w:bCs/>
          <w:color w:val="auto"/>
          <w:sz w:val="32"/>
          <w:szCs w:val="32"/>
          <w:shd w:val="clear" w:color="auto" w:fill="FFFFFF"/>
        </w:rPr>
      </w:pPr>
    </w:p>
    <w:p w14:paraId="25158EF4">
      <w:pPr>
        <w:snapToGrid w:val="0"/>
        <w:spacing w:line="560" w:lineRule="exact"/>
        <w:ind w:firstLine="640"/>
        <w:rPr>
          <w:rFonts w:hint="eastAsia" w:ascii="仿宋_GB2312" w:hAnsi="仿宋_GB2312" w:eastAsia="仿宋_GB2312" w:cs="仿宋_GB2312"/>
          <w:b/>
          <w:bCs/>
          <w:color w:val="auto"/>
          <w:sz w:val="32"/>
          <w:szCs w:val="32"/>
          <w:shd w:val="clear" w:color="auto" w:fill="FFFFFF"/>
        </w:rPr>
      </w:pPr>
    </w:p>
    <w:p w14:paraId="15529175">
      <w:pPr>
        <w:snapToGrid w:val="0"/>
        <w:spacing w:line="560" w:lineRule="exact"/>
        <w:ind w:firstLine="640"/>
        <w:rPr>
          <w:rFonts w:hint="eastAsia" w:ascii="仿宋_GB2312" w:hAnsi="仿宋_GB2312" w:eastAsia="仿宋_GB2312" w:cs="仿宋_GB2312"/>
          <w:b/>
          <w:bCs/>
          <w:color w:val="auto"/>
          <w:sz w:val="32"/>
          <w:szCs w:val="32"/>
          <w:shd w:val="clear" w:color="auto" w:fill="FFFFFF"/>
        </w:rPr>
      </w:pPr>
    </w:p>
    <w:p w14:paraId="57D07731">
      <w:pPr>
        <w:snapToGrid w:val="0"/>
        <w:spacing w:line="560" w:lineRule="exact"/>
        <w:ind w:firstLine="640"/>
        <w:rPr>
          <w:rFonts w:hint="eastAsia" w:ascii="仿宋_GB2312" w:hAnsi="仿宋_GB2312" w:eastAsia="仿宋_GB2312" w:cs="仿宋_GB2312"/>
          <w:b/>
          <w:bCs/>
          <w:color w:val="auto"/>
          <w:sz w:val="32"/>
          <w:szCs w:val="32"/>
          <w:shd w:val="clear" w:color="auto" w:fill="FFFFFF"/>
        </w:rPr>
      </w:pPr>
    </w:p>
    <w:p w14:paraId="6DB21E7A">
      <w:pPr>
        <w:snapToGrid w:val="0"/>
        <w:spacing w:line="560" w:lineRule="exact"/>
        <w:ind w:firstLine="640"/>
        <w:rPr>
          <w:rFonts w:hint="eastAsia" w:ascii="仿宋_GB2312" w:hAnsi="仿宋_GB2312" w:eastAsia="仿宋_GB2312" w:cs="仿宋_GB2312"/>
          <w:b/>
          <w:bCs/>
          <w:color w:val="auto"/>
          <w:sz w:val="32"/>
          <w:szCs w:val="32"/>
          <w:shd w:val="clear" w:color="auto" w:fill="FFFFFF"/>
        </w:rPr>
      </w:pPr>
    </w:p>
    <w:p w14:paraId="0889CD1F">
      <w:pPr>
        <w:snapToGrid w:val="0"/>
        <w:spacing w:line="560" w:lineRule="exact"/>
        <w:ind w:firstLine="640"/>
        <w:rPr>
          <w:rFonts w:hint="eastAsia" w:ascii="仿宋_GB2312" w:hAnsi="仿宋_GB2312" w:eastAsia="仿宋_GB2312" w:cs="仿宋_GB2312"/>
          <w:b/>
          <w:bCs/>
          <w:color w:val="auto"/>
          <w:sz w:val="32"/>
          <w:szCs w:val="32"/>
          <w:shd w:val="clear" w:color="auto" w:fill="FFFFFF"/>
        </w:rPr>
      </w:pPr>
    </w:p>
    <w:p w14:paraId="20D8670A">
      <w:pPr>
        <w:snapToGrid w:val="0"/>
        <w:spacing w:line="560" w:lineRule="exact"/>
        <w:ind w:firstLine="640"/>
        <w:rPr>
          <w:rFonts w:hint="eastAsia" w:ascii="仿宋_GB2312" w:hAnsi="仿宋_GB2312" w:eastAsia="仿宋_GB2312" w:cs="仿宋_GB2312"/>
          <w:b/>
          <w:bCs/>
          <w:color w:val="auto"/>
          <w:sz w:val="32"/>
          <w:szCs w:val="32"/>
          <w:shd w:val="clear" w:color="auto" w:fill="FFFFFF"/>
        </w:rPr>
      </w:pPr>
    </w:p>
    <w:p w14:paraId="2D459D49">
      <w:pPr>
        <w:snapToGrid w:val="0"/>
        <w:spacing w:line="560" w:lineRule="exact"/>
        <w:ind w:firstLine="640"/>
        <w:rPr>
          <w:rFonts w:hint="eastAsia" w:ascii="仿宋_GB2312" w:hAnsi="仿宋_GB2312" w:eastAsia="仿宋_GB2312" w:cs="仿宋_GB2312"/>
          <w:b/>
          <w:bCs/>
          <w:color w:val="auto"/>
          <w:sz w:val="32"/>
          <w:szCs w:val="32"/>
          <w:shd w:val="clear" w:color="auto" w:fill="FFFFFF"/>
        </w:rPr>
      </w:pPr>
    </w:p>
    <w:p w14:paraId="44210C83">
      <w:pPr>
        <w:snapToGrid w:val="0"/>
        <w:spacing w:line="560" w:lineRule="exact"/>
        <w:ind w:firstLine="640"/>
        <w:rPr>
          <w:rFonts w:hint="eastAsia" w:ascii="仿宋_GB2312" w:hAnsi="仿宋_GB2312" w:eastAsia="仿宋_GB2312" w:cs="仿宋_GB2312"/>
          <w:b/>
          <w:bCs/>
          <w:color w:val="auto"/>
          <w:sz w:val="32"/>
          <w:szCs w:val="32"/>
          <w:shd w:val="clear" w:color="auto" w:fill="FFFFFF"/>
        </w:rPr>
      </w:pPr>
    </w:p>
    <w:p w14:paraId="58232D05">
      <w:pPr>
        <w:spacing w:after="40"/>
        <w:jc w:val="left"/>
        <w:rPr>
          <w:rFonts w:ascii="楷体" w:hAnsi="楷体" w:eastAsia="楷体"/>
          <w:color w:val="auto"/>
          <w:sz w:val="22"/>
        </w:rPr>
      </w:pPr>
    </w:p>
    <w:p w14:paraId="69D700E3">
      <w:pPr>
        <w:pStyle w:val="12"/>
        <w:pageBreakBefore/>
        <w:rPr>
          <w:color w:val="auto"/>
        </w:rPr>
      </w:pPr>
      <w:bookmarkStart w:id="6" w:name="_Toc31965"/>
      <w:r>
        <w:rPr>
          <w:color w:val="auto"/>
        </w:rPr>
        <w:t>案例 06　AI标书智能体让投标全流程从“按经验”到“按图索骥”</w:t>
      </w:r>
      <w:bookmarkEnd w:id="6"/>
    </w:p>
    <w:p w14:paraId="79CB63E9">
      <w:pPr>
        <w:spacing w:after="40"/>
        <w:jc w:val="left"/>
        <w:rPr>
          <w:rFonts w:ascii="楷体" w:hAnsi="楷体" w:eastAsia="楷体"/>
          <w:color w:val="auto"/>
          <w:sz w:val="22"/>
        </w:rPr>
      </w:pPr>
      <w:r>
        <w:rPr>
          <w:rFonts w:ascii="楷体" w:hAnsi="楷体" w:eastAsia="楷体"/>
          <w:color w:val="auto"/>
          <w:sz w:val="22"/>
        </w:rPr>
        <w:t>申报单位：迪欧家具（中山）有限公司</w:t>
      </w:r>
    </w:p>
    <w:p w14:paraId="281E003C">
      <w:pPr>
        <w:snapToGrid w:val="0"/>
        <w:spacing w:line="560" w:lineRule="exact"/>
        <w:rPr>
          <w:rFonts w:hint="eastAsia" w:ascii="仿宋_GB2312" w:hAnsi="仿宋_GB2312" w:eastAsia="仿宋_GB2312" w:cs="仿宋_GB2312"/>
          <w:color w:val="auto"/>
          <w:sz w:val="32"/>
          <w:szCs w:val="32"/>
          <w:shd w:val="clear" w:color="auto" w:fill="FFFFFF"/>
        </w:rPr>
      </w:pPr>
    </w:p>
    <w:p w14:paraId="7A3FA048">
      <w:pPr>
        <w:snapToGrid w:val="0"/>
        <w:spacing w:line="560" w:lineRule="exact"/>
        <w:ind w:firstLine="640"/>
        <w:rPr>
          <w:rFonts w:hint="eastAsia" w:ascii="黑体" w:hAnsi="黑体" w:eastAsia="黑体" w:cs="黑体"/>
          <w:color w:val="auto"/>
          <w:sz w:val="32"/>
          <w:szCs w:val="32"/>
          <w:shd w:val="clear" w:color="auto" w:fill="FFFFFF"/>
        </w:rPr>
      </w:pPr>
      <w:r>
        <w:rPr>
          <w:rFonts w:hint="eastAsia" w:ascii="黑体" w:hAnsi="黑体" w:eastAsia="黑体" w:cs="黑体"/>
          <w:color w:val="auto"/>
          <w:sz w:val="32"/>
          <w:szCs w:val="32"/>
          <w:shd w:val="clear" w:color="auto" w:fill="FFFFFF"/>
        </w:rPr>
        <w:t>一、案例基本情况</w:t>
      </w:r>
    </w:p>
    <w:p w14:paraId="50652748">
      <w:pPr>
        <w:snapToGrid w:val="0"/>
        <w:spacing w:line="560" w:lineRule="exact"/>
        <w:ind w:firstLine="640"/>
        <w:rPr>
          <w:rFonts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（一）案例名称： AI 标书智能体让投标全流程从</w:t>
      </w:r>
      <w:r>
        <w:rPr>
          <w:rFonts w:hint="eastAsia" w:ascii="仿宋_GB2312" w:hAnsi="仿宋_GB2312" w:eastAsia="仿宋_GB2312"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rPr>
        <w:t>按经验</w:t>
      </w:r>
      <w:r>
        <w:rPr>
          <w:rFonts w:hint="eastAsia" w:ascii="仿宋_GB2312" w:hAnsi="仿宋_GB2312" w:eastAsia="仿宋_GB2312"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rPr>
        <w:t>到</w:t>
      </w:r>
      <w:r>
        <w:rPr>
          <w:rFonts w:hint="eastAsia" w:ascii="仿宋_GB2312" w:hAnsi="仿宋_GB2312" w:eastAsia="仿宋_GB2312"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rPr>
        <w:t>按图索骥</w:t>
      </w:r>
      <w:r>
        <w:rPr>
          <w:rFonts w:hint="eastAsia" w:ascii="仿宋_GB2312" w:hAnsi="仿宋_GB2312" w:eastAsia="仿宋_GB2312"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rPr>
        <w:t>。</w:t>
      </w:r>
    </w:p>
    <w:p w14:paraId="503E0DEC">
      <w:pPr>
        <w:snapToGrid w:val="0"/>
        <w:spacing w:line="560" w:lineRule="exact"/>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（二）人工智能技术应用方：迪欧家具（中山）有限公司</w:t>
      </w:r>
      <w:r>
        <w:rPr>
          <w:rFonts w:hint="eastAsia" w:ascii="仿宋_GB2312" w:hAnsi="仿宋_GB2312" w:eastAsia="仿宋_GB2312" w:cs="仿宋_GB2312"/>
          <w:color w:val="auto"/>
          <w:sz w:val="32"/>
          <w:szCs w:val="32"/>
          <w:shd w:val="clear" w:color="auto" w:fill="FFFFFF"/>
          <w:lang w:eastAsia="zh-CN"/>
        </w:rPr>
        <w:t>，</w:t>
      </w:r>
    </w:p>
    <w:p w14:paraId="60DFBD4F">
      <w:pPr>
        <w:snapToGrid w:val="0"/>
        <w:spacing w:line="560" w:lineRule="exact"/>
        <w:ind w:firstLine="640"/>
        <w:rPr>
          <w:rFonts w:hint="eastAsia" w:ascii="仿宋_GB2312" w:hAnsi="仿宋_GB2312" w:eastAsia="仿宋_GB2312" w:cs="仿宋_GB2312"/>
          <w:b/>
          <w:bCs/>
          <w:color w:val="auto"/>
          <w:sz w:val="32"/>
          <w:szCs w:val="32"/>
          <w:shd w:val="clear" w:color="auto" w:fill="FFFFFF"/>
        </w:rPr>
      </w:pPr>
      <w:r>
        <w:rPr>
          <w:rFonts w:hint="eastAsia" w:ascii="仿宋_GB2312" w:hAnsi="仿宋_GB2312" w:eastAsia="仿宋_GB2312" w:cs="仿宋_GB2312"/>
          <w:b/>
          <w:bCs/>
          <w:color w:val="auto"/>
          <w:sz w:val="32"/>
          <w:szCs w:val="32"/>
          <w:shd w:val="clear" w:color="auto" w:fill="FFFFFF"/>
        </w:rPr>
        <w:t>应用企业简介：</w:t>
      </w:r>
    </w:p>
    <w:p w14:paraId="1B74D201">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2005年成立，总部起</w:t>
      </w:r>
      <w:r>
        <w:rPr>
          <w:rFonts w:hint="eastAsia" w:ascii="仿宋_GB2312" w:hAnsi="仿宋_GB2312" w:eastAsia="仿宋_GB2312" w:cs="仿宋_GB2312"/>
          <w:color w:val="auto"/>
          <w:sz w:val="32"/>
          <w:szCs w:val="32"/>
          <w:shd w:val="clear" w:color="auto" w:fill="FFFFFF"/>
          <w:lang w:eastAsia="zh-CN"/>
        </w:rPr>
        <w:t>源于</w:t>
      </w:r>
      <w:r>
        <w:rPr>
          <w:rFonts w:hint="eastAsia" w:ascii="仿宋_GB2312" w:hAnsi="仿宋_GB2312" w:eastAsia="仿宋_GB2312" w:cs="仿宋_GB2312"/>
          <w:color w:val="auto"/>
          <w:sz w:val="32"/>
          <w:szCs w:val="32"/>
          <w:shd w:val="clear" w:color="auto" w:fill="FFFFFF"/>
        </w:rPr>
        <w:t>中山小榄，注册资本约 2.09 亿元，为高新技术、专精特新企业。</w:t>
      </w:r>
    </w:p>
    <w:p w14:paraId="005C79E3">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集研发、智造、销售服务于一体，建有中山小榄、江门等多处工业园，厂房规模庞大，配套大型商用家具体验馆。主营办公家具，拓展酒店、医养、教育、展示五大商用家具板块，多品牌矩阵覆盖不同客户需求。全国布局两千余家终端网点，服务众多大型企事业单位，拥有绿色卫士、中国绿色产品等多项认证。</w:t>
      </w:r>
    </w:p>
    <w:p w14:paraId="468B29FA">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坚持智能化、绿色化制造，是国内商用家具领域规模领先的制造服务商，也是广东家具制造业代表性企业。</w:t>
      </w:r>
    </w:p>
    <w:p w14:paraId="3733744A">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（三）人工智能技术供给方：广东可道科技有限公司。</w:t>
      </w:r>
    </w:p>
    <w:p w14:paraId="11B347C2">
      <w:pPr>
        <w:snapToGrid w:val="0"/>
        <w:spacing w:line="560" w:lineRule="exact"/>
        <w:ind w:firstLine="640"/>
        <w:rPr>
          <w:rFonts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b/>
          <w:bCs/>
          <w:color w:val="auto"/>
          <w:sz w:val="32"/>
          <w:szCs w:val="32"/>
          <w:shd w:val="clear" w:color="auto" w:fill="FFFFFF"/>
        </w:rPr>
        <w:t>供给企业简介：</w:t>
      </w:r>
    </w:p>
    <w:p w14:paraId="7B291AE3">
      <w:pPr>
        <w:snapToGrid w:val="0"/>
        <w:spacing w:line="560" w:lineRule="exact"/>
        <w:ind w:firstLine="640"/>
        <w:rPr>
          <w:rFonts w:hint="eastAsia" w:ascii="黑体" w:hAnsi="黑体" w:eastAsia="黑体" w:cs="黑体"/>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广东可道科技成立于2015年，是一家致力于搭建数字化应用场景，利用大数据技术辅助管理、分析、决策的数字化生态服务商。团队Base在中山、广州。客户覆盖广州、深圳、中山、珠海、佛山、江门。通过数据分析和大数据技术为企业提供决策依据，降本增效，10年间持续服务超过50个政府企事业单位与上市企业。目前作为字节跳动旗下飞书生态核心伙伴，通过搭建企业数字化底座，利用AI助力企业管理提升，提供企业效能咨询服务。</w:t>
      </w:r>
    </w:p>
    <w:p w14:paraId="6895126C">
      <w:pPr>
        <w:snapToGrid w:val="0"/>
        <w:spacing w:line="560" w:lineRule="exact"/>
        <w:ind w:firstLine="640"/>
        <w:rPr>
          <w:rFonts w:hint="eastAsia" w:ascii="黑体" w:hAnsi="黑体" w:eastAsia="黑体" w:cs="黑体"/>
          <w:color w:val="auto"/>
          <w:sz w:val="32"/>
          <w:szCs w:val="32"/>
          <w:shd w:val="clear" w:color="auto" w:fill="FFFFFF"/>
        </w:rPr>
      </w:pPr>
      <w:r>
        <w:rPr>
          <w:rFonts w:hint="eastAsia" w:ascii="黑体" w:hAnsi="黑体" w:eastAsia="黑体" w:cs="黑体"/>
          <w:color w:val="auto"/>
          <w:sz w:val="32"/>
          <w:szCs w:val="32"/>
          <w:shd w:val="clear" w:color="auto" w:fill="FFFFFF"/>
        </w:rPr>
        <w:t>二、案例内容介绍</w:t>
      </w:r>
    </w:p>
    <w:p w14:paraId="5AA3E301">
      <w:pPr>
        <w:snapToGrid w:val="0"/>
        <w:spacing w:line="560" w:lineRule="exact"/>
        <w:ind w:firstLine="640"/>
        <w:rPr>
          <w:rFonts w:hint="eastAsia" w:ascii="楷体_GB2312" w:hAnsi="楷体_GB2312" w:eastAsia="楷体_GB2312" w:cs="楷体_GB2312"/>
          <w:color w:val="auto"/>
          <w:sz w:val="32"/>
          <w:szCs w:val="32"/>
          <w:shd w:val="clear" w:color="auto" w:fill="FFFFFF"/>
        </w:rPr>
      </w:pPr>
      <w:r>
        <w:rPr>
          <w:rFonts w:hint="eastAsia" w:ascii="楷体_GB2312" w:hAnsi="楷体_GB2312" w:eastAsia="楷体_GB2312" w:cs="楷体_GB2312"/>
          <w:color w:val="auto"/>
          <w:sz w:val="32"/>
          <w:szCs w:val="32"/>
          <w:shd w:val="clear" w:color="auto" w:fill="FFFFFF"/>
        </w:rPr>
        <w:t>（一）包括案例背景、采用的人工智能关键技术、所实现的功能和亮点优势</w:t>
      </w:r>
    </w:p>
    <w:p w14:paraId="2745B332">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迪欧家具标书制作长期面临素材整理耗时长、资质业绩分散难找、竞争对手分析靠感觉、多项目投标进度跟踪滞后等痛点，一份完整标书从招标文件分析到最终提交需 3-5 天，投标日均花费 4-6 小时在重复性素材整理和参数核对上，且审查准确率仅 70%，废标风险高。企业基于飞书 AI平台搭建“1个主管+5个员工”标书智能体架构：</w:t>
      </w:r>
    </w:p>
    <w:p w14:paraId="632D7068">
      <w:pPr>
        <w:numPr>
          <w:ilvl w:val="0"/>
          <w:numId w:val="1"/>
        </w:num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招标文件分析子智能体：自动提取关键信息，3-5 分钟输出结构化可读清单。</w:t>
      </w:r>
    </w:p>
    <w:p w14:paraId="5C4EFBF2">
      <w:pPr>
        <w:numPr>
          <w:ilvl w:val="0"/>
          <w:numId w:val="1"/>
        </w:num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历史中标案例配标子智能体：30秒匹配3</w:t>
      </w:r>
      <w:r>
        <w:rPr>
          <w:rFonts w:hint="eastAsia" w:ascii="仿宋_GB2312" w:hAnsi="仿宋_GB2312" w:eastAsia="仿宋_GB2312"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rPr>
        <w:t>5个最相关案例，附匹配亮点与能力评估。</w:t>
      </w:r>
    </w:p>
    <w:p w14:paraId="1B339770">
      <w:pPr>
        <w:numPr>
          <w:ilvl w:val="0"/>
          <w:numId w:val="1"/>
        </w:num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技术方案撰写子智能体：基于案例库+产品参数库自动生成结构化初稿，半天输出完整方案。</w:t>
      </w:r>
    </w:p>
    <w:p w14:paraId="2272105F">
      <w:pPr>
        <w:numPr>
          <w:ilvl w:val="0"/>
          <w:numId w:val="1"/>
        </w:num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标书合规审查子智能体：全量合规审查，10-15 分钟输出三级问题清单与整改建议。</w:t>
      </w:r>
    </w:p>
    <w:p w14:paraId="6BA490B7">
      <w:pPr>
        <w:numPr>
          <w:ilvl w:val="0"/>
          <w:numId w:val="1"/>
        </w:num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评分差距分析子智能体：基于历史中标数据，输出加分建议清单。</w:t>
      </w:r>
    </w:p>
    <w:p w14:paraId="0D0F10A4">
      <w:pPr>
        <w:numPr>
          <w:ilvl w:val="0"/>
          <w:numId w:val="1"/>
        </w:num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项目节点提醒：主动提醒投标关键节点，多项目并行不遗漏。</w:t>
      </w:r>
    </w:p>
    <w:p w14:paraId="32924A93">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技术亮点：1主 + 5子智能体架构、案例库+产品参数库+历史中标数据三库联动、废标项预警+评分差距分析双引擎、覆盖投标全流程六大场景。</w:t>
      </w:r>
    </w:p>
    <w:p w14:paraId="1FF6B31D">
      <w:pPr>
        <w:snapToGrid w:val="0"/>
        <w:spacing w:line="560" w:lineRule="exact"/>
        <w:ind w:firstLine="640"/>
        <w:rPr>
          <w:rFonts w:hint="eastAsia" w:ascii="楷体_GB2312" w:hAnsi="楷体_GB2312" w:eastAsia="楷体_GB2312" w:cs="楷体_GB2312"/>
          <w:color w:val="auto"/>
          <w:sz w:val="32"/>
          <w:szCs w:val="32"/>
          <w:shd w:val="clear" w:color="auto" w:fill="FFFFFF"/>
        </w:rPr>
      </w:pPr>
      <w:r>
        <w:rPr>
          <w:rFonts w:hint="eastAsia" w:ascii="楷体_GB2312" w:hAnsi="楷体_GB2312" w:eastAsia="楷体_GB2312" w:cs="楷体_GB2312"/>
          <w:color w:val="auto"/>
          <w:sz w:val="32"/>
          <w:szCs w:val="32"/>
          <w:shd w:val="clear" w:color="auto" w:fill="FFFFFF"/>
        </w:rPr>
        <w:t>（二）具体应用成效。</w:t>
      </w:r>
    </w:p>
    <w:p w14:paraId="0129A2A8">
      <w:pPr>
        <w:numPr>
          <w:ilvl w:val="0"/>
          <w:numId w:val="2"/>
        </w:num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招标文件分析：从 1-2 天缩短至 3-5 分钟，废标项漏检风险显著降低；</w:t>
      </w:r>
    </w:p>
    <w:p w14:paraId="10C48930">
      <w:pPr>
        <w:numPr>
          <w:ilvl w:val="0"/>
          <w:numId w:val="2"/>
        </w:num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案例匹配：从 0.5-1 天缩短至 30 秒，最佳业绩命中率大幅提升；</w:t>
      </w:r>
    </w:p>
    <w:p w14:paraId="4A30A94D">
      <w:pPr>
        <w:numPr>
          <w:ilvl w:val="0"/>
          <w:numId w:val="2"/>
        </w:num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技术方案撰写：从 2-3 天缩短至半天，资深人员投入减少 80%；</w:t>
      </w:r>
    </w:p>
    <w:p w14:paraId="26DB4A0B">
      <w:pPr>
        <w:numPr>
          <w:ilvl w:val="0"/>
          <w:numId w:val="2"/>
        </w:num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标书合规审查：从 4-6 小时缩短至 10-15 分钟，问题发现准确率从 70% 提升至 95%+；</w:t>
      </w:r>
    </w:p>
    <w:p w14:paraId="72B8EC74">
      <w:pPr>
        <w:numPr>
          <w:ilvl w:val="0"/>
          <w:numId w:val="2"/>
        </w:num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报价策略：从</w:t>
      </w:r>
      <w:r>
        <w:rPr>
          <w:rFonts w:hint="eastAsia" w:ascii="仿宋_GB2312" w:hAnsi="仿宋_GB2312" w:eastAsia="仿宋_GB2312"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rPr>
        <w:t>凭经验感觉</w:t>
      </w:r>
      <w:r>
        <w:rPr>
          <w:rFonts w:hint="eastAsia" w:ascii="仿宋_GB2312" w:hAnsi="仿宋_GB2312" w:eastAsia="仿宋_GB2312"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rPr>
        <w:t>到</w:t>
      </w:r>
      <w:r>
        <w:rPr>
          <w:rFonts w:hint="eastAsia" w:ascii="仿宋_GB2312" w:hAnsi="仿宋_GB2312" w:eastAsia="仿宋_GB2312"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rPr>
        <w:t>按图索骥</w:t>
      </w:r>
      <w:r>
        <w:rPr>
          <w:rFonts w:hint="eastAsia" w:ascii="仿宋_GB2312" w:hAnsi="仿宋_GB2312" w:eastAsia="仿宋_GB2312"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rPr>
        <w:t>，评分差距分析输出 93% 预估得分等量化依据；</w:t>
      </w:r>
    </w:p>
    <w:p w14:paraId="4DB30D62">
      <w:pPr>
        <w:numPr>
          <w:ilvl w:val="0"/>
          <w:numId w:val="2"/>
        </w:num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项目节点提醒：智能体主动推送，告别群消息刷屏找信息；</w:t>
      </w:r>
    </w:p>
    <w:p w14:paraId="6F8F6CCB">
      <w:pPr>
        <w:numPr>
          <w:ilvl w:val="0"/>
          <w:numId w:val="2"/>
        </w:num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整体投标效率提升 60% 以上，资深人员可同时并行 3-5 个项目。</w:t>
      </w:r>
    </w:p>
    <w:p w14:paraId="39A89B35">
      <w:pPr>
        <w:snapToGrid w:val="0"/>
        <w:spacing w:line="560" w:lineRule="exact"/>
        <w:ind w:firstLine="640"/>
        <w:rPr>
          <w:rFonts w:hint="eastAsia" w:ascii="黑体" w:hAnsi="黑体" w:eastAsia="黑体" w:cs="黑体"/>
          <w:color w:val="auto"/>
          <w:sz w:val="32"/>
          <w:szCs w:val="32"/>
          <w:shd w:val="clear" w:color="auto" w:fill="FFFFFF"/>
        </w:rPr>
      </w:pPr>
      <w:r>
        <w:rPr>
          <w:rFonts w:hint="eastAsia" w:ascii="黑体" w:hAnsi="黑体" w:eastAsia="黑体" w:cs="黑体"/>
          <w:color w:val="auto"/>
          <w:sz w:val="32"/>
          <w:szCs w:val="32"/>
          <w:shd w:val="clear" w:color="auto" w:fill="FFFFFF"/>
        </w:rPr>
        <w:t>三、案例所获得荣誉、复制推广情况等</w:t>
      </w:r>
    </w:p>
    <w:p w14:paraId="1EF60022">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迪欧家具飞书 AI 标书智能体实践已形成</w:t>
      </w:r>
      <w:r>
        <w:rPr>
          <w:rFonts w:hint="eastAsia" w:ascii="仿宋_GB2312" w:hAnsi="仿宋_GB2312" w:eastAsia="仿宋_GB2312"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rPr>
        <w:t>1 主 + 5 子</w:t>
      </w:r>
      <w:r>
        <w:rPr>
          <w:rFonts w:hint="eastAsia" w:ascii="仿宋_GB2312" w:hAnsi="仿宋_GB2312" w:eastAsia="仿宋_GB2312"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rPr>
        <w:t>智能体协同范式，覆盖招标文件分析、案例匹配、技术方案撰写、标书合规审查、评分差距分析、项目节点提醒六大核心场景。</w:t>
      </w:r>
    </w:p>
    <w:p w14:paraId="73FA892E">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该范式对家具制造、教育装备、医疗器械、政府采购、工程建设等需要频繁投标/招投的 B2B 制造企业具有较强的行业推广价值，可作为同类投标密集型企业的 AI 落地参考样板。</w:t>
      </w:r>
    </w:p>
    <w:p w14:paraId="27B2EDE5">
      <w:pPr>
        <w:snapToGrid w:val="0"/>
        <w:spacing w:line="560" w:lineRule="exact"/>
        <w:ind w:firstLine="640"/>
        <w:rPr>
          <w:rFonts w:hint="eastAsia" w:ascii="仿宋_GB2312" w:hAnsi="仿宋_GB2312" w:eastAsia="仿宋_GB2312" w:cs="仿宋_GB2312"/>
          <w:b/>
          <w:bCs/>
          <w:color w:val="auto"/>
          <w:sz w:val="32"/>
          <w:szCs w:val="32"/>
          <w:shd w:val="clear" w:color="auto" w:fill="FFFFFF"/>
        </w:rPr>
      </w:pPr>
    </w:p>
    <w:p w14:paraId="749337EE">
      <w:pPr>
        <w:snapToGrid w:val="0"/>
        <w:spacing w:line="560" w:lineRule="exact"/>
        <w:ind w:firstLine="640"/>
        <w:rPr>
          <w:rFonts w:hint="eastAsia" w:ascii="仿宋_GB2312" w:hAnsi="仿宋_GB2312" w:eastAsia="仿宋_GB2312" w:cs="仿宋_GB2312"/>
          <w:b/>
          <w:bCs/>
          <w:color w:val="auto"/>
          <w:sz w:val="32"/>
          <w:szCs w:val="32"/>
          <w:shd w:val="clear" w:color="auto" w:fill="FFFFFF"/>
        </w:rPr>
      </w:pPr>
    </w:p>
    <w:p w14:paraId="0916F948">
      <w:pPr>
        <w:pageBreakBefore/>
        <w:snapToGrid w:val="0"/>
        <w:spacing w:line="560" w:lineRule="exact"/>
        <w:ind w:firstLine="641"/>
        <w:rPr>
          <w:rFonts w:ascii="仿宋_GB2312" w:hAnsi="仿宋_GB2312" w:eastAsia="仿宋_GB2312" w:cs="仿宋_GB2312"/>
          <w:color w:val="auto"/>
          <w:sz w:val="32"/>
          <w:szCs w:val="32"/>
          <w:shd w:val="clear" w:color="auto" w:fill="FFFFFF"/>
        </w:rPr>
      </w:pPr>
      <w:r>
        <w:rPr>
          <w:rFonts w:ascii="仿宋_GB2312" w:hAnsi="仿宋_GB2312" w:eastAsia="仿宋_GB2312" w:cs="仿宋_GB2312"/>
          <w:color w:val="auto"/>
          <w:sz w:val="32"/>
          <w:szCs w:val="32"/>
          <w:shd w:val="clear" w:color="auto" w:fill="FFFFFF"/>
        </w:rPr>
        <w:t>飞书 AI 中标助手-项目分析报告（AI 自动输出项目概况/推荐投标/推荐理由/评标标准 4 维度分析）</w:t>
      </w:r>
    </w:p>
    <w:p w14:paraId="2D7CE86F">
      <w:pPr>
        <w:snapToGrid w:val="0"/>
        <w:rPr>
          <w:rFonts w:ascii="仿宋_GB2312" w:hAnsi="仿宋_GB2312" w:eastAsia="仿宋_GB2312" w:cs="仿宋_GB2312"/>
          <w:color w:val="auto"/>
          <w:sz w:val="32"/>
          <w:szCs w:val="32"/>
          <w:shd w:val="clear" w:color="auto" w:fill="FFFFFF"/>
        </w:rPr>
      </w:pPr>
      <w:r>
        <w:rPr>
          <w:rFonts w:ascii="仿宋_GB2312" w:hAnsi="仿宋_GB2312" w:eastAsia="仿宋_GB2312" w:cs="仿宋_GB2312"/>
          <w:color w:val="auto"/>
          <w:sz w:val="32"/>
          <w:szCs w:val="32"/>
          <w:shd w:val="clear" w:color="auto" w:fill="FFFFFF"/>
        </w:rPr>
        <w:pict>
          <v:shape id="_x0000_i1025" o:spt="75" alt="diwo_BRZabUlpsoNoP5xvac1cUfN8nCc" type="#_x0000_t75" style="height:451.35pt;width:415.05pt;" filled="f" o:preferrelative="t" stroked="f" coordsize="21600,21600">
            <v:path/>
            <v:fill on="f" focussize="0,0"/>
            <v:stroke on="f" joinstyle="miter"/>
            <v:imagedata r:id="rId18" o:title="diwo_BRZabUlpsoNoP5xvac1cUfN8nCc"/>
            <o:lock v:ext="edit" aspectratio="t"/>
            <w10:wrap type="none"/>
            <w10:anchorlock/>
          </v:shape>
        </w:pict>
      </w:r>
    </w:p>
    <w:p w14:paraId="26AC6762">
      <w:pPr>
        <w:snapToGrid w:val="0"/>
        <w:rPr>
          <w:rFonts w:ascii="仿宋_GB2312" w:hAnsi="仿宋_GB2312" w:eastAsia="仿宋_GB2312" w:cs="仿宋_GB2312"/>
          <w:color w:val="auto"/>
          <w:sz w:val="32"/>
          <w:szCs w:val="32"/>
          <w:shd w:val="clear" w:color="auto" w:fill="FFFFFF"/>
        </w:rPr>
      </w:pPr>
    </w:p>
    <w:p w14:paraId="628D6A42">
      <w:pPr>
        <w:snapToGrid w:val="0"/>
        <w:spacing w:line="560" w:lineRule="exact"/>
        <w:ind w:firstLine="640"/>
        <w:rPr>
          <w:rFonts w:ascii="仿宋_GB2312" w:hAnsi="仿宋_GB2312" w:eastAsia="仿宋_GB2312" w:cs="仿宋_GB2312"/>
          <w:color w:val="auto"/>
          <w:sz w:val="32"/>
          <w:szCs w:val="32"/>
          <w:shd w:val="clear" w:color="auto" w:fill="FFFFFF"/>
        </w:rPr>
      </w:pPr>
    </w:p>
    <w:p w14:paraId="6211BFA9">
      <w:pPr>
        <w:snapToGrid w:val="0"/>
        <w:spacing w:line="560" w:lineRule="exact"/>
        <w:ind w:firstLine="640"/>
        <w:rPr>
          <w:rFonts w:ascii="仿宋_GB2312" w:hAnsi="仿宋_GB2312" w:eastAsia="仿宋_GB2312" w:cs="仿宋_GB2312"/>
          <w:color w:val="auto"/>
          <w:sz w:val="32"/>
          <w:szCs w:val="32"/>
          <w:shd w:val="clear" w:color="auto" w:fill="FFFFFF"/>
        </w:rPr>
      </w:pPr>
    </w:p>
    <w:p w14:paraId="4A886A4A">
      <w:pPr>
        <w:snapToGrid w:val="0"/>
        <w:spacing w:line="560" w:lineRule="exact"/>
        <w:ind w:firstLine="640"/>
        <w:rPr>
          <w:rFonts w:ascii="仿宋_GB2312" w:hAnsi="仿宋_GB2312" w:eastAsia="仿宋_GB2312" w:cs="仿宋_GB2312"/>
          <w:color w:val="auto"/>
          <w:sz w:val="32"/>
          <w:szCs w:val="32"/>
          <w:shd w:val="clear" w:color="auto" w:fill="FFFFFF"/>
        </w:rPr>
      </w:pPr>
    </w:p>
    <w:p w14:paraId="678941CA">
      <w:pPr>
        <w:snapToGrid w:val="0"/>
        <w:spacing w:line="560" w:lineRule="exact"/>
        <w:ind w:firstLine="640"/>
        <w:rPr>
          <w:rFonts w:ascii="仿宋_GB2312" w:hAnsi="仿宋_GB2312" w:eastAsia="仿宋_GB2312" w:cs="仿宋_GB2312"/>
          <w:color w:val="auto"/>
          <w:sz w:val="32"/>
          <w:szCs w:val="32"/>
          <w:shd w:val="clear" w:color="auto" w:fill="FFFFFF"/>
        </w:rPr>
      </w:pPr>
    </w:p>
    <w:p w14:paraId="2C59A73F">
      <w:pPr>
        <w:snapToGrid w:val="0"/>
        <w:spacing w:line="560" w:lineRule="exact"/>
        <w:ind w:firstLine="640"/>
        <w:rPr>
          <w:rFonts w:ascii="仿宋_GB2312" w:hAnsi="仿宋_GB2312" w:eastAsia="仿宋_GB2312" w:cs="仿宋_GB2312"/>
          <w:color w:val="auto"/>
          <w:sz w:val="32"/>
          <w:szCs w:val="32"/>
          <w:shd w:val="clear" w:color="auto" w:fill="FFFFFF"/>
        </w:rPr>
      </w:pPr>
    </w:p>
    <w:p w14:paraId="70FC52DF">
      <w:pPr>
        <w:snapToGrid w:val="0"/>
        <w:spacing w:line="560" w:lineRule="exact"/>
        <w:ind w:firstLine="640"/>
        <w:rPr>
          <w:rFonts w:ascii="仿宋_GB2312" w:hAnsi="仿宋_GB2312" w:eastAsia="仿宋_GB2312" w:cs="仿宋_GB2312"/>
          <w:color w:val="auto"/>
          <w:sz w:val="32"/>
          <w:szCs w:val="32"/>
          <w:shd w:val="clear" w:color="auto" w:fill="FFFFFF"/>
        </w:rPr>
      </w:pPr>
    </w:p>
    <w:p w14:paraId="3AD806F6">
      <w:pPr>
        <w:snapToGrid w:val="0"/>
        <w:spacing w:line="560" w:lineRule="exact"/>
        <w:ind w:firstLine="640"/>
        <w:rPr>
          <w:rFonts w:ascii="仿宋_GB2312" w:hAnsi="仿宋_GB2312" w:eastAsia="仿宋_GB2312" w:cs="仿宋_GB2312"/>
          <w:color w:val="auto"/>
          <w:sz w:val="32"/>
          <w:szCs w:val="32"/>
          <w:shd w:val="clear" w:color="auto" w:fill="FFFFFF"/>
        </w:rPr>
      </w:pPr>
      <w:r>
        <w:rPr>
          <w:rFonts w:ascii="仿宋_GB2312" w:hAnsi="仿宋_GB2312" w:eastAsia="仿宋_GB2312" w:cs="仿宋_GB2312"/>
          <w:color w:val="auto"/>
          <w:sz w:val="32"/>
          <w:szCs w:val="32"/>
          <w:shd w:val="clear" w:color="auto" w:fill="FFFFFF"/>
        </w:rPr>
        <w:t>标书合规性审查报告（5 项严重问题+8 项一般问题+6 项优化建议，完整性评分 72 分）</w:t>
      </w:r>
    </w:p>
    <w:p w14:paraId="5CBAC488">
      <w:pPr>
        <w:snapToGrid w:val="0"/>
        <w:rPr>
          <w:rFonts w:ascii="仿宋_GB2312" w:hAnsi="仿宋_GB2312" w:eastAsia="仿宋_GB2312" w:cs="仿宋_GB2312"/>
          <w:color w:val="auto"/>
          <w:sz w:val="32"/>
          <w:szCs w:val="32"/>
          <w:shd w:val="clear" w:color="auto" w:fill="FFFFFF"/>
        </w:rPr>
      </w:pPr>
      <w:r>
        <w:rPr>
          <w:rFonts w:ascii="仿宋_GB2312" w:hAnsi="仿宋_GB2312" w:eastAsia="仿宋_GB2312" w:cs="仿宋_GB2312"/>
          <w:color w:val="auto"/>
          <w:sz w:val="32"/>
          <w:szCs w:val="32"/>
          <w:shd w:val="clear" w:color="auto" w:fill="FFFFFF"/>
        </w:rPr>
        <w:pict>
          <v:shape id="_x0000_i1026" o:spt="75" alt="diwo_F5zJbtp1SoZ9LOxsbyqcSq2enKe" type="#_x0000_t75" style="height:451.35pt;width:415.05pt;" filled="f" o:preferrelative="t" stroked="f" coordsize="21600,21600">
            <v:path/>
            <v:fill on="f" focussize="0,0"/>
            <v:stroke on="f" joinstyle="miter"/>
            <v:imagedata r:id="rId19" o:title="diwo_F5zJbtp1SoZ9LOxsbyqcSq2enKe"/>
            <o:lock v:ext="edit" aspectratio="t"/>
            <w10:wrap type="none"/>
            <w10:anchorlock/>
          </v:shape>
        </w:pict>
      </w:r>
    </w:p>
    <w:p w14:paraId="7BADDAE7">
      <w:pPr>
        <w:spacing w:after="40"/>
        <w:jc w:val="left"/>
        <w:rPr>
          <w:rFonts w:ascii="楷体" w:hAnsi="楷体" w:eastAsia="楷体"/>
          <w:color w:val="auto"/>
          <w:sz w:val="22"/>
        </w:rPr>
      </w:pPr>
    </w:p>
    <w:p w14:paraId="241C90B8">
      <w:pPr>
        <w:pStyle w:val="12"/>
        <w:pageBreakBefore/>
        <w:rPr>
          <w:color w:val="auto"/>
        </w:rPr>
      </w:pPr>
      <w:bookmarkStart w:id="7" w:name="_Toc25987"/>
      <w:r>
        <w:rPr>
          <w:color w:val="auto"/>
        </w:rPr>
        <w:t>案例 07　AI赋能研发与采销全链路，打造“问一声就出结果”的智能化组织</w:t>
      </w:r>
      <w:bookmarkEnd w:id="7"/>
    </w:p>
    <w:p w14:paraId="11323A18">
      <w:pPr>
        <w:spacing w:after="40"/>
        <w:jc w:val="left"/>
        <w:rPr>
          <w:rFonts w:ascii="楷体" w:hAnsi="楷体" w:eastAsia="楷体"/>
          <w:color w:val="auto"/>
          <w:sz w:val="22"/>
        </w:rPr>
      </w:pPr>
      <w:r>
        <w:rPr>
          <w:rFonts w:ascii="楷体" w:hAnsi="楷体" w:eastAsia="楷体"/>
          <w:color w:val="auto"/>
          <w:sz w:val="22"/>
        </w:rPr>
        <w:t>申报单位：中山火炬环保新材料有限公司</w:t>
      </w:r>
    </w:p>
    <w:p w14:paraId="6F01B91A">
      <w:pPr>
        <w:snapToGrid w:val="0"/>
        <w:spacing w:line="560" w:lineRule="exact"/>
        <w:rPr>
          <w:rFonts w:hint="eastAsia" w:ascii="仿宋_GB2312" w:hAnsi="仿宋_GB2312" w:eastAsia="仿宋_GB2312" w:cs="仿宋_GB2312"/>
          <w:color w:val="auto"/>
          <w:sz w:val="32"/>
          <w:szCs w:val="32"/>
          <w:shd w:val="clear" w:color="auto" w:fill="FFFFFF"/>
        </w:rPr>
      </w:pPr>
    </w:p>
    <w:p w14:paraId="6A5F4F82">
      <w:pPr>
        <w:snapToGrid w:val="0"/>
        <w:spacing w:line="560" w:lineRule="exact"/>
        <w:ind w:firstLine="640"/>
        <w:rPr>
          <w:rFonts w:hint="eastAsia" w:ascii="黑体" w:hAnsi="黑体" w:eastAsia="黑体" w:cs="黑体"/>
          <w:color w:val="auto"/>
          <w:sz w:val="32"/>
          <w:szCs w:val="32"/>
          <w:shd w:val="clear" w:color="auto" w:fill="FFFFFF"/>
        </w:rPr>
      </w:pPr>
      <w:r>
        <w:rPr>
          <w:rFonts w:hint="eastAsia" w:ascii="黑体" w:hAnsi="黑体" w:eastAsia="黑体" w:cs="黑体"/>
          <w:color w:val="auto"/>
          <w:sz w:val="32"/>
          <w:szCs w:val="32"/>
          <w:shd w:val="clear" w:color="auto" w:fill="FFFFFF"/>
        </w:rPr>
        <w:t>一、案例基本情况</w:t>
      </w:r>
    </w:p>
    <w:p w14:paraId="30F9E5EC">
      <w:pPr>
        <w:snapToGrid w:val="0"/>
        <w:spacing w:line="560" w:lineRule="exact"/>
        <w:ind w:firstLine="640"/>
        <w:rPr>
          <w:rFonts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（一）案例名称：AI 赋能研发与采销全链路，打造</w:t>
      </w:r>
      <w:r>
        <w:rPr>
          <w:rFonts w:hint="eastAsia" w:ascii="仿宋_GB2312" w:hAnsi="仿宋_GB2312" w:eastAsia="仿宋_GB2312"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rPr>
        <w:t>问一声就出结果</w:t>
      </w:r>
      <w:r>
        <w:rPr>
          <w:rFonts w:hint="eastAsia" w:ascii="仿宋_GB2312" w:hAnsi="仿宋_GB2312" w:eastAsia="仿宋_GB2312"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rPr>
        <w:t>的智能化组织。</w:t>
      </w:r>
    </w:p>
    <w:p w14:paraId="74F9646E">
      <w:pPr>
        <w:snapToGrid w:val="0"/>
        <w:spacing w:line="560" w:lineRule="exact"/>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（二）人工智能技术应用方：中山火炬环保新材料有限公司。</w:t>
      </w:r>
    </w:p>
    <w:p w14:paraId="628CA628">
      <w:pPr>
        <w:snapToGrid w:val="0"/>
        <w:spacing w:line="560" w:lineRule="exact"/>
        <w:ind w:firstLine="640"/>
        <w:rPr>
          <w:rFonts w:hint="eastAsia" w:ascii="仿宋_GB2312" w:hAnsi="仿宋_GB2312" w:eastAsia="仿宋_GB2312" w:cs="仿宋_GB2312"/>
          <w:b/>
          <w:bCs/>
          <w:color w:val="auto"/>
          <w:sz w:val="32"/>
          <w:szCs w:val="32"/>
          <w:shd w:val="clear" w:color="auto" w:fill="FFFFFF"/>
        </w:rPr>
      </w:pPr>
      <w:r>
        <w:rPr>
          <w:rFonts w:hint="eastAsia" w:ascii="仿宋_GB2312" w:hAnsi="仿宋_GB2312" w:eastAsia="仿宋_GB2312" w:cs="仿宋_GB2312"/>
          <w:b/>
          <w:bCs/>
          <w:color w:val="auto"/>
          <w:sz w:val="32"/>
          <w:szCs w:val="32"/>
          <w:shd w:val="clear" w:color="auto" w:fill="FFFFFF"/>
        </w:rPr>
        <w:t>应用企业简介：</w:t>
      </w:r>
    </w:p>
    <w:p w14:paraId="20ED752E">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公</w:t>
      </w:r>
      <w:r>
        <w:rPr>
          <w:rFonts w:hint="eastAsia" w:ascii="仿宋_GB2312" w:hAnsi="仿宋_GB2312" w:eastAsia="仿宋_GB2312" w:cs="仿宋_GB2312"/>
          <w:color w:val="auto"/>
          <w:sz w:val="32"/>
          <w:szCs w:val="32"/>
          <w:shd w:val="clear" w:color="auto" w:fill="FFFFFF"/>
          <w:lang w:eastAsia="zh-CN"/>
        </w:rPr>
        <w:t>司于</w:t>
      </w:r>
      <w:r>
        <w:rPr>
          <w:rFonts w:hint="eastAsia" w:ascii="仿宋_GB2312" w:hAnsi="仿宋_GB2312" w:eastAsia="仿宋_GB2312" w:cs="仿宋_GB2312"/>
          <w:color w:val="auto"/>
          <w:sz w:val="32"/>
          <w:szCs w:val="32"/>
          <w:shd w:val="clear" w:color="auto" w:fill="FFFFFF"/>
        </w:rPr>
        <w:t xml:space="preserve"> 2003 年成立，坐落于中山火炬开发区民族工业园，为高新技术、专精特新中小企业，注册资本 1200 万元。聚焦工业固废资源化循环利用，主营危险废物处置、稀贵金属回收、高纯度电子化学品研发生产，配套环境工程、检测及一站式危废管理解决方案。</w:t>
      </w:r>
    </w:p>
    <w:p w14:paraId="418795F6">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集研发、生产、物流、销售服务于一体，服务珠三角、长三角电子、环保行业龙头客户。自建火炬新材科创园，推进低效工业园改造，布局新能源、生物医药、新材料产业载体，践行绿色循环发展理念，深耕资源再生领域，是区域危废资源化综合利用的代表性企业。</w:t>
      </w:r>
    </w:p>
    <w:p w14:paraId="23B5424C">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（三）人工智能技术供给方：广东可道科技有限公司。</w:t>
      </w:r>
    </w:p>
    <w:p w14:paraId="6A695EFD">
      <w:pPr>
        <w:snapToGrid w:val="0"/>
        <w:spacing w:line="560" w:lineRule="exact"/>
        <w:ind w:firstLine="640"/>
        <w:rPr>
          <w:rFonts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b/>
          <w:bCs/>
          <w:color w:val="auto"/>
          <w:sz w:val="32"/>
          <w:szCs w:val="32"/>
          <w:shd w:val="clear" w:color="auto" w:fill="FFFFFF"/>
        </w:rPr>
        <w:t>供给企业简介：</w:t>
      </w:r>
    </w:p>
    <w:p w14:paraId="2C79EE30">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广东可道科技成立于2015年，是一家致力于搭建数字化应用场景，利用大数据技术辅助管理、分析、决策的数字化生态服务商。团队Base在中山、广州。客户覆盖广州、深圳、中山、珠海、佛山、江门。通过数据分析和大数据技术为企业提供决策依据，降本增效，10年间持续服务超过50个政府企事业单位与上市企业。</w:t>
      </w:r>
    </w:p>
    <w:p w14:paraId="7FA29078">
      <w:pPr>
        <w:snapToGrid w:val="0"/>
        <w:spacing w:line="560" w:lineRule="exact"/>
        <w:ind w:firstLine="640"/>
        <w:rPr>
          <w:rFonts w:hint="eastAsia" w:ascii="黑体" w:hAnsi="黑体" w:eastAsia="黑体" w:cs="黑体"/>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目前作为字节跳动旗下飞书生态核心伙伴，通过搭建企业数字化底座，利用AI助力企业管理提升，提供企业效能咨询服务。</w:t>
      </w:r>
    </w:p>
    <w:p w14:paraId="07369E8D">
      <w:pPr>
        <w:snapToGrid w:val="0"/>
        <w:spacing w:line="560" w:lineRule="exact"/>
        <w:ind w:firstLine="640"/>
        <w:rPr>
          <w:rFonts w:hint="eastAsia" w:ascii="黑体" w:hAnsi="黑体" w:eastAsia="黑体" w:cs="黑体"/>
          <w:color w:val="auto"/>
          <w:sz w:val="32"/>
          <w:szCs w:val="32"/>
          <w:shd w:val="clear" w:color="auto" w:fill="FFFFFF"/>
        </w:rPr>
      </w:pPr>
      <w:r>
        <w:rPr>
          <w:rFonts w:hint="eastAsia" w:ascii="黑体" w:hAnsi="黑体" w:eastAsia="黑体" w:cs="黑体"/>
          <w:color w:val="auto"/>
          <w:sz w:val="32"/>
          <w:szCs w:val="32"/>
          <w:shd w:val="clear" w:color="auto" w:fill="FFFFFF"/>
        </w:rPr>
        <w:t>二、案例内容介绍</w:t>
      </w:r>
    </w:p>
    <w:p w14:paraId="3285AB8E">
      <w:pPr>
        <w:snapToGrid w:val="0"/>
        <w:spacing w:line="560" w:lineRule="exact"/>
        <w:ind w:firstLine="640"/>
        <w:rPr>
          <w:rFonts w:hint="eastAsia" w:ascii="楷体_GB2312" w:hAnsi="楷体_GB2312" w:eastAsia="楷体_GB2312" w:cs="楷体_GB2312"/>
          <w:color w:val="auto"/>
          <w:sz w:val="32"/>
          <w:szCs w:val="32"/>
          <w:shd w:val="clear" w:color="auto" w:fill="FFFFFF"/>
        </w:rPr>
      </w:pPr>
      <w:r>
        <w:rPr>
          <w:rFonts w:hint="eastAsia" w:ascii="楷体_GB2312" w:hAnsi="楷体_GB2312" w:eastAsia="楷体_GB2312" w:cs="楷体_GB2312"/>
          <w:color w:val="auto"/>
          <w:sz w:val="32"/>
          <w:szCs w:val="32"/>
          <w:shd w:val="clear" w:color="auto" w:fill="FFFFFF"/>
        </w:rPr>
        <w:t>（一）包括案例背景、采用的人工智能关键技术、所实现的功能和亮点优势</w:t>
      </w:r>
    </w:p>
    <w:p w14:paraId="3297D537">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火炬新材在引入飞书 AI 之前，员工咨询制度、查询信息、查找资料需跨多个系统逐一翻找，项目经理每周查询 15 个项目平均耗时 105 分钟以上，采销人员测算一次成本需 1-2 小时，合同审核需 30-60 分钟/份。2026 年围绕四大 AI 场景系统性落地：</w:t>
      </w:r>
    </w:p>
    <w:p w14:paraId="1E12B0EB">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lang w:val="en-US" w:eastAsia="zh-CN"/>
        </w:rPr>
        <w:t>1.</w:t>
      </w:r>
      <w:r>
        <w:rPr>
          <w:rFonts w:hint="eastAsia" w:ascii="仿宋_GB2312" w:hAnsi="仿宋_GB2312" w:eastAsia="仿宋_GB2312" w:cs="仿宋_GB2312"/>
          <w:color w:val="auto"/>
          <w:sz w:val="32"/>
          <w:szCs w:val="32"/>
          <w:shd w:val="clear" w:color="auto" w:fill="FFFFFF"/>
        </w:rPr>
        <w:t>百事通 AI 助手：7×24 小时员工服务智能体，AI 独立解决 85% 高频咨询，覆盖 20+ 审批流程类型；</w:t>
      </w:r>
    </w:p>
    <w:p w14:paraId="6B5C2531">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lang w:val="en-US" w:eastAsia="zh-CN"/>
        </w:rPr>
        <w:t>2.</w:t>
      </w:r>
      <w:r>
        <w:rPr>
          <w:rFonts w:hint="eastAsia" w:ascii="仿宋_GB2312" w:hAnsi="仿宋_GB2312" w:eastAsia="仿宋_GB2312" w:cs="仿宋_GB2312"/>
          <w:color w:val="auto"/>
          <w:sz w:val="32"/>
          <w:szCs w:val="32"/>
          <w:shd w:val="clear" w:color="auto" w:fill="FFFFFF"/>
        </w:rPr>
        <w:t>研发项目管理系统：</w:t>
      </w:r>
      <w:r>
        <w:rPr>
          <w:rFonts w:hint="eastAsia" w:ascii="仿宋_GB2312" w:hAnsi="仿宋_GB2312" w:eastAsia="仿宋_GB2312" w:cs="仿宋_GB2312"/>
          <w:color w:val="auto"/>
          <w:sz w:val="32"/>
          <w:szCs w:val="32"/>
          <w:shd w:val="clear" w:color="auto" w:fill="FFFFFF"/>
          <w:lang w:eastAsia="zh-CN"/>
        </w:rPr>
        <w:t>每个</w:t>
      </w:r>
      <w:r>
        <w:rPr>
          <w:rFonts w:hint="eastAsia" w:ascii="仿宋_GB2312" w:hAnsi="仿宋_GB2312" w:eastAsia="仿宋_GB2312" w:cs="仿宋_GB2312"/>
          <w:color w:val="auto"/>
          <w:sz w:val="32"/>
          <w:szCs w:val="32"/>
          <w:shd w:val="clear" w:color="auto" w:fill="FFFFFF"/>
        </w:rPr>
        <w:t>项目内置甘特图、任务状态、完成度自动计算，AI 自动总结项目进展、辨析风险并生成行动建议；</w:t>
      </w:r>
    </w:p>
    <w:p w14:paraId="3E2BDB13">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lang w:val="en-US" w:eastAsia="zh-CN"/>
        </w:rPr>
        <w:t>3.</w:t>
      </w:r>
      <w:r>
        <w:rPr>
          <w:rFonts w:hint="eastAsia" w:ascii="仿宋_GB2312" w:hAnsi="仿宋_GB2312" w:eastAsia="仿宋_GB2312" w:cs="仿宋_GB2312"/>
          <w:color w:val="auto"/>
          <w:sz w:val="32"/>
          <w:szCs w:val="32"/>
          <w:shd w:val="clear" w:color="auto" w:fill="FFFFFF"/>
        </w:rPr>
        <w:t>采销智脑智能体：打通SMM 金属价格表、铜水折数成本核算、实时库存等表格，AI 自动测算成本、审核合同、查询库存；</w:t>
      </w:r>
    </w:p>
    <w:p w14:paraId="28B6C4FC">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lang w:val="en-US" w:eastAsia="zh-CN"/>
        </w:rPr>
        <w:t>4.</w:t>
      </w:r>
      <w:r>
        <w:rPr>
          <w:rFonts w:hint="eastAsia" w:ascii="仿宋_GB2312" w:hAnsi="仿宋_GB2312" w:eastAsia="仿宋_GB2312" w:cs="仿宋_GB2312"/>
          <w:color w:val="auto"/>
          <w:sz w:val="32"/>
          <w:szCs w:val="32"/>
          <w:shd w:val="clear" w:color="auto" w:fill="FFFFFF"/>
        </w:rPr>
        <w:t>AI 智能周报系统：对话式录入、AI 智能总结、AI 质量评分、数据沉淀分析。</w:t>
      </w:r>
    </w:p>
    <w:p w14:paraId="46B524C7">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技术亮点：智能体深度对接企业知识库与多维表格数据源，AI 内外双源检索、AI 主动风险预警、自然语言秒级完成业务操作。</w:t>
      </w:r>
    </w:p>
    <w:p w14:paraId="67D61B46">
      <w:pPr>
        <w:snapToGrid w:val="0"/>
        <w:spacing w:line="560" w:lineRule="exact"/>
        <w:ind w:firstLine="640"/>
        <w:rPr>
          <w:rFonts w:hint="eastAsia" w:ascii="楷体_GB2312" w:hAnsi="楷体_GB2312" w:eastAsia="楷体_GB2312" w:cs="楷体_GB2312"/>
          <w:color w:val="auto"/>
          <w:sz w:val="32"/>
          <w:szCs w:val="32"/>
          <w:shd w:val="clear" w:color="auto" w:fill="FFFFFF"/>
        </w:rPr>
      </w:pPr>
      <w:r>
        <w:rPr>
          <w:rFonts w:hint="eastAsia" w:ascii="楷体_GB2312" w:hAnsi="楷体_GB2312" w:eastAsia="楷体_GB2312" w:cs="楷体_GB2312"/>
          <w:color w:val="auto"/>
          <w:sz w:val="32"/>
          <w:szCs w:val="32"/>
          <w:shd w:val="clear" w:color="auto" w:fill="FFFFFF"/>
        </w:rPr>
        <w:t>（二）具体应用成效。</w:t>
      </w:r>
    </w:p>
    <w:p w14:paraId="77B7848B">
      <w:pPr>
        <w:numPr>
          <w:ilvl w:val="0"/>
          <w:numId w:val="3"/>
        </w:numPr>
        <w:snapToGrid w:val="0"/>
        <w:spacing w:line="560" w:lineRule="exact"/>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百事通 AI 助手：AI 问答平均响应 1.5 秒，效率提升 95%+，独立解决 85% 高频咨询；</w:t>
      </w:r>
    </w:p>
    <w:p w14:paraId="12816C33">
      <w:pPr>
        <w:numPr>
          <w:ilvl w:val="0"/>
          <w:numId w:val="3"/>
        </w:numPr>
        <w:snapToGrid w:val="0"/>
        <w:spacing w:line="560" w:lineRule="exact"/>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研发项目管理：项目查询从 105 分钟/周缩短至一键即览，AI 自动总结耗时从数小时缩短至分钟级；</w:t>
      </w:r>
    </w:p>
    <w:p w14:paraId="4D29B5FB">
      <w:pPr>
        <w:numPr>
          <w:ilvl w:val="0"/>
          <w:numId w:val="3"/>
        </w:numPr>
        <w:snapToGrid w:val="0"/>
        <w:spacing w:line="560" w:lineRule="exact"/>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采销智脑：成本测算从 1-2 小时缩短至 2 分钟（效率提升 95%+），合同审核从 30-60 分钟缩短至 5 分钟（提升 90%+）；</w:t>
      </w:r>
    </w:p>
    <w:p w14:paraId="11A0443F">
      <w:pPr>
        <w:numPr>
          <w:ilvl w:val="0"/>
          <w:numId w:val="3"/>
        </w:numPr>
        <w:snapToGrid w:val="0"/>
        <w:spacing w:line="560" w:lineRule="exact"/>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智能周报：员工录入从 30-60 分钟缩短至 2 分钟，管理者阅读从 2-3 分钟/份缩短至 30 秒/份（提升 80%+）；</w:t>
      </w:r>
    </w:p>
    <w:p w14:paraId="44502058">
      <w:pPr>
        <w:numPr>
          <w:ilvl w:val="0"/>
          <w:numId w:val="3"/>
        </w:numPr>
        <w:snapToGrid w:val="0"/>
        <w:spacing w:line="560" w:lineRule="exact"/>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知识沉淀：所有制度文档、合同档案、研发资料统一知识库管理，新员工可快速上手。</w:t>
      </w:r>
    </w:p>
    <w:p w14:paraId="0FCB41D7">
      <w:pPr>
        <w:snapToGrid w:val="0"/>
        <w:spacing w:line="560" w:lineRule="exact"/>
        <w:ind w:firstLine="640"/>
        <w:rPr>
          <w:rFonts w:hint="eastAsia" w:ascii="黑体" w:hAnsi="黑体" w:eastAsia="黑体" w:cs="黑体"/>
          <w:color w:val="auto"/>
          <w:sz w:val="32"/>
          <w:szCs w:val="32"/>
          <w:shd w:val="clear" w:color="auto" w:fill="FFFFFF"/>
        </w:rPr>
      </w:pPr>
      <w:r>
        <w:rPr>
          <w:rFonts w:hint="eastAsia" w:ascii="黑体" w:hAnsi="黑体" w:eastAsia="黑体" w:cs="黑体"/>
          <w:color w:val="auto"/>
          <w:sz w:val="32"/>
          <w:szCs w:val="32"/>
          <w:shd w:val="clear" w:color="auto" w:fill="FFFFFF"/>
        </w:rPr>
        <w:t>三、案例所获得荣誉、复制推广情况等</w:t>
      </w:r>
    </w:p>
    <w:p w14:paraId="07BDF507">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火炬新材飞书AI实践已形成</w:t>
      </w:r>
      <w:r>
        <w:rPr>
          <w:rFonts w:hint="eastAsia" w:ascii="仿宋_GB2312" w:hAnsi="仿宋_GB2312" w:eastAsia="仿宋_GB2312"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rPr>
        <w:t>研发项目管理 + 采销智脑 + 智能周报 + 员工服务</w:t>
      </w:r>
      <w:r>
        <w:rPr>
          <w:rFonts w:hint="eastAsia" w:ascii="仿宋_GB2312" w:hAnsi="仿宋_GB2312" w:eastAsia="仿宋_GB2312"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rPr>
        <w:t>四位一体的 AI 落地范式，覆盖新材料行业研发、采销、人事行政、经营管理全链路。该范式对中小型新材料企业、生产制造企业具有较强可复制性，可作为同行业 AI 落地参考样板。</w:t>
      </w:r>
    </w:p>
    <w:p w14:paraId="64DD14C3">
      <w:pPr>
        <w:snapToGrid w:val="0"/>
        <w:spacing w:line="560" w:lineRule="exact"/>
        <w:rPr>
          <w:rFonts w:hint="eastAsia" w:ascii="仿宋_GB2312" w:hAnsi="仿宋_GB2312" w:eastAsia="仿宋_GB2312" w:cs="仿宋_GB2312"/>
          <w:b/>
          <w:bCs/>
          <w:color w:val="auto"/>
          <w:sz w:val="32"/>
          <w:szCs w:val="32"/>
          <w:shd w:val="clear" w:color="auto" w:fill="FFFFFF"/>
        </w:rPr>
      </w:pPr>
    </w:p>
    <w:p w14:paraId="6FAC36AC">
      <w:pPr>
        <w:snapToGrid w:val="0"/>
        <w:spacing w:line="560" w:lineRule="exact"/>
        <w:ind w:firstLine="640"/>
        <w:rPr>
          <w:rFonts w:hint="eastAsia" w:ascii="仿宋_GB2312" w:hAnsi="仿宋_GB2312" w:eastAsia="仿宋_GB2312" w:cs="仿宋_GB2312"/>
          <w:b/>
          <w:bCs/>
          <w:color w:val="auto"/>
          <w:sz w:val="32"/>
          <w:szCs w:val="32"/>
          <w:shd w:val="clear" w:color="auto" w:fill="FFFFFF"/>
        </w:rPr>
      </w:pPr>
    </w:p>
    <w:p w14:paraId="71106A16">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研发项目智能甘特图（任务状态实时更新，完成度自动计算）</w:t>
      </w:r>
    </w:p>
    <w:p w14:paraId="1AA5DC42">
      <w:pPr>
        <w:snapToGrid w:val="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pict>
          <v:shape id="_x0000_i1027" o:spt="75" alt="huoju_1" type="#_x0000_t75" style="height:338.8pt;width:414.35pt;" filled="f" o:preferrelative="t" stroked="f" coordsize="21600,21600">
            <v:path/>
            <v:fill on="f" focussize="0,0"/>
            <v:stroke on="f"/>
            <v:imagedata r:id="rId20" o:title=""/>
            <o:lock v:ext="edit" aspectratio="t"/>
            <w10:wrap type="none"/>
            <w10:anchorlock/>
          </v:shape>
        </w:pict>
      </w:r>
    </w:p>
    <w:p w14:paraId="148FBCBC">
      <w:pPr>
        <w:snapToGrid w:val="0"/>
        <w:spacing w:line="560" w:lineRule="exact"/>
        <w:ind w:firstLine="640"/>
        <w:rPr>
          <w:rFonts w:hint="eastAsia" w:ascii="仿宋_GB2312" w:hAnsi="仿宋_GB2312" w:eastAsia="仿宋_GB2312" w:cs="仿宋_GB2312"/>
          <w:color w:val="auto"/>
          <w:sz w:val="32"/>
          <w:szCs w:val="32"/>
          <w:shd w:val="clear" w:color="auto" w:fill="FFFFFF"/>
        </w:rPr>
      </w:pPr>
    </w:p>
    <w:p w14:paraId="4FD701A9">
      <w:pPr>
        <w:pageBreakBefore/>
        <w:snapToGrid w:val="0"/>
        <w:spacing w:line="560" w:lineRule="exact"/>
        <w:ind w:firstLine="641"/>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采销智脑</w:t>
      </w:r>
      <w:r>
        <w:rPr>
          <w:rFonts w:hint="eastAsia" w:ascii="仿宋_GB2312" w:hAnsi="仿宋_GB2312" w:eastAsia="仿宋_GB2312"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rPr>
        <w:t>知识检索（合同/会议纪要/绩效文件秒级查询）</w:t>
      </w:r>
    </w:p>
    <w:p w14:paraId="5385D494">
      <w:pPr>
        <w:snapToGrid w:val="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pict>
          <v:shape id="_x0000_i1028" o:spt="75" alt="_check_pm" type="#_x0000_t75" style="height:325.5pt;width:415.05pt;" filled="f" o:preferrelative="t" stroked="f" coordsize="21600,21600">
            <v:path/>
            <v:fill on="f" focussize="0,0"/>
            <v:stroke on="f" joinstyle="miter"/>
            <v:imagedata r:id="rId21" cropbottom="2341f" o:title="_check_pm"/>
            <o:lock v:ext="edit" aspectratio="t"/>
            <w10:wrap type="none"/>
            <w10:anchorlock/>
          </v:shape>
        </w:pict>
      </w:r>
    </w:p>
    <w:p w14:paraId="4D84E17C">
      <w:pPr>
        <w:snapToGrid w:val="0"/>
        <w:spacing w:line="560" w:lineRule="exact"/>
        <w:ind w:firstLine="640"/>
        <w:rPr>
          <w:rFonts w:ascii="仿宋_GB2312" w:hAnsi="仿宋_GB2312" w:eastAsia="仿宋_GB2312" w:cs="仿宋_GB2312"/>
          <w:b/>
          <w:bCs/>
          <w:color w:val="auto"/>
          <w:sz w:val="32"/>
          <w:szCs w:val="32"/>
          <w:shd w:val="clear" w:color="auto" w:fill="FFFFFF"/>
        </w:rPr>
      </w:pPr>
    </w:p>
    <w:p w14:paraId="731DCE56">
      <w:pPr>
        <w:spacing w:after="40"/>
        <w:jc w:val="left"/>
        <w:rPr>
          <w:rFonts w:ascii="楷体" w:hAnsi="楷体" w:eastAsia="楷体"/>
          <w:color w:val="auto"/>
          <w:sz w:val="22"/>
        </w:rPr>
      </w:pPr>
    </w:p>
    <w:p w14:paraId="06DAC553">
      <w:pPr>
        <w:pStyle w:val="12"/>
        <w:pageBreakBefore/>
        <w:rPr>
          <w:color w:val="auto"/>
        </w:rPr>
      </w:pPr>
      <w:bookmarkStart w:id="8" w:name="_Toc5474"/>
      <w:r>
        <w:rPr>
          <w:color w:val="auto"/>
        </w:rPr>
        <w:t>案例 08　AI驱动家具制造业经营全链路智能化升级</w:t>
      </w:r>
      <w:bookmarkEnd w:id="8"/>
    </w:p>
    <w:p w14:paraId="37ABC6FB">
      <w:pPr>
        <w:spacing w:after="40"/>
        <w:jc w:val="left"/>
        <w:rPr>
          <w:rFonts w:ascii="楷体" w:hAnsi="楷体" w:eastAsia="楷体"/>
          <w:color w:val="auto"/>
          <w:sz w:val="22"/>
        </w:rPr>
      </w:pPr>
      <w:r>
        <w:rPr>
          <w:rFonts w:ascii="楷体" w:hAnsi="楷体" w:eastAsia="楷体"/>
          <w:color w:val="auto"/>
          <w:sz w:val="22"/>
        </w:rPr>
        <w:t>申报单位：中山市美盈家具有限公司</w:t>
      </w:r>
    </w:p>
    <w:p w14:paraId="1245C521">
      <w:pPr>
        <w:snapToGrid w:val="0"/>
        <w:spacing w:line="560" w:lineRule="exact"/>
        <w:rPr>
          <w:rFonts w:hint="eastAsia" w:ascii="仿宋_GB2312" w:hAnsi="仿宋_GB2312" w:eastAsia="仿宋_GB2312" w:cs="仿宋_GB2312"/>
          <w:color w:val="auto"/>
          <w:sz w:val="32"/>
          <w:szCs w:val="32"/>
          <w:shd w:val="clear" w:color="auto" w:fill="FFFFFF"/>
        </w:rPr>
      </w:pPr>
    </w:p>
    <w:p w14:paraId="13E049B2">
      <w:pPr>
        <w:snapToGrid w:val="0"/>
        <w:spacing w:line="560" w:lineRule="exact"/>
        <w:ind w:firstLine="640"/>
        <w:rPr>
          <w:rFonts w:hint="eastAsia" w:ascii="黑体" w:hAnsi="黑体" w:eastAsia="黑体" w:cs="黑体"/>
          <w:color w:val="auto"/>
          <w:sz w:val="32"/>
          <w:szCs w:val="32"/>
          <w:shd w:val="clear" w:color="auto" w:fill="FFFFFF"/>
        </w:rPr>
      </w:pPr>
      <w:r>
        <w:rPr>
          <w:rFonts w:hint="eastAsia" w:ascii="黑体" w:hAnsi="黑体" w:eastAsia="黑体" w:cs="黑体"/>
          <w:color w:val="auto"/>
          <w:sz w:val="32"/>
          <w:szCs w:val="32"/>
          <w:shd w:val="clear" w:color="auto" w:fill="FFFFFF"/>
        </w:rPr>
        <w:t>一、案例基本情况</w:t>
      </w:r>
    </w:p>
    <w:p w14:paraId="6799BCEF">
      <w:pPr>
        <w:snapToGrid w:val="0"/>
        <w:spacing w:line="560" w:lineRule="exact"/>
        <w:ind w:firstLine="640"/>
        <w:rPr>
          <w:rFonts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（一）案例名称：AI 驱动家具制造业经营全链路智能化升级。</w:t>
      </w:r>
    </w:p>
    <w:p w14:paraId="27410A21">
      <w:pPr>
        <w:snapToGrid w:val="0"/>
        <w:spacing w:line="560" w:lineRule="exact"/>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（二）人工智能技术应用方：中山市美盈家具有限公司。</w:t>
      </w:r>
    </w:p>
    <w:p w14:paraId="29CC0F98">
      <w:pPr>
        <w:snapToGrid w:val="0"/>
        <w:spacing w:line="560" w:lineRule="exact"/>
        <w:ind w:firstLine="640"/>
        <w:rPr>
          <w:rFonts w:hint="eastAsia" w:ascii="仿宋_GB2312" w:hAnsi="仿宋_GB2312" w:eastAsia="仿宋_GB2312" w:cs="仿宋_GB2312"/>
          <w:b/>
          <w:bCs/>
          <w:color w:val="auto"/>
          <w:sz w:val="32"/>
          <w:szCs w:val="32"/>
          <w:shd w:val="clear" w:color="auto" w:fill="FFFFFF"/>
        </w:rPr>
      </w:pPr>
      <w:r>
        <w:rPr>
          <w:rFonts w:hint="eastAsia" w:ascii="仿宋_GB2312" w:hAnsi="仿宋_GB2312" w:eastAsia="仿宋_GB2312" w:cs="仿宋_GB2312"/>
          <w:b/>
          <w:bCs/>
          <w:color w:val="auto"/>
          <w:sz w:val="32"/>
          <w:szCs w:val="32"/>
          <w:shd w:val="clear" w:color="auto" w:fill="FFFFFF"/>
        </w:rPr>
        <w:t>应用企业简介：</w:t>
      </w:r>
    </w:p>
    <w:p w14:paraId="69BD6AF6">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2000 年注册成立，坐落于中山港口镇，是国家级高新技术企业，注册资本 7395 万港元。</w:t>
      </w:r>
    </w:p>
    <w:p w14:paraId="039CA9CA">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集研发、设计、生产、销售于一体，布局中山、湖南、越南多处智能制造基地，引入数字化智能生产设备。旗下多品牌矩阵，主营高端酒店工程家具、民用全屋定制家具，提供整体空间定制解决方案，产品远销海内外。为中国家具协会理事、广东家具协会副会长单位，拥有 ISO、FSC 等多项体系认证，获评中国酒店家具十大品牌等荣誉。</w:t>
      </w:r>
    </w:p>
    <w:p w14:paraId="224296AF">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深耕商用与高端家居赛道，坚持绿色制造，是华南地区酒店定制家具领域代表性制造企业。</w:t>
      </w:r>
    </w:p>
    <w:p w14:paraId="3C7C959F">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（三）人工智能技术供给方：广东可道科技有限公司。</w:t>
      </w:r>
    </w:p>
    <w:p w14:paraId="5D1C4E0B">
      <w:pPr>
        <w:snapToGrid w:val="0"/>
        <w:spacing w:line="560" w:lineRule="exact"/>
        <w:ind w:firstLine="640"/>
        <w:rPr>
          <w:rFonts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b/>
          <w:bCs/>
          <w:color w:val="auto"/>
          <w:sz w:val="32"/>
          <w:szCs w:val="32"/>
          <w:shd w:val="clear" w:color="auto" w:fill="FFFFFF"/>
        </w:rPr>
        <w:t>供给企业简介：</w:t>
      </w:r>
    </w:p>
    <w:p w14:paraId="5F814783">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广东可道科技成立于2015年，是一家致力于搭建数字化应用场景，利用大数据技术辅助管理、分析、决策的数字化生态服务商。团队Base在中山、广州。客户覆盖广州、深圳、中山、珠海、佛山、江门。通过数据分析和大数据技术为企业提供决策依据，降本增效，10年间持续服务超过50个政府企事业单位与上市企业。</w:t>
      </w:r>
    </w:p>
    <w:p w14:paraId="3FED1B15">
      <w:pPr>
        <w:snapToGrid w:val="0"/>
        <w:spacing w:line="560" w:lineRule="exact"/>
        <w:ind w:firstLine="640"/>
        <w:rPr>
          <w:rFonts w:hint="eastAsia" w:ascii="黑体" w:hAnsi="黑体" w:eastAsia="黑体" w:cs="黑体"/>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目前作为字节跳动旗下飞书生态核心伙伴，通过搭建企业数字化底座，利用AI助力企业管理提升，提供企业效能咨询服务。</w:t>
      </w:r>
    </w:p>
    <w:p w14:paraId="75088D58">
      <w:pPr>
        <w:snapToGrid w:val="0"/>
        <w:spacing w:line="560" w:lineRule="exact"/>
        <w:ind w:firstLine="640"/>
        <w:rPr>
          <w:rFonts w:hint="eastAsia" w:ascii="黑体" w:hAnsi="黑体" w:eastAsia="黑体" w:cs="黑体"/>
          <w:color w:val="auto"/>
          <w:sz w:val="32"/>
          <w:szCs w:val="32"/>
          <w:shd w:val="clear" w:color="auto" w:fill="FFFFFF"/>
        </w:rPr>
      </w:pPr>
      <w:r>
        <w:rPr>
          <w:rFonts w:hint="eastAsia" w:ascii="黑体" w:hAnsi="黑体" w:eastAsia="黑体" w:cs="黑体"/>
          <w:color w:val="auto"/>
          <w:sz w:val="32"/>
          <w:szCs w:val="32"/>
          <w:shd w:val="clear" w:color="auto" w:fill="FFFFFF"/>
        </w:rPr>
        <w:t>二、案例内容介绍</w:t>
      </w:r>
    </w:p>
    <w:p w14:paraId="167D4824">
      <w:pPr>
        <w:snapToGrid w:val="0"/>
        <w:spacing w:line="560" w:lineRule="exact"/>
        <w:ind w:firstLine="640"/>
        <w:rPr>
          <w:rFonts w:hint="eastAsia" w:ascii="楷体_GB2312" w:hAnsi="楷体_GB2312" w:eastAsia="楷体_GB2312" w:cs="楷体_GB2312"/>
          <w:color w:val="auto"/>
          <w:sz w:val="32"/>
          <w:szCs w:val="32"/>
          <w:shd w:val="clear" w:color="auto" w:fill="FFFFFF"/>
        </w:rPr>
      </w:pPr>
      <w:r>
        <w:rPr>
          <w:rFonts w:hint="eastAsia" w:ascii="楷体_GB2312" w:hAnsi="楷体_GB2312" w:eastAsia="楷体_GB2312" w:cs="楷体_GB2312"/>
          <w:color w:val="auto"/>
          <w:sz w:val="32"/>
          <w:szCs w:val="32"/>
          <w:shd w:val="clear" w:color="auto" w:fill="FFFFFF"/>
        </w:rPr>
        <w:t>（一）包括案例背景、采用的人工智能关键技术、所实现的功能和亮点优势</w:t>
      </w:r>
    </w:p>
    <w:p w14:paraId="7F8CDF77">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美盈家具在传统经营模式下，面临业务数据分散、重复操作占用大量业务时间、多维表格搭建与排障门槛高等管理痛点。2026 年，企业全面引入飞书 AI 产品矩阵，从智能伙伴、多维表格 AI &amp; 智能体、自定义智能体三大场景切入，推动经营全链路智能化升级，实现核心业务环节响应速度的数量级提升。</w:t>
      </w:r>
    </w:p>
    <w:p w14:paraId="3CA73E17">
      <w:pPr>
        <w:numPr>
          <w:ilvl w:val="0"/>
          <w:numId w:val="4"/>
        </w:num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智能伙伴：自然语言驱动多维表格搭建、技术问题排查与方案制定，将依赖技术人员的工作下沉到业务一线；</w:t>
      </w:r>
    </w:p>
    <w:p w14:paraId="295EC885">
      <w:pPr>
        <w:numPr>
          <w:ilvl w:val="0"/>
          <w:numId w:val="4"/>
        </w:num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多维表格 AI &amp; 智能体：工作流搭建从</w:t>
      </w:r>
      <w:r>
        <w:rPr>
          <w:rFonts w:hint="eastAsia" w:ascii="仿宋_GB2312" w:hAnsi="仿宋_GB2312" w:eastAsia="仿宋_GB2312"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rPr>
        <w:t>理解自动化逻辑</w:t>
      </w:r>
      <w:r>
        <w:rPr>
          <w:rFonts w:hint="eastAsia" w:ascii="仿宋_GB2312" w:hAnsi="仿宋_GB2312" w:eastAsia="仿宋_GB2312"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rPr>
        <w:t>变为</w:t>
      </w:r>
      <w:r>
        <w:rPr>
          <w:rFonts w:hint="eastAsia" w:ascii="仿宋_GB2312" w:hAnsi="仿宋_GB2312" w:eastAsia="仿宋_GB2312"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rPr>
        <w:t>自然语言描述需求</w:t>
      </w:r>
      <w:r>
        <w:rPr>
          <w:rFonts w:hint="eastAsia" w:ascii="仿宋_GB2312" w:hAnsi="仿宋_GB2312" w:eastAsia="仿宋_GB2312"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rPr>
        <w:t>，数据查询从</w:t>
      </w:r>
      <w:r>
        <w:rPr>
          <w:rFonts w:hint="eastAsia" w:ascii="仿宋_GB2312" w:hAnsi="仿宋_GB2312" w:eastAsia="仿宋_GB2312"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rPr>
        <w:t>逐表筛选</w:t>
      </w:r>
      <w:r>
        <w:rPr>
          <w:rFonts w:hint="eastAsia" w:ascii="仿宋_GB2312" w:hAnsi="仿宋_GB2312" w:eastAsia="仿宋_GB2312"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rPr>
        <w:t>变为</w:t>
      </w:r>
      <w:r>
        <w:rPr>
          <w:rFonts w:hint="eastAsia" w:ascii="仿宋_GB2312" w:hAnsi="仿宋_GB2312" w:eastAsia="仿宋_GB2312"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rPr>
        <w:t>AI 秒级精准回答</w:t>
      </w:r>
      <w:r>
        <w:rPr>
          <w:rFonts w:hint="eastAsia" w:ascii="仿宋_GB2312" w:hAnsi="仿宋_GB2312" w:eastAsia="仿宋_GB2312"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rPr>
        <w:t>，数据录入从</w:t>
      </w:r>
      <w:r>
        <w:rPr>
          <w:rFonts w:hint="eastAsia" w:ascii="仿宋_GB2312" w:hAnsi="仿宋_GB2312" w:eastAsia="仿宋_GB2312"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rPr>
        <w:t>逐字段填写</w:t>
      </w:r>
      <w:r>
        <w:rPr>
          <w:rFonts w:hint="eastAsia" w:ascii="仿宋_GB2312" w:hAnsi="仿宋_GB2312" w:eastAsia="仿宋_GB2312"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rPr>
        <w:t>变为</w:t>
      </w:r>
      <w:r>
        <w:rPr>
          <w:rFonts w:hint="eastAsia" w:ascii="仿宋_GB2312" w:hAnsi="仿宋_GB2312" w:eastAsia="仿宋_GB2312"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rPr>
        <w:t>对话式 2 分钟完成</w:t>
      </w:r>
      <w:r>
        <w:rPr>
          <w:rFonts w:hint="eastAsia" w:ascii="仿宋_GB2312" w:hAnsi="仿宋_GB2312" w:eastAsia="仿宋_GB2312"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rPr>
        <w:t>；</w:t>
      </w:r>
    </w:p>
    <w:p w14:paraId="769A0CFB">
      <w:pPr>
        <w:numPr>
          <w:ilvl w:val="0"/>
          <w:numId w:val="4"/>
        </w:num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自定义智能体：基于 CRM 多维表格搭建客户跟进助手，AI 主动识别超期未跟进客户、推荐跟进策略、实时响应管理层决策问询。</w:t>
      </w:r>
    </w:p>
    <w:p w14:paraId="4738459E">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技术亮点：自然语言即操作入口、多维表格与智能体深度融合、AI 主动从</w:t>
      </w:r>
      <w:r>
        <w:rPr>
          <w:rFonts w:hint="eastAsia" w:ascii="仿宋_GB2312" w:hAnsi="仿宋_GB2312" w:eastAsia="仿宋_GB2312"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rPr>
        <w:t>被动响应</w:t>
      </w:r>
      <w:r>
        <w:rPr>
          <w:rFonts w:hint="eastAsia" w:ascii="仿宋_GB2312" w:hAnsi="仿宋_GB2312" w:eastAsia="仿宋_GB2312"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rPr>
        <w:t>升级为</w:t>
      </w:r>
      <w:r>
        <w:rPr>
          <w:rFonts w:hint="eastAsia" w:ascii="仿宋_GB2312" w:hAnsi="仿宋_GB2312" w:eastAsia="仿宋_GB2312"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rPr>
        <w:t>主动预警</w:t>
      </w:r>
      <w:r>
        <w:rPr>
          <w:rFonts w:hint="eastAsia" w:ascii="仿宋_GB2312" w:hAnsi="仿宋_GB2312" w:eastAsia="仿宋_GB2312"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rPr>
        <w:t>。</w:t>
      </w:r>
    </w:p>
    <w:p w14:paraId="2D9BE968">
      <w:pPr>
        <w:snapToGrid w:val="0"/>
        <w:spacing w:line="560" w:lineRule="exact"/>
        <w:ind w:firstLine="640"/>
        <w:rPr>
          <w:rFonts w:hint="eastAsia" w:ascii="楷体_GB2312" w:hAnsi="楷体_GB2312" w:eastAsia="楷体_GB2312" w:cs="楷体_GB2312"/>
          <w:color w:val="auto"/>
          <w:sz w:val="32"/>
          <w:szCs w:val="32"/>
          <w:shd w:val="clear" w:color="auto" w:fill="FFFFFF"/>
        </w:rPr>
      </w:pPr>
      <w:r>
        <w:rPr>
          <w:rFonts w:hint="eastAsia" w:ascii="楷体_GB2312" w:hAnsi="楷体_GB2312" w:eastAsia="楷体_GB2312" w:cs="楷体_GB2312"/>
          <w:color w:val="auto"/>
          <w:sz w:val="32"/>
          <w:szCs w:val="32"/>
          <w:shd w:val="clear" w:color="auto" w:fill="FFFFFF"/>
        </w:rPr>
        <w:t>（二）具体应用成效。</w:t>
      </w:r>
    </w:p>
    <w:p w14:paraId="5D5F0A26">
      <w:pPr>
        <w:numPr>
          <w:ilvl w:val="0"/>
          <w:numId w:val="5"/>
        </w:numPr>
        <w:snapToGrid w:val="0"/>
        <w:spacing w:line="560" w:lineRule="exact"/>
        <w:jc w:val="left"/>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多维表格搭建从天级缩短至分钟级；</w:t>
      </w:r>
    </w:p>
    <w:p w14:paraId="2AB976AE">
      <w:pPr>
        <w:numPr>
          <w:ilvl w:val="0"/>
          <w:numId w:val="5"/>
        </w:numPr>
        <w:snapToGrid w:val="0"/>
        <w:spacing w:line="560" w:lineRule="exact"/>
        <w:jc w:val="left"/>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数据查询从分钟级人工筛选到秒级 AI 精准回答；</w:t>
      </w:r>
    </w:p>
    <w:p w14:paraId="408C9646">
      <w:pPr>
        <w:numPr>
          <w:ilvl w:val="0"/>
          <w:numId w:val="5"/>
        </w:numPr>
        <w:snapToGrid w:val="0"/>
        <w:spacing w:line="560" w:lineRule="exact"/>
        <w:jc w:val="left"/>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方案制定从手动数小时到 AI 分钟级输出；</w:t>
      </w:r>
    </w:p>
    <w:p w14:paraId="320413F4">
      <w:pPr>
        <w:numPr>
          <w:ilvl w:val="0"/>
          <w:numId w:val="5"/>
        </w:numPr>
        <w:snapToGrid w:val="0"/>
        <w:spacing w:line="560" w:lineRule="exact"/>
        <w:jc w:val="left"/>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客户信息查询从人工数分钟缩短至秒级；</w:t>
      </w:r>
    </w:p>
    <w:p w14:paraId="5AE7AF7B">
      <w:pPr>
        <w:numPr>
          <w:ilvl w:val="0"/>
          <w:numId w:val="5"/>
        </w:numPr>
        <w:snapToGrid w:val="0"/>
        <w:spacing w:line="560" w:lineRule="exact"/>
        <w:jc w:val="left"/>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超期未跟进客户识别从人工盘点到 AI 自动预警；管理层决策响应从天级滞后到实时可用；</w:t>
      </w:r>
    </w:p>
    <w:p w14:paraId="3F03BD65">
      <w:pPr>
        <w:numPr>
          <w:ilvl w:val="0"/>
          <w:numId w:val="5"/>
        </w:numPr>
        <w:snapToGrid w:val="0"/>
        <w:spacing w:line="560" w:lineRule="exact"/>
        <w:jc w:val="left"/>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覆盖 CRM 客户数据、销售进度、产能分析、提成计算等核心业务表。</w:t>
      </w:r>
    </w:p>
    <w:p w14:paraId="0B8FC3B3">
      <w:pPr>
        <w:snapToGrid w:val="0"/>
        <w:spacing w:line="560" w:lineRule="exact"/>
        <w:ind w:firstLine="640"/>
        <w:rPr>
          <w:rFonts w:hint="eastAsia" w:ascii="黑体" w:hAnsi="黑体" w:eastAsia="黑体" w:cs="黑体"/>
          <w:color w:val="auto"/>
          <w:sz w:val="32"/>
          <w:szCs w:val="32"/>
          <w:shd w:val="clear" w:color="auto" w:fill="FFFFFF"/>
        </w:rPr>
      </w:pPr>
      <w:r>
        <w:rPr>
          <w:rFonts w:hint="eastAsia" w:ascii="黑体" w:hAnsi="黑体" w:eastAsia="黑体" w:cs="黑体"/>
          <w:color w:val="auto"/>
          <w:sz w:val="32"/>
          <w:szCs w:val="32"/>
          <w:shd w:val="clear" w:color="auto" w:fill="FFFFFF"/>
        </w:rPr>
        <w:t>三、案例所获得荣誉、复制推广情况等</w:t>
      </w:r>
    </w:p>
    <w:p w14:paraId="6D9955A7">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美盈家具飞书 AI 实践案例已纳入公司内部标杆案例库，面向同行业家具制造企业进行复制推广。</w:t>
      </w:r>
    </w:p>
    <w:p w14:paraId="4380BD31">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该案例所沉淀的</w:t>
      </w:r>
      <w:r>
        <w:rPr>
          <w:rFonts w:hint="eastAsia" w:ascii="仿宋_GB2312" w:hAnsi="仿宋_GB2312" w:eastAsia="仿宋_GB2312"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rPr>
        <w:t>自然语言驱动业务</w:t>
      </w:r>
      <w:r>
        <w:rPr>
          <w:rFonts w:hint="eastAsia" w:ascii="仿宋_GB2312" w:hAnsi="仿宋_GB2312" w:eastAsia="仿宋_GB2312"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rPr>
        <w:t>范式（智能伙伴 + 多维表格 AI + 自定义智能体）可在 CRM 客户管理、销售跟进、生产分析、财务提成等多场景复用，具有较强的行业可推广性。</w:t>
      </w:r>
    </w:p>
    <w:p w14:paraId="17A59EE9">
      <w:pPr>
        <w:snapToGrid w:val="0"/>
        <w:spacing w:line="560" w:lineRule="exact"/>
        <w:ind w:firstLine="640"/>
        <w:rPr>
          <w:rFonts w:hint="eastAsia" w:ascii="仿宋_GB2312" w:hAnsi="仿宋_GB2312" w:eastAsia="仿宋_GB2312" w:cs="仿宋_GB2312"/>
          <w:b/>
          <w:bCs/>
          <w:color w:val="auto"/>
          <w:sz w:val="32"/>
          <w:szCs w:val="32"/>
          <w:shd w:val="clear" w:color="auto" w:fill="FFFFFF"/>
        </w:rPr>
      </w:pPr>
    </w:p>
    <w:p w14:paraId="45194F4D">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智能伙伴快速搭建多维表格（业务人员描述需求→AI 自动全表配置）</w:t>
      </w:r>
    </w:p>
    <w:p w14:paraId="78C72D53">
      <w:pPr>
        <w:snapToGrid w:val="0"/>
        <w:spacing w:line="560" w:lineRule="exact"/>
        <w:ind w:firstLine="640"/>
        <w:rPr>
          <w:rFonts w:hint="eastAsia" w:ascii="仿宋_GB2312" w:hAnsi="仿宋_GB2312" w:eastAsia="仿宋_GB2312" w:cs="仿宋_GB2312"/>
          <w:color w:val="auto"/>
          <w:sz w:val="32"/>
          <w:szCs w:val="32"/>
          <w:shd w:val="clear" w:color="auto" w:fill="FFFFFF"/>
        </w:rPr>
      </w:pPr>
    </w:p>
    <w:p w14:paraId="73DA16AA">
      <w:pPr>
        <w:snapToGrid w:val="0"/>
        <w:spacing w:line="560" w:lineRule="exact"/>
        <w:ind w:firstLine="640"/>
        <w:rPr>
          <w:rFonts w:hint="eastAsia" w:ascii="仿宋_GB2312" w:hAnsi="仿宋_GB2312" w:eastAsia="仿宋_GB2312" w:cs="仿宋_GB2312"/>
          <w:color w:val="auto"/>
          <w:sz w:val="32"/>
          <w:szCs w:val="32"/>
          <w:shd w:val="clear" w:color="auto" w:fill="FFFFFF"/>
        </w:rPr>
      </w:pPr>
    </w:p>
    <w:p w14:paraId="4EB88284">
      <w:pPr>
        <w:snapToGrid w:val="0"/>
        <w:spacing w:line="560" w:lineRule="exact"/>
        <w:ind w:firstLine="640"/>
        <w:rPr>
          <w:rFonts w:hint="eastAsia" w:ascii="仿宋_GB2312" w:hAnsi="仿宋_GB2312" w:eastAsia="仿宋_GB2312" w:cs="仿宋_GB2312"/>
          <w:color w:val="auto"/>
          <w:sz w:val="32"/>
          <w:szCs w:val="32"/>
          <w:shd w:val="clear" w:color="auto" w:fill="FFFFFF"/>
        </w:rPr>
      </w:pPr>
    </w:p>
    <w:p w14:paraId="4A242EBB">
      <w:pPr>
        <w:snapToGrid w:val="0"/>
        <w:spacing w:line="560" w:lineRule="exact"/>
        <w:ind w:firstLine="640"/>
        <w:rPr>
          <w:rFonts w:hint="eastAsia" w:ascii="仿宋_GB2312" w:hAnsi="仿宋_GB2312" w:eastAsia="仿宋_GB2312" w:cs="仿宋_GB2312"/>
          <w:color w:val="auto"/>
          <w:sz w:val="32"/>
          <w:szCs w:val="32"/>
          <w:shd w:val="clear" w:color="auto" w:fill="FFFFFF"/>
        </w:rPr>
      </w:pPr>
    </w:p>
    <w:p w14:paraId="5ABE73F0">
      <w:pPr>
        <w:snapToGrid w:val="0"/>
        <w:spacing w:line="560" w:lineRule="exact"/>
        <w:ind w:firstLine="640"/>
        <w:rPr>
          <w:rFonts w:hint="eastAsia" w:ascii="仿宋_GB2312" w:hAnsi="仿宋_GB2312" w:eastAsia="仿宋_GB2312" w:cs="仿宋_GB2312"/>
          <w:color w:val="auto"/>
          <w:sz w:val="32"/>
          <w:szCs w:val="32"/>
          <w:shd w:val="clear" w:color="auto" w:fill="FFFFFF"/>
        </w:rPr>
      </w:pPr>
    </w:p>
    <w:p w14:paraId="4AC3736F">
      <w:pPr>
        <w:widowControl/>
        <w:jc w:val="left"/>
        <w:rPr>
          <w:color w:val="auto"/>
        </w:rPr>
      </w:pPr>
      <w:r>
        <w:rPr>
          <w:rFonts w:ascii="宋体" w:hAnsi="宋体" w:eastAsia="宋体" w:cs="宋体"/>
          <w:color w:val="auto"/>
          <w:kern w:val="0"/>
          <w:sz w:val="24"/>
          <w:szCs w:val="24"/>
          <w:lang w:bidi="ar"/>
        </w:rPr>
        <w:pict>
          <v:shape id="_x0000_s1067" o:spid="_x0000_s1067" o:spt="75" alt="IMG_256" type="#_x0000_t75" style="position:absolute;left:0pt;margin-left:0pt;margin-top:-636.6pt;height:234.75pt;width:415.05pt;mso-wrap-distance-bottom:0pt;mso-wrap-distance-top:0pt;z-index:251689984;mso-width-relative:page;mso-height-relative:page;" filled="f" o:preferrelative="t" stroked="f" coordsize="21600,21600">
            <v:path/>
            <v:fill on="f" focussize="0,0"/>
            <v:stroke on="f"/>
            <v:imagedata r:id="rId22" r:href="rId23" o:title=""/>
            <o:lock v:ext="edit" aspectratio="t"/>
            <w10:wrap type="topAndBottom"/>
          </v:shape>
        </w:pict>
      </w:r>
    </w:p>
    <w:p w14:paraId="0C4DF53B">
      <w:pPr>
        <w:widowControl/>
        <w:jc w:val="left"/>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智能伙伴</w:t>
      </w:r>
      <w:r>
        <w:rPr>
          <w:rFonts w:hint="eastAsia" w:ascii="仿宋_GB2312" w:hAnsi="仿宋_GB2312" w:eastAsia="仿宋_GB2312"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rPr>
        <w:t>数据录入（对话式 2 分钟完成多字段自动归档）</w:t>
      </w:r>
    </w:p>
    <w:p w14:paraId="423C85DB">
      <w:pPr>
        <w:widowControl/>
        <w:jc w:val="left"/>
        <w:rPr>
          <w:color w:val="auto"/>
        </w:rPr>
      </w:pPr>
      <w:r>
        <w:rPr>
          <w:rFonts w:ascii="宋体" w:hAnsi="宋体" w:eastAsia="宋体" w:cs="宋体"/>
          <w:color w:val="auto"/>
          <w:kern w:val="0"/>
          <w:sz w:val="24"/>
          <w:szCs w:val="24"/>
          <w:lang w:bidi="ar"/>
        </w:rPr>
        <w:fldChar w:fldCharType="begin"/>
      </w:r>
      <w:r>
        <w:rPr>
          <w:rFonts w:ascii="宋体" w:hAnsi="宋体" w:eastAsia="宋体" w:cs="宋体"/>
          <w:color w:val="auto"/>
          <w:kern w:val="0"/>
          <w:sz w:val="24"/>
          <w:szCs w:val="24"/>
          <w:lang w:bidi="ar"/>
        </w:rPr>
        <w:instrText xml:space="preserve">INCLUDEPICTURE \d "https://my.feishu.cn/space/api/box/stream/download/asynccode/?code=ZjE2ZjYzY2VlZjQ1NmM3Njk4ODUyOGQzZjY1ZDA5Y2ZfQkN0Y3BhMEJIRnBNS3FPWFRQcVlZYkdOU0UwWmJqTUlfVG9rZW46SVFEV2JQWFBlbzlnMVh4MFVYM2Nsd2N3bndkXzE3ODc2NDg4NzM6MTc4NzY1MjQ3M19WNA&amp;add_watermark=true&amp;scene_type=CCM_DOUBAO" \* MERGEFORMATINET </w:instrText>
      </w:r>
      <w:r>
        <w:rPr>
          <w:rFonts w:ascii="宋体" w:hAnsi="宋体" w:eastAsia="宋体" w:cs="宋体"/>
          <w:color w:val="auto"/>
          <w:kern w:val="0"/>
          <w:sz w:val="24"/>
          <w:szCs w:val="24"/>
          <w:lang w:bidi="ar"/>
        </w:rPr>
        <w:fldChar w:fldCharType="separate"/>
      </w:r>
      <w:r>
        <w:rPr>
          <w:rFonts w:ascii="宋体" w:hAnsi="宋体" w:eastAsia="宋体" w:cs="宋体"/>
          <w:color w:val="auto"/>
          <w:kern w:val="0"/>
          <w:sz w:val="24"/>
          <w:szCs w:val="24"/>
          <w:lang w:bidi="ar"/>
        </w:rPr>
        <w:pict>
          <v:shape id="_x0000_i1029" o:spt="75" alt="IMG_257" type="#_x0000_t75" style="height:177.9pt;width:415.05pt;" filled="f" o:preferrelative="t" stroked="f" coordsize="21600,21600">
            <v:path/>
            <v:fill on="f" focussize="0,0"/>
            <v:stroke on="f" joinstyle="miter"/>
            <v:imagedata r:id="rId24" r:href="rId25" o:title=""/>
            <o:lock v:ext="edit" aspectratio="t"/>
            <w10:wrap type="none"/>
            <w10:anchorlock/>
          </v:shape>
        </w:pict>
      </w:r>
      <w:r>
        <w:rPr>
          <w:rFonts w:ascii="宋体" w:hAnsi="宋体" w:eastAsia="宋体" w:cs="宋体"/>
          <w:color w:val="auto"/>
          <w:kern w:val="0"/>
          <w:sz w:val="24"/>
          <w:szCs w:val="24"/>
          <w:lang w:bidi="ar"/>
        </w:rPr>
        <w:fldChar w:fldCharType="end"/>
      </w:r>
    </w:p>
    <w:p w14:paraId="74B7586D">
      <w:pPr>
        <w:widowControl/>
        <w:rPr>
          <w:color w:val="auto"/>
        </w:rPr>
      </w:pPr>
      <w:r>
        <w:rPr>
          <w:color w:val="auto"/>
        </w:rPr>
        <w:pict>
          <v:rect id="_x0000_i1030" o:spt="1" style="height:1.5pt;width:432pt;" fillcolor="#A0A0A0" filled="t" stroked="f" coordsize="21600,21600" o:hr="t" o:hrstd="t" o:hralign="center">
            <v:path/>
            <v:fill on="t" focussize="0,0"/>
            <v:stroke on="f"/>
            <v:imagedata o:title=""/>
            <o:lock v:ext="edit"/>
            <w10:wrap type="none"/>
            <w10:anchorlock/>
          </v:rect>
        </w:pict>
      </w:r>
    </w:p>
    <w:p w14:paraId="5EAE7096">
      <w:pPr>
        <w:snapToGrid w:val="0"/>
        <w:spacing w:line="560" w:lineRule="exact"/>
        <w:rPr>
          <w:rFonts w:hint="eastAsia" w:ascii="仿宋_GB2312" w:hAnsi="仿宋_GB2312" w:eastAsia="仿宋_GB2312" w:cs="仿宋_GB2312"/>
          <w:b/>
          <w:bCs/>
          <w:color w:val="auto"/>
          <w:sz w:val="32"/>
          <w:szCs w:val="32"/>
          <w:shd w:val="clear" w:color="auto" w:fill="FFFFFF"/>
        </w:rPr>
      </w:pPr>
    </w:p>
    <w:p w14:paraId="26E78AA9">
      <w:pPr>
        <w:snapToGrid w:val="0"/>
        <w:rPr>
          <w:rFonts w:ascii="仿宋_GB2312" w:hAnsi="仿宋_GB2312" w:eastAsia="仿宋_GB2312" w:cs="仿宋_GB2312"/>
          <w:color w:val="auto"/>
          <w:sz w:val="32"/>
          <w:szCs w:val="32"/>
          <w:shd w:val="clear" w:color="auto" w:fill="FFFFFF"/>
        </w:rPr>
      </w:pPr>
    </w:p>
    <w:p w14:paraId="1D29D61A">
      <w:pPr>
        <w:spacing w:after="40"/>
        <w:jc w:val="left"/>
        <w:rPr>
          <w:rFonts w:ascii="楷体" w:hAnsi="楷体" w:eastAsia="楷体"/>
          <w:color w:val="auto"/>
          <w:sz w:val="22"/>
        </w:rPr>
      </w:pPr>
    </w:p>
    <w:p w14:paraId="5B4857C8">
      <w:pPr>
        <w:pStyle w:val="12"/>
        <w:pageBreakBefore/>
        <w:rPr>
          <w:color w:val="auto"/>
        </w:rPr>
      </w:pPr>
      <w:bookmarkStart w:id="9" w:name="_Toc1473"/>
      <w:r>
        <w:rPr>
          <w:color w:val="auto"/>
        </w:rPr>
        <w:t>案例 09　飞书aily智能体驱动制造运营效率升级</w:t>
      </w:r>
      <w:bookmarkEnd w:id="9"/>
    </w:p>
    <w:p w14:paraId="481D4E60">
      <w:pPr>
        <w:spacing w:after="40"/>
        <w:jc w:val="left"/>
        <w:rPr>
          <w:rFonts w:ascii="楷体" w:hAnsi="楷体" w:eastAsia="楷体"/>
          <w:color w:val="auto"/>
          <w:sz w:val="22"/>
        </w:rPr>
      </w:pPr>
      <w:r>
        <w:rPr>
          <w:rFonts w:ascii="楷体" w:hAnsi="楷体" w:eastAsia="楷体"/>
          <w:color w:val="auto"/>
          <w:sz w:val="22"/>
        </w:rPr>
        <w:t>申报单位：广东毅马集团有限公司</w:t>
      </w:r>
    </w:p>
    <w:p w14:paraId="253CC6BA">
      <w:pPr>
        <w:snapToGrid w:val="0"/>
        <w:spacing w:line="560" w:lineRule="exact"/>
        <w:jc w:val="center"/>
        <w:rPr>
          <w:rFonts w:ascii="方正小标宋简体" w:hAnsi="方正小标宋简体" w:eastAsia="方正小标宋简体" w:cs="方正小标宋简体"/>
          <w:color w:val="auto"/>
          <w:sz w:val="44"/>
          <w:szCs w:val="44"/>
          <w:shd w:val="clear" w:color="auto" w:fill="FFFFFF"/>
        </w:rPr>
      </w:pPr>
    </w:p>
    <w:p w14:paraId="7169A64B">
      <w:pPr>
        <w:snapToGrid w:val="0"/>
        <w:spacing w:line="560" w:lineRule="exact"/>
        <w:rPr>
          <w:rFonts w:hint="eastAsia" w:ascii="仿宋_GB2312" w:hAnsi="仿宋_GB2312" w:eastAsia="仿宋_GB2312" w:cs="仿宋_GB2312"/>
          <w:color w:val="auto"/>
          <w:sz w:val="32"/>
          <w:szCs w:val="32"/>
          <w:shd w:val="clear" w:color="auto" w:fill="FFFFFF"/>
        </w:rPr>
      </w:pPr>
    </w:p>
    <w:p w14:paraId="6A9AB93B">
      <w:pPr>
        <w:snapToGrid w:val="0"/>
        <w:spacing w:line="560" w:lineRule="exact"/>
        <w:ind w:firstLine="640"/>
        <w:rPr>
          <w:rFonts w:ascii="黑体" w:hAnsi="黑体" w:eastAsia="黑体" w:cs="黑体"/>
          <w:color w:val="auto"/>
          <w:sz w:val="32"/>
          <w:szCs w:val="32"/>
          <w:shd w:val="clear" w:color="auto" w:fill="FFFFFF"/>
        </w:rPr>
      </w:pPr>
      <w:r>
        <w:rPr>
          <w:rFonts w:hint="eastAsia" w:ascii="黑体" w:hAnsi="黑体" w:eastAsia="黑体" w:cs="黑体"/>
          <w:color w:val="auto"/>
          <w:sz w:val="32"/>
          <w:szCs w:val="32"/>
          <w:shd w:val="clear" w:color="auto" w:fill="FFFFFF"/>
        </w:rPr>
        <w:t>一、案例基本情况</w:t>
      </w:r>
    </w:p>
    <w:p w14:paraId="387949FC">
      <w:pPr>
        <w:snapToGrid w:val="0"/>
        <w:spacing w:line="560" w:lineRule="exact"/>
        <w:ind w:firstLine="640"/>
        <w:rPr>
          <w:rFonts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（一）案例名称：飞书 aily 智能体驱动制造运营效率升级。</w:t>
      </w:r>
    </w:p>
    <w:p w14:paraId="22F0CA29">
      <w:pPr>
        <w:snapToGrid w:val="0"/>
        <w:spacing w:line="560" w:lineRule="exact"/>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（二）人工智能技术应用方：广东毅马集团有限公司。</w:t>
      </w:r>
    </w:p>
    <w:p w14:paraId="50CBE1D8">
      <w:pPr>
        <w:snapToGrid w:val="0"/>
        <w:spacing w:line="560" w:lineRule="exact"/>
        <w:ind w:firstLine="640"/>
        <w:rPr>
          <w:rFonts w:hint="eastAsia" w:ascii="仿宋_GB2312" w:hAnsi="仿宋_GB2312" w:eastAsia="仿宋_GB2312" w:cs="仿宋_GB2312"/>
          <w:b/>
          <w:bCs/>
          <w:color w:val="auto"/>
          <w:sz w:val="32"/>
          <w:szCs w:val="32"/>
          <w:shd w:val="clear" w:color="auto" w:fill="FFFFFF"/>
        </w:rPr>
      </w:pPr>
      <w:r>
        <w:rPr>
          <w:rFonts w:hint="eastAsia" w:ascii="仿宋_GB2312" w:hAnsi="仿宋_GB2312" w:eastAsia="仿宋_GB2312" w:cs="仿宋_GB2312"/>
          <w:b/>
          <w:bCs/>
          <w:color w:val="auto"/>
          <w:sz w:val="32"/>
          <w:szCs w:val="32"/>
          <w:shd w:val="clear" w:color="auto" w:fill="FFFFFF"/>
        </w:rPr>
        <w:t>应用企业简介：</w:t>
      </w:r>
    </w:p>
    <w:p w14:paraId="7132F4CA">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企业成立于 2007 年，前身为中山市毅马五金有限公司，位于中山市民众街道，注册资本 1 亿元，为国家级高新技术企业。</w:t>
      </w:r>
    </w:p>
    <w:p w14:paraId="151C1347">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毅马集团是国内管桩用热轧热弯端板核心研发制造企业，拥有多项专利，建有省级工程技术研究中心，入选广东省制造业民营企业百强。主营预应力管桩端板、PC 钢棒等建筑金属构件，兼顾专用生产装备研发制造，“毅马”为广东省著名商标、广东名牌产品。</w:t>
      </w:r>
    </w:p>
    <w:p w14:paraId="351321B7">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作为毅马企业集团核心基地，产品广泛服务基建、房建领域，是华南地区规模领先的管桩金属配件制造商，业务辐射全国多地。</w:t>
      </w:r>
    </w:p>
    <w:p w14:paraId="6417C1A6">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（三）人工智能技术供给方：广东可道科技有限公司。</w:t>
      </w:r>
    </w:p>
    <w:p w14:paraId="597172DC">
      <w:pPr>
        <w:snapToGrid w:val="0"/>
        <w:spacing w:line="560" w:lineRule="exact"/>
        <w:ind w:firstLine="640"/>
        <w:rPr>
          <w:rFonts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b/>
          <w:bCs/>
          <w:color w:val="auto"/>
          <w:sz w:val="32"/>
          <w:szCs w:val="32"/>
          <w:shd w:val="clear" w:color="auto" w:fill="FFFFFF"/>
        </w:rPr>
        <w:t>供给企业简介：</w:t>
      </w:r>
    </w:p>
    <w:p w14:paraId="4905E14B">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广东可道科技成立于2015年，是一家致力于搭建数字化应用场景，利用大数据技术辅助管理、分析、决策的数字化生态服务商。团队Base在中山、广州。客户覆盖广州、深圳、中山、珠海、佛山、江门。通过数据分析和大数据技术为企业提供决策依据，降本增效，10年间持续服务超过50个政府企事业单位与上市企业。</w:t>
      </w:r>
    </w:p>
    <w:p w14:paraId="1C823EE6">
      <w:pPr>
        <w:snapToGrid w:val="0"/>
        <w:spacing w:line="560" w:lineRule="exact"/>
        <w:ind w:firstLine="640"/>
        <w:rPr>
          <w:rFonts w:hint="eastAsia" w:ascii="黑体" w:hAnsi="黑体" w:eastAsia="黑体" w:cs="黑体"/>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目前作为字节跳动旗下飞书生态核心伙伴，通过搭建企业数字化底座，利用AI助力企业管理提升，提供企业效能咨询服务。</w:t>
      </w:r>
    </w:p>
    <w:p w14:paraId="1E6C6680">
      <w:pPr>
        <w:snapToGrid w:val="0"/>
        <w:spacing w:line="560" w:lineRule="exact"/>
        <w:ind w:firstLine="640"/>
        <w:rPr>
          <w:rFonts w:hint="eastAsia" w:ascii="黑体" w:hAnsi="黑体" w:eastAsia="黑体" w:cs="黑体"/>
          <w:color w:val="auto"/>
          <w:sz w:val="32"/>
          <w:szCs w:val="32"/>
          <w:shd w:val="clear" w:color="auto" w:fill="FFFFFF"/>
        </w:rPr>
      </w:pPr>
      <w:r>
        <w:rPr>
          <w:rFonts w:hint="eastAsia" w:ascii="黑体" w:hAnsi="黑体" w:eastAsia="黑体" w:cs="黑体"/>
          <w:color w:val="auto"/>
          <w:sz w:val="32"/>
          <w:szCs w:val="32"/>
          <w:shd w:val="clear" w:color="auto" w:fill="FFFFFF"/>
        </w:rPr>
        <w:t>二、案例内容介绍</w:t>
      </w:r>
    </w:p>
    <w:p w14:paraId="527CC642">
      <w:pPr>
        <w:snapToGrid w:val="0"/>
        <w:spacing w:line="560" w:lineRule="exact"/>
        <w:ind w:firstLine="640"/>
        <w:rPr>
          <w:rFonts w:hint="eastAsia" w:ascii="楷体_GB2312" w:hAnsi="楷体_GB2312" w:eastAsia="楷体_GB2312" w:cs="楷体_GB2312"/>
          <w:color w:val="auto"/>
          <w:sz w:val="32"/>
          <w:szCs w:val="32"/>
          <w:shd w:val="clear" w:color="auto" w:fill="FFFFFF"/>
        </w:rPr>
      </w:pPr>
      <w:r>
        <w:rPr>
          <w:rFonts w:hint="eastAsia" w:ascii="楷体_GB2312" w:hAnsi="楷体_GB2312" w:eastAsia="楷体_GB2312" w:cs="楷体_GB2312"/>
          <w:color w:val="auto"/>
          <w:sz w:val="32"/>
          <w:szCs w:val="32"/>
          <w:shd w:val="clear" w:color="auto" w:fill="FFFFFF"/>
        </w:rPr>
        <w:t>（一）包括案例背景、采用的人工智能关键技术、所实现的功能和亮点优势</w:t>
      </w:r>
    </w:p>
    <w:p w14:paraId="3E5F1AD3">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毅马集团主要面临四类核心痛点：数据分散、信息同步不及时、任务跟踪靠人工、行情分析效率低。随着集团规模持续扩大、生产基地布局全国，毅马集团在供应链协同、生产调度、原材料价格管理等方面面临日益增长的数据管理挑战，</w:t>
      </w:r>
      <w:r>
        <w:rPr>
          <w:rFonts w:hint="eastAsia" w:ascii="仿宋_GB2312" w:hAnsi="仿宋_GB2312" w:eastAsia="仿宋_GB2312" w:cs="仿宋_GB2312"/>
          <w:color w:val="auto"/>
          <w:sz w:val="32"/>
          <w:szCs w:val="32"/>
          <w:shd w:val="clear" w:color="auto" w:fill="FFFFFF"/>
          <w:lang w:eastAsia="zh-CN"/>
        </w:rPr>
        <w:t>亟须</w:t>
      </w:r>
      <w:r>
        <w:rPr>
          <w:rFonts w:hint="eastAsia" w:ascii="仿宋_GB2312" w:hAnsi="仿宋_GB2312" w:eastAsia="仿宋_GB2312" w:cs="仿宋_GB2312"/>
          <w:color w:val="auto"/>
          <w:sz w:val="32"/>
          <w:szCs w:val="32"/>
          <w:shd w:val="clear" w:color="auto" w:fill="FFFFFF"/>
        </w:rPr>
        <w:t>借助智能化工具提升多基地协同运营效率。</w:t>
      </w:r>
    </w:p>
    <w:p w14:paraId="34BA3DAA">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2026 年基于飞书 aily 智能体平台搭建企业专属数据问答智能体，深度对接 ERP、MES、物流管理、期货行情等多源业务数据，智能体直接嵌入日常工作群，通过对话即可获取实时运营数据、自动生成日报、跟踪任务进度。三个核心场景：</w:t>
      </w:r>
    </w:p>
    <w:p w14:paraId="721A12AB">
      <w:pPr>
        <w:numPr>
          <w:ilvl w:val="0"/>
          <w:numId w:val="6"/>
        </w:numPr>
        <w:snapToGrid w:val="0"/>
        <w:spacing w:line="560" w:lineRule="exact"/>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每日运营日报自动生成（覆盖排车汇总、放行确认、新增计划、库存处理、委托书事宜等模块，定时推送</w:t>
      </w:r>
      <w:r>
        <w:rPr>
          <w:rFonts w:hint="eastAsia" w:ascii="仿宋_GB2312" w:hAnsi="仿宋_GB2312" w:eastAsia="仿宋_GB2312" w:cs="仿宋_GB2312"/>
          <w:color w:val="auto"/>
          <w:sz w:val="32"/>
          <w:szCs w:val="32"/>
          <w:shd w:val="clear" w:color="auto" w:fill="FFFFFF"/>
          <w:lang w:eastAsia="zh-CN"/>
        </w:rPr>
        <w:t>至</w:t>
      </w:r>
      <w:r>
        <w:rPr>
          <w:rFonts w:hint="eastAsia" w:ascii="仿宋_GB2312" w:hAnsi="仿宋_GB2312" w:eastAsia="仿宋_GB2312" w:cs="仿宋_GB2312"/>
          <w:color w:val="auto"/>
          <w:sz w:val="32"/>
          <w:szCs w:val="32"/>
          <w:shd w:val="clear" w:color="auto" w:fill="FFFFFF"/>
        </w:rPr>
        <w:t>工作群）；</w:t>
      </w:r>
    </w:p>
    <w:p w14:paraId="0A047809">
      <w:pPr>
        <w:numPr>
          <w:ilvl w:val="0"/>
          <w:numId w:val="6"/>
        </w:numPr>
        <w:snapToGrid w:val="0"/>
        <w:spacing w:line="560" w:lineRule="exact"/>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任务智能跟踪与提醒（自动汇总待处理任务、逾期任务预警、客户维度分组跟进、状态变更自动通知）；</w:t>
      </w:r>
    </w:p>
    <w:p w14:paraId="7F99E8E5">
      <w:pPr>
        <w:numPr>
          <w:ilvl w:val="0"/>
          <w:numId w:val="6"/>
        </w:numPr>
        <w:snapToGrid w:val="0"/>
        <w:spacing w:line="560" w:lineRule="exact"/>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原材料行情数据日报（对接期货行情，每日自动生成热卷基差日报，含主力合约收盘价、结算价、现货报价、基差计算及趋势点评）。</w:t>
      </w:r>
    </w:p>
    <w:p w14:paraId="7DEB3E2E">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技术亮点：自然语言即数据入口、智能体深度对接多源业务系统、运营/任务/行情三类数据全自动生成与推送、跨基地协同信息实时触达。</w:t>
      </w:r>
    </w:p>
    <w:p w14:paraId="6CD41885">
      <w:pPr>
        <w:snapToGrid w:val="0"/>
        <w:spacing w:line="560" w:lineRule="exact"/>
        <w:ind w:firstLine="640"/>
        <w:rPr>
          <w:rFonts w:hint="eastAsia" w:ascii="楷体_GB2312" w:hAnsi="楷体_GB2312" w:eastAsia="楷体_GB2312" w:cs="楷体_GB2312"/>
          <w:color w:val="auto"/>
          <w:sz w:val="32"/>
          <w:szCs w:val="32"/>
          <w:shd w:val="clear" w:color="auto" w:fill="FFFFFF"/>
        </w:rPr>
      </w:pPr>
      <w:r>
        <w:rPr>
          <w:rFonts w:hint="eastAsia" w:ascii="楷体_GB2312" w:hAnsi="楷体_GB2312" w:eastAsia="楷体_GB2312" w:cs="楷体_GB2312"/>
          <w:color w:val="auto"/>
          <w:sz w:val="32"/>
          <w:szCs w:val="32"/>
          <w:shd w:val="clear" w:color="auto" w:fill="FFFFFF"/>
        </w:rPr>
        <w:t>（二）具体应用成效。</w:t>
      </w:r>
    </w:p>
    <w:p w14:paraId="55201972">
      <w:pPr>
        <w:numPr>
          <w:ilvl w:val="0"/>
          <w:numId w:val="7"/>
        </w:numPr>
        <w:snapToGrid w:val="0"/>
        <w:spacing w:line="560" w:lineRule="exact"/>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每日运营日报：从人工 1 小时缩短至 1 分钟（效率提升 60 倍以上），运营人员每日节省 1.5 小时数据整理时间；</w:t>
      </w:r>
    </w:p>
    <w:p w14:paraId="5FC7101A">
      <w:pPr>
        <w:numPr>
          <w:ilvl w:val="0"/>
          <w:numId w:val="7"/>
        </w:numPr>
        <w:snapToGrid w:val="0"/>
        <w:spacing w:line="560" w:lineRule="exact"/>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任务跟踪：逾期任务自动预警，跨部门、跨基地协作效率显著提升，重点客户跟进更加有序；</w:t>
      </w:r>
    </w:p>
    <w:p w14:paraId="35A5762E">
      <w:pPr>
        <w:numPr>
          <w:ilvl w:val="0"/>
          <w:numId w:val="7"/>
        </w:numPr>
        <w:snapToGrid w:val="0"/>
        <w:spacing w:line="560" w:lineRule="exact"/>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行情日报：热卷基差日报全自动生成与推送，采购团队从重复性数据整理中解放；</w:t>
      </w:r>
    </w:p>
    <w:p w14:paraId="5C5F2E09">
      <w:pPr>
        <w:numPr>
          <w:ilvl w:val="0"/>
          <w:numId w:val="7"/>
        </w:numPr>
        <w:snapToGrid w:val="0"/>
        <w:spacing w:line="560" w:lineRule="exact"/>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整体运营效率提升 40% 以上，多基地协同响应速度明显改善；</w:t>
      </w:r>
    </w:p>
    <w:p w14:paraId="7C033F97">
      <w:pPr>
        <w:numPr>
          <w:ilvl w:val="0"/>
          <w:numId w:val="7"/>
        </w:numPr>
        <w:snapToGrid w:val="0"/>
        <w:spacing w:line="560" w:lineRule="exact"/>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客户评价：飞书 aily 智能体就像 24 小时数据助理，以前要花大半天整理的报表，现在一句话就能拿到。</w:t>
      </w:r>
    </w:p>
    <w:p w14:paraId="41ECD621">
      <w:pPr>
        <w:snapToGrid w:val="0"/>
        <w:spacing w:line="560" w:lineRule="exact"/>
        <w:ind w:firstLine="640"/>
        <w:rPr>
          <w:rFonts w:hint="eastAsia" w:ascii="黑体" w:hAnsi="黑体" w:eastAsia="黑体" w:cs="黑体"/>
          <w:color w:val="auto"/>
          <w:sz w:val="32"/>
          <w:szCs w:val="32"/>
          <w:shd w:val="clear" w:color="auto" w:fill="FFFFFF"/>
        </w:rPr>
      </w:pPr>
      <w:r>
        <w:rPr>
          <w:rFonts w:hint="eastAsia" w:ascii="黑体" w:hAnsi="黑体" w:eastAsia="黑体" w:cs="黑体"/>
          <w:color w:val="auto"/>
          <w:sz w:val="32"/>
          <w:szCs w:val="32"/>
          <w:shd w:val="clear" w:color="auto" w:fill="FFFFFF"/>
        </w:rPr>
        <w:t>三、案例所获得荣誉、复制推广情况等</w:t>
      </w:r>
    </w:p>
    <w:p w14:paraId="6CED418A">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毅马集团飞书 AI 实践已形成</w:t>
      </w:r>
      <w:r>
        <w:rPr>
          <w:rFonts w:hint="eastAsia" w:ascii="仿宋_GB2312" w:hAnsi="仿宋_GB2312" w:eastAsia="仿宋_GB2312"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rPr>
        <w:t>数据问答智能体</w:t>
      </w:r>
      <w:r>
        <w:rPr>
          <w:rFonts w:hint="eastAsia" w:ascii="仿宋_GB2312" w:hAnsi="仿宋_GB2312" w:eastAsia="仿宋_GB2312"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rPr>
        <w:t>为核心的多基地协同运营范式，覆盖运营日报、任务跟踪、原材料行情分析三大核心场景，沉淀的</w:t>
      </w:r>
      <w:r>
        <w:rPr>
          <w:rFonts w:hint="eastAsia" w:ascii="仿宋_GB2312" w:hAnsi="仿宋_GB2312" w:eastAsia="仿宋_GB2312"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rPr>
        <w:t>自然语言即数据入口 + 多源系统对接 + 自动化日报推送</w:t>
      </w:r>
      <w:r>
        <w:rPr>
          <w:rFonts w:hint="eastAsia" w:ascii="仿宋_GB2312" w:hAnsi="仿宋_GB2312" w:eastAsia="仿宋_GB2312"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rPr>
        <w:t>模式可在多基地、多系统的集团型制造企业复用。该范式对集团化运营的管桩、PC 钢棒等金属建材行业，以及拥有多生产基地、多业务系统的规模化制造企业具有较强的行业推广价值。</w:t>
      </w:r>
    </w:p>
    <w:p w14:paraId="2FE1D66A">
      <w:pPr>
        <w:pageBreakBefore/>
        <w:snapToGrid w:val="0"/>
        <w:spacing w:line="560" w:lineRule="exact"/>
        <w:ind w:firstLine="641"/>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原材料热卷基差日报（智能体自动生成主力合约收盘价/结算价/现货报价/基差计算及趋势点评）</w:t>
      </w:r>
    </w:p>
    <w:p w14:paraId="7F016A36">
      <w:pPr>
        <w:snapToGrid w:val="0"/>
        <w:spacing w:line="560" w:lineRule="exact"/>
        <w:ind w:firstLine="640"/>
        <w:rPr>
          <w:rFonts w:hint="eastAsia" w:ascii="仿宋_GB2312" w:hAnsi="仿宋_GB2312" w:eastAsia="仿宋_GB2312" w:cs="仿宋_GB2312"/>
          <w:color w:val="auto"/>
          <w:sz w:val="32"/>
          <w:szCs w:val="32"/>
          <w:shd w:val="clear" w:color="auto" w:fill="FFFFFF"/>
        </w:rPr>
      </w:pPr>
    </w:p>
    <w:p w14:paraId="63FFF84B">
      <w:pPr>
        <w:widowControl/>
        <w:jc w:val="center"/>
        <w:rPr>
          <w:color w:val="auto"/>
        </w:rPr>
      </w:pPr>
      <w:r>
        <w:rPr>
          <w:rFonts w:ascii="宋体" w:hAnsi="宋体" w:eastAsia="宋体" w:cs="宋体"/>
          <w:color w:val="auto"/>
          <w:kern w:val="0"/>
          <w:sz w:val="24"/>
          <w:szCs w:val="24"/>
          <w:lang w:bidi="ar"/>
        </w:rPr>
        <w:fldChar w:fldCharType="begin"/>
      </w:r>
      <w:r>
        <w:rPr>
          <w:rFonts w:ascii="宋体" w:hAnsi="宋体" w:eastAsia="宋体" w:cs="宋体"/>
          <w:color w:val="auto"/>
          <w:kern w:val="0"/>
          <w:sz w:val="24"/>
          <w:szCs w:val="24"/>
          <w:lang w:bidi="ar"/>
        </w:rPr>
        <w:instrText xml:space="preserve">INCLUDEPICTURE \d "https://kedaotech.feishu.cn/space/api/box/stream/download/asynccode/?code=YTRhYTYwNGY5ZGNjZDNkZjFlY2I2YTBmNDRmMWQ4MmVfWmNvcU9tY2lPMVRBZTBLN3poODBZQUk2VTRqeVdjVVdfVG9rZW46RHY4MmJQRzBxb1ZlMWt4OE54V2NMb0VXbmpoXzE3ODc3MTA4NjI6MTc4NzcxNDQ2Ml9WNA&amp;add_watermark=true&amp;scene_type=CCM" \* MERGEFORMATINET </w:instrText>
      </w:r>
      <w:r>
        <w:rPr>
          <w:rFonts w:ascii="宋体" w:hAnsi="宋体" w:eastAsia="宋体" w:cs="宋体"/>
          <w:color w:val="auto"/>
          <w:kern w:val="0"/>
          <w:sz w:val="24"/>
          <w:szCs w:val="24"/>
          <w:lang w:bidi="ar"/>
        </w:rPr>
        <w:fldChar w:fldCharType="separate"/>
      </w:r>
      <w:r>
        <w:rPr>
          <w:rFonts w:ascii="宋体" w:hAnsi="宋体" w:eastAsia="宋体" w:cs="宋体"/>
          <w:color w:val="auto"/>
          <w:kern w:val="0"/>
          <w:sz w:val="24"/>
          <w:szCs w:val="24"/>
          <w:lang w:bidi="ar"/>
        </w:rPr>
        <w:pict>
          <v:shape id="_x0000_i1031" o:spt="75" alt="IMG_256" type="#_x0000_t75" style="height:311pt;width:302.5pt;" filled="f" o:preferrelative="t" stroked="f" coordsize="21600,21600">
            <v:path/>
            <v:fill on="f" focussize="0,0"/>
            <v:stroke on="f" joinstyle="miter"/>
            <v:imagedata r:id="rId26" r:href="rId27" croptop="4423f" cropbottom="5595f" o:title=""/>
            <o:lock v:ext="edit" aspectratio="t"/>
            <w10:wrap type="none"/>
            <w10:anchorlock/>
          </v:shape>
        </w:pict>
      </w:r>
      <w:r>
        <w:rPr>
          <w:rFonts w:ascii="宋体" w:hAnsi="宋体" w:eastAsia="宋体" w:cs="宋体"/>
          <w:color w:val="auto"/>
          <w:kern w:val="0"/>
          <w:sz w:val="24"/>
          <w:szCs w:val="24"/>
          <w:lang w:bidi="ar"/>
        </w:rPr>
        <w:fldChar w:fldCharType="end"/>
      </w:r>
    </w:p>
    <w:p w14:paraId="3988E8FA">
      <w:pPr>
        <w:snapToGrid w:val="0"/>
        <w:spacing w:line="560" w:lineRule="exact"/>
        <w:ind w:firstLine="640"/>
        <w:rPr>
          <w:rFonts w:hint="eastAsia" w:ascii="仿宋_GB2312" w:hAnsi="仿宋_GB2312" w:eastAsia="仿宋_GB2312" w:cs="仿宋_GB2312"/>
          <w:color w:val="auto"/>
          <w:sz w:val="32"/>
          <w:szCs w:val="32"/>
          <w:shd w:val="clear" w:color="auto" w:fill="FFFFFF"/>
        </w:rPr>
      </w:pPr>
    </w:p>
    <w:p w14:paraId="4D02791F">
      <w:pPr>
        <w:snapToGrid w:val="0"/>
        <w:spacing w:line="560" w:lineRule="exact"/>
        <w:ind w:firstLine="640"/>
        <w:rPr>
          <w:rFonts w:hint="eastAsia" w:ascii="仿宋_GB2312" w:hAnsi="仿宋_GB2312" w:eastAsia="仿宋_GB2312" w:cs="仿宋_GB2312"/>
          <w:color w:val="auto"/>
          <w:sz w:val="32"/>
          <w:szCs w:val="32"/>
          <w:shd w:val="clear" w:color="auto" w:fill="FFFFFF"/>
        </w:rPr>
      </w:pPr>
    </w:p>
    <w:p w14:paraId="05D1F5C7">
      <w:pPr>
        <w:snapToGrid w:val="0"/>
        <w:spacing w:line="560" w:lineRule="exact"/>
        <w:ind w:firstLine="640"/>
        <w:rPr>
          <w:rFonts w:hint="eastAsia" w:ascii="仿宋_GB2312" w:hAnsi="仿宋_GB2312" w:eastAsia="仿宋_GB2312" w:cs="仿宋_GB2312"/>
          <w:color w:val="auto"/>
          <w:sz w:val="32"/>
          <w:szCs w:val="32"/>
          <w:shd w:val="clear" w:color="auto" w:fill="FFFFFF"/>
        </w:rPr>
      </w:pPr>
    </w:p>
    <w:p w14:paraId="1982B704">
      <w:pPr>
        <w:snapToGrid w:val="0"/>
        <w:spacing w:line="560" w:lineRule="exact"/>
        <w:ind w:firstLine="640"/>
        <w:rPr>
          <w:rFonts w:hint="eastAsia" w:ascii="仿宋_GB2312" w:hAnsi="仿宋_GB2312" w:eastAsia="仿宋_GB2312" w:cs="仿宋_GB2312"/>
          <w:color w:val="auto"/>
          <w:sz w:val="32"/>
          <w:szCs w:val="32"/>
          <w:shd w:val="clear" w:color="auto" w:fill="FFFFFF"/>
        </w:rPr>
      </w:pPr>
    </w:p>
    <w:p w14:paraId="178417B9">
      <w:pPr>
        <w:snapToGrid w:val="0"/>
        <w:spacing w:line="560" w:lineRule="exact"/>
        <w:ind w:firstLine="640"/>
        <w:rPr>
          <w:rFonts w:hint="eastAsia" w:ascii="仿宋_GB2312" w:hAnsi="仿宋_GB2312" w:eastAsia="仿宋_GB2312" w:cs="仿宋_GB2312"/>
          <w:color w:val="auto"/>
          <w:sz w:val="32"/>
          <w:szCs w:val="32"/>
          <w:shd w:val="clear" w:color="auto" w:fill="FFFFFF"/>
        </w:rPr>
      </w:pPr>
    </w:p>
    <w:p w14:paraId="5E3E1F4B">
      <w:pPr>
        <w:snapToGrid w:val="0"/>
        <w:spacing w:line="560" w:lineRule="exact"/>
        <w:ind w:firstLine="640"/>
        <w:rPr>
          <w:rFonts w:hint="eastAsia" w:ascii="仿宋_GB2312" w:hAnsi="仿宋_GB2312" w:eastAsia="仿宋_GB2312" w:cs="仿宋_GB2312"/>
          <w:color w:val="auto"/>
          <w:sz w:val="32"/>
          <w:szCs w:val="32"/>
          <w:shd w:val="clear" w:color="auto" w:fill="FFFFFF"/>
        </w:rPr>
      </w:pPr>
    </w:p>
    <w:p w14:paraId="79DB72C2">
      <w:pPr>
        <w:snapToGrid w:val="0"/>
        <w:spacing w:line="560" w:lineRule="exact"/>
        <w:ind w:firstLine="640"/>
        <w:rPr>
          <w:rFonts w:hint="eastAsia" w:ascii="仿宋_GB2312" w:hAnsi="仿宋_GB2312" w:eastAsia="仿宋_GB2312" w:cs="仿宋_GB2312"/>
          <w:color w:val="auto"/>
          <w:sz w:val="32"/>
          <w:szCs w:val="32"/>
          <w:shd w:val="clear" w:color="auto" w:fill="FFFFFF"/>
        </w:rPr>
      </w:pPr>
    </w:p>
    <w:p w14:paraId="244DCC0A">
      <w:pPr>
        <w:snapToGrid w:val="0"/>
        <w:spacing w:line="560" w:lineRule="exact"/>
        <w:ind w:firstLine="640"/>
        <w:rPr>
          <w:rFonts w:hint="eastAsia" w:ascii="仿宋_GB2312" w:hAnsi="仿宋_GB2312" w:eastAsia="仿宋_GB2312" w:cs="仿宋_GB2312"/>
          <w:color w:val="auto"/>
          <w:sz w:val="32"/>
          <w:szCs w:val="32"/>
          <w:shd w:val="clear" w:color="auto" w:fill="FFFFFF"/>
        </w:rPr>
      </w:pPr>
    </w:p>
    <w:p w14:paraId="60B2E7D8">
      <w:pPr>
        <w:snapToGrid w:val="0"/>
        <w:spacing w:line="560" w:lineRule="exact"/>
        <w:ind w:firstLine="640"/>
        <w:rPr>
          <w:rFonts w:hint="eastAsia" w:ascii="仿宋_GB2312" w:hAnsi="仿宋_GB2312" w:eastAsia="仿宋_GB2312" w:cs="仿宋_GB2312"/>
          <w:color w:val="auto"/>
          <w:sz w:val="32"/>
          <w:szCs w:val="32"/>
          <w:shd w:val="clear" w:color="auto" w:fill="FFFFFF"/>
        </w:rPr>
      </w:pPr>
    </w:p>
    <w:p w14:paraId="272B474A">
      <w:pPr>
        <w:pageBreakBefore/>
        <w:snapToGrid w:val="0"/>
        <w:spacing w:line="560" w:lineRule="exact"/>
        <w:ind w:firstLine="641"/>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今日待处理任务（智能体自动汇总逾期任务并按客户维度梳理近期重要跟进事项）</w:t>
      </w:r>
    </w:p>
    <w:p w14:paraId="6055DA75">
      <w:pPr>
        <w:widowControl/>
        <w:jc w:val="center"/>
        <w:rPr>
          <w:color w:val="auto"/>
        </w:rPr>
      </w:pPr>
      <w:r>
        <w:rPr>
          <w:color w:val="auto"/>
        </w:rPr>
        <w:pict>
          <v:shape id="_x0000_i1032" o:spt="75" type="#_x0000_t75" style="height:441.1pt;width:321.3pt;" filled="f" o:preferrelative="t" stroked="f" coordsize="21600,21600">
            <v:path/>
            <v:fill on="f" focussize="0,0"/>
            <v:stroke on="f" joinstyle="miter"/>
            <v:imagedata r:id="rId28" o:title=""/>
            <o:lock v:ext="edit" aspectratio="t"/>
            <w10:wrap type="none"/>
            <w10:anchorlock/>
          </v:shape>
        </w:pict>
      </w:r>
    </w:p>
    <w:p w14:paraId="475EFF40">
      <w:pPr>
        <w:widowControl/>
        <w:jc w:val="left"/>
        <w:rPr>
          <w:color w:val="auto"/>
        </w:rPr>
      </w:pPr>
    </w:p>
    <w:p w14:paraId="630C223D">
      <w:pPr>
        <w:snapToGrid w:val="0"/>
        <w:rPr>
          <w:rFonts w:ascii="仿宋_GB2312" w:hAnsi="仿宋_GB2312" w:eastAsia="仿宋_GB2312" w:cs="仿宋_GB2312"/>
          <w:color w:val="auto"/>
          <w:sz w:val="32"/>
          <w:szCs w:val="32"/>
          <w:shd w:val="clear" w:color="auto" w:fill="FFFFFF"/>
        </w:rPr>
      </w:pPr>
    </w:p>
    <w:p w14:paraId="6E099760">
      <w:pPr>
        <w:spacing w:after="40"/>
        <w:jc w:val="left"/>
        <w:rPr>
          <w:rFonts w:ascii="楷体" w:hAnsi="楷体" w:eastAsia="楷体"/>
          <w:color w:val="auto"/>
          <w:sz w:val="22"/>
        </w:rPr>
      </w:pPr>
    </w:p>
    <w:p w14:paraId="1F9F2A01">
      <w:pPr>
        <w:pStyle w:val="12"/>
        <w:pageBreakBefore/>
        <w:rPr>
          <w:color w:val="auto"/>
        </w:rPr>
      </w:pPr>
      <w:bookmarkStart w:id="10" w:name="_Toc15450"/>
      <w:r>
        <w:rPr>
          <w:color w:val="auto"/>
        </w:rPr>
        <w:t>案例 10　</w:t>
      </w:r>
      <w:r>
        <w:rPr>
          <w:rFonts w:hint="eastAsia"/>
          <w:color w:val="auto"/>
        </w:rPr>
        <w:t>好来化工口腔护理全域智元智能工厂</w:t>
      </w:r>
      <w:bookmarkEnd w:id="10"/>
    </w:p>
    <w:p w14:paraId="1139A566">
      <w:pPr>
        <w:spacing w:after="40"/>
        <w:jc w:val="left"/>
        <w:rPr>
          <w:rFonts w:ascii="楷体" w:hAnsi="楷体" w:eastAsia="楷体"/>
          <w:color w:val="auto"/>
        </w:rPr>
      </w:pPr>
      <w:r>
        <w:rPr>
          <w:rFonts w:ascii="楷体" w:hAnsi="楷体" w:eastAsia="楷体"/>
          <w:color w:val="auto"/>
          <w:sz w:val="22"/>
        </w:rPr>
        <w:t>申报单位：好来化工（中山）有限公司</w:t>
      </w:r>
    </w:p>
    <w:p w14:paraId="30737003">
      <w:pPr>
        <w:snapToGrid w:val="0"/>
        <w:spacing w:line="560" w:lineRule="exact"/>
        <w:jc w:val="center"/>
        <w:rPr>
          <w:rFonts w:ascii="方正小标宋简体" w:hAnsi="方正小标宋简体" w:eastAsia="方正小标宋简体" w:cs="方正小标宋简体"/>
          <w:color w:val="auto"/>
          <w:sz w:val="44"/>
          <w:szCs w:val="44"/>
          <w:shd w:val="clear" w:color="auto" w:fill="FFFFFF"/>
        </w:rPr>
      </w:pPr>
    </w:p>
    <w:p w14:paraId="13BB9D85">
      <w:pPr>
        <w:snapToGrid w:val="0"/>
        <w:spacing w:line="560" w:lineRule="exact"/>
        <w:rPr>
          <w:rFonts w:hint="eastAsia" w:ascii="仿宋_GB2312" w:hAnsi="仿宋_GB2312" w:eastAsia="仿宋_GB2312" w:cs="仿宋_GB2312"/>
          <w:color w:val="auto"/>
          <w:sz w:val="32"/>
          <w:szCs w:val="32"/>
          <w:shd w:val="clear" w:color="auto" w:fill="FFFFFF"/>
        </w:rPr>
      </w:pPr>
    </w:p>
    <w:p w14:paraId="37C14A6C">
      <w:pPr>
        <w:snapToGrid w:val="0"/>
        <w:spacing w:line="560" w:lineRule="exact"/>
        <w:ind w:firstLine="640"/>
        <w:rPr>
          <w:rFonts w:hint="eastAsia" w:ascii="黑体" w:hAnsi="黑体" w:eastAsia="黑体" w:cs="黑体"/>
          <w:color w:val="auto"/>
          <w:sz w:val="32"/>
          <w:szCs w:val="32"/>
          <w:shd w:val="clear" w:color="auto" w:fill="FFFFFF"/>
        </w:rPr>
      </w:pPr>
      <w:r>
        <w:rPr>
          <w:rFonts w:hint="eastAsia" w:ascii="黑体" w:hAnsi="黑体" w:eastAsia="黑体" w:cs="黑体"/>
          <w:color w:val="auto"/>
          <w:sz w:val="32"/>
          <w:szCs w:val="32"/>
          <w:shd w:val="clear" w:color="auto" w:fill="FFFFFF"/>
        </w:rPr>
        <w:t>一、案例基本情况</w:t>
      </w:r>
    </w:p>
    <w:p w14:paraId="63A96A7C">
      <w:pPr>
        <w:snapToGrid w:val="0"/>
        <w:spacing w:line="560" w:lineRule="exact"/>
        <w:ind w:firstLine="640"/>
        <w:rPr>
          <w:rFonts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（一）案例名称：好来化工口腔护理全域智元智能工厂。</w:t>
      </w:r>
    </w:p>
    <w:p w14:paraId="41C37C9E">
      <w:pPr>
        <w:snapToGrid w:val="0"/>
        <w:spacing w:line="560" w:lineRule="exact"/>
        <w:ind w:firstLine="640" w:firstLineChars="200"/>
        <w:rPr>
          <w:rFonts w:hint="eastAsia" w:ascii="仿宋_GB2312" w:hAnsi="仿宋_GB2312" w:eastAsia="仿宋_GB2312" w:cs="仿宋_GB2312"/>
          <w:b w:val="0"/>
          <w:bCs w:val="0"/>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（二）人工智能技术应用方：</w:t>
      </w:r>
      <w:r>
        <w:rPr>
          <w:rFonts w:hint="eastAsia" w:ascii="仿宋_GB2312" w:hAnsi="仿宋_GB2312" w:eastAsia="仿宋_GB2312" w:cs="仿宋_GB2312"/>
          <w:b w:val="0"/>
          <w:bCs w:val="0"/>
          <w:color w:val="auto"/>
          <w:sz w:val="32"/>
          <w:szCs w:val="32"/>
          <w:shd w:val="clear" w:color="auto" w:fill="FFFFFF"/>
        </w:rPr>
        <w:t>好来化工（中山）有限公司。</w:t>
      </w:r>
    </w:p>
    <w:p w14:paraId="0C1AE673">
      <w:pPr>
        <w:snapToGrid w:val="0"/>
        <w:spacing w:line="560" w:lineRule="exact"/>
        <w:ind w:firstLine="640"/>
        <w:rPr>
          <w:rFonts w:hint="eastAsia" w:ascii="仿宋_GB2312" w:hAnsi="仿宋_GB2312" w:eastAsia="仿宋_GB2312" w:cs="仿宋_GB2312"/>
          <w:b w:val="0"/>
          <w:bCs w:val="0"/>
          <w:color w:val="auto"/>
          <w:sz w:val="32"/>
          <w:szCs w:val="32"/>
          <w:shd w:val="clear" w:color="auto" w:fill="FFFFFF"/>
        </w:rPr>
      </w:pPr>
      <w:r>
        <w:rPr>
          <w:rFonts w:hint="eastAsia" w:ascii="仿宋_GB2312" w:hAnsi="仿宋_GB2312" w:eastAsia="仿宋_GB2312" w:cs="仿宋_GB2312"/>
          <w:b w:val="0"/>
          <w:bCs w:val="0"/>
          <w:color w:val="auto"/>
          <w:sz w:val="32"/>
          <w:szCs w:val="32"/>
          <w:shd w:val="clear" w:color="auto" w:fill="FFFFFF"/>
        </w:rPr>
        <w:t>应用企业简介：好来化工（中山）有限公司是专业研发、生产及销售优质口腔护理产品的国际性企业，旗下主要品牌为“DARLIE好来”（原黑人品牌）。公司成立于1995年，位于中山市西区，注册资本2500万美元，员工总数约1000人。目前已布局口腔护理全线产品，包括牙膏、手动牙刷、电动牙刷、漱口水、冲牙器等，销售网络已覆盖马来西亚、新加坡、泰国等十多个市场。凭借先进的生产工艺，独特的产品配方，强大的创新能力和真诚的市场服务精神，“DARLIE好来”产品在各市场广受欢迎，稳占中高端口腔护理产品领先位置。其中，好来牙膏及牙刷连续多年保持在中国市场占有率的前列（2025年好来牙膏排名市场第二）。曾获得政府或权威第三方颁发诚信经营示范单位，AEO高级认证企业，</w:t>
      </w:r>
      <w:r>
        <w:rPr>
          <w:rFonts w:hint="eastAsia" w:ascii="仿宋_GB2312" w:hAnsi="仿宋_GB2312" w:eastAsia="仿宋_GB2312" w:cs="仿宋_GB2312"/>
          <w:b w:val="0"/>
          <w:bCs w:val="0"/>
          <w:color w:val="auto"/>
          <w:sz w:val="32"/>
          <w:szCs w:val="32"/>
          <w:shd w:val="clear" w:color="auto" w:fill="FFFFFF"/>
          <w:lang w:eastAsia="zh-CN"/>
        </w:rPr>
        <w:t>国家级绿色工厂</w:t>
      </w:r>
      <w:r>
        <w:rPr>
          <w:rFonts w:hint="eastAsia" w:ascii="仿宋_GB2312" w:hAnsi="仿宋_GB2312" w:eastAsia="仿宋_GB2312" w:cs="仿宋_GB2312"/>
          <w:b w:val="0"/>
          <w:bCs w:val="0"/>
          <w:color w:val="auto"/>
          <w:sz w:val="32"/>
          <w:szCs w:val="32"/>
          <w:shd w:val="clear" w:color="auto" w:fill="FFFFFF"/>
        </w:rPr>
        <w:t>，广东省制造业500强，广东省工程技术中心，中山市企业技术中心，中山市企业突出贡献奖</w:t>
      </w:r>
      <w:r>
        <w:rPr>
          <w:rFonts w:hint="eastAsia" w:ascii="仿宋_GB2312" w:hAnsi="仿宋_GB2312" w:eastAsia="仿宋_GB2312" w:cs="仿宋_GB2312"/>
          <w:b w:val="0"/>
          <w:bCs w:val="0"/>
          <w:color w:val="auto"/>
          <w:sz w:val="32"/>
          <w:szCs w:val="32"/>
          <w:shd w:val="clear" w:color="auto" w:fill="FFFFFF"/>
          <w:lang w:eastAsia="zh-CN"/>
        </w:rPr>
        <w:t>－</w:t>
      </w:r>
      <w:r>
        <w:rPr>
          <w:rFonts w:hint="eastAsia" w:ascii="仿宋_GB2312" w:hAnsi="仿宋_GB2312" w:eastAsia="仿宋_GB2312" w:cs="仿宋_GB2312"/>
          <w:b w:val="0"/>
          <w:bCs w:val="0"/>
          <w:color w:val="auto"/>
          <w:sz w:val="32"/>
          <w:szCs w:val="32"/>
          <w:shd w:val="clear" w:color="auto" w:fill="FFFFFF"/>
        </w:rPr>
        <w:t>优秀企业等荣誉称号。</w:t>
      </w:r>
    </w:p>
    <w:p w14:paraId="5766A931">
      <w:pPr>
        <w:snapToGrid w:val="0"/>
        <w:spacing w:line="560" w:lineRule="exact"/>
        <w:rPr>
          <w:rFonts w:hint="eastAsia" w:ascii="黑体" w:hAnsi="黑体" w:eastAsia="黑体" w:cs="黑体"/>
          <w:color w:val="auto"/>
          <w:sz w:val="32"/>
          <w:szCs w:val="32"/>
          <w:shd w:val="clear" w:color="auto" w:fill="FFFFFF"/>
        </w:rPr>
      </w:pPr>
    </w:p>
    <w:p w14:paraId="09F76265">
      <w:pPr>
        <w:snapToGrid w:val="0"/>
        <w:spacing w:line="560" w:lineRule="exact"/>
        <w:ind w:firstLine="640"/>
        <w:rPr>
          <w:rFonts w:hint="eastAsia" w:ascii="黑体" w:hAnsi="黑体" w:eastAsia="黑体" w:cs="黑体"/>
          <w:color w:val="auto"/>
          <w:sz w:val="32"/>
          <w:szCs w:val="32"/>
          <w:shd w:val="clear" w:color="auto" w:fill="FFFFFF"/>
        </w:rPr>
      </w:pPr>
      <w:r>
        <w:rPr>
          <w:rFonts w:hint="eastAsia" w:ascii="黑体" w:hAnsi="黑体" w:eastAsia="黑体" w:cs="黑体"/>
          <w:color w:val="auto"/>
          <w:sz w:val="32"/>
          <w:szCs w:val="32"/>
          <w:shd w:val="clear" w:color="auto" w:fill="FFFFFF"/>
        </w:rPr>
        <w:t>二、案例内容介绍</w:t>
      </w:r>
    </w:p>
    <w:p w14:paraId="414F86A7">
      <w:pPr>
        <w:snapToGrid w:val="0"/>
        <w:spacing w:line="560" w:lineRule="exact"/>
        <w:ind w:firstLine="640"/>
        <w:rPr>
          <w:rFonts w:hint="eastAsia" w:ascii="楷体_GB2312" w:hAnsi="楷体_GB2312" w:eastAsia="楷体_GB2312" w:cs="楷体_GB2312"/>
          <w:color w:val="auto"/>
          <w:sz w:val="32"/>
          <w:szCs w:val="32"/>
          <w:shd w:val="clear" w:color="auto" w:fill="FFFFFF"/>
        </w:rPr>
      </w:pPr>
      <w:r>
        <w:rPr>
          <w:rFonts w:hint="eastAsia" w:ascii="楷体_GB2312" w:hAnsi="楷体_GB2312" w:eastAsia="楷体_GB2312" w:cs="楷体_GB2312"/>
          <w:color w:val="auto"/>
          <w:sz w:val="32"/>
          <w:szCs w:val="32"/>
          <w:shd w:val="clear" w:color="auto" w:fill="FFFFFF"/>
        </w:rPr>
        <w:t>（一）包括案例背景、采用的人工智能关键技术、所实现的功能和亮点优势</w:t>
      </w:r>
    </w:p>
    <w:p w14:paraId="4F5A6DB2">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针对日化行业新品验证周期长、车间人工依赖度高、供应链协同滞后、能耗管控薄弱痛点，企业开展全链路数字化升级，搭建 5G 工业以太网融合数字底座，配套零信任访问、漏洞扫描全套网络安全体系；研发上线包材管理、AI 图像识别、数据集成系统缩短验证时长，生产车间部署全自动制膏 CIP 产线、AI 全检设备、一物一码全流程溯源与设备预测维护系统，配套 SAP 智能排产、自动化立体仓、光伏分布式发电、磁悬浮冷水机组、AI 空调节能绿色管控场景。依托AI大模型打造专属精益知识顾问，将海量工业文档化为智能问答，赋能一线极速排障与标准统一落地。引入AI技术升级传统HVAC系统，利用机器学习动态寻优替代固化控制逻辑。结合物联网精准感知与远程管控，全面优化设备能效，全年节电超20万度，强力助推工厂绿色低碳转型。</w:t>
      </w:r>
    </w:p>
    <w:p w14:paraId="766D0760">
      <w:pPr>
        <w:snapToGrid w:val="0"/>
        <w:spacing w:line="560" w:lineRule="exact"/>
        <w:ind w:firstLine="640"/>
        <w:rPr>
          <w:rFonts w:hint="eastAsia" w:ascii="楷体_GB2312" w:hAnsi="楷体_GB2312" w:eastAsia="楷体_GB2312" w:cs="楷体_GB2312"/>
          <w:color w:val="auto"/>
          <w:sz w:val="32"/>
          <w:szCs w:val="32"/>
          <w:shd w:val="clear" w:color="auto" w:fill="FFFFFF"/>
        </w:rPr>
      </w:pPr>
      <w:r>
        <w:rPr>
          <w:rFonts w:hint="eastAsia" w:ascii="楷体_GB2312" w:hAnsi="楷体_GB2312" w:eastAsia="楷体_GB2312" w:cs="楷体_GB2312"/>
          <w:color w:val="auto"/>
          <w:sz w:val="32"/>
          <w:szCs w:val="32"/>
          <w:shd w:val="clear" w:color="auto" w:fill="FFFFFF"/>
        </w:rPr>
        <w:t>（二）具体应用成效。</w:t>
      </w:r>
    </w:p>
    <w:p w14:paraId="7BC940EE">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经过改造，厂区设备数控化率 93.1%、联网率 64.1%，设备综合利用率达 90.1%，物料损耗下降 24%，年度节电超 275 万度，订单交付率 99.96%，日化行业数字化管控体系成熟，可向超200家上下游企业推广落地。</w:t>
      </w:r>
    </w:p>
    <w:p w14:paraId="4A304D38">
      <w:pPr>
        <w:snapToGrid w:val="0"/>
        <w:spacing w:line="560" w:lineRule="exact"/>
        <w:ind w:firstLine="640"/>
        <w:rPr>
          <w:rFonts w:hint="eastAsia" w:ascii="黑体" w:hAnsi="黑体" w:eastAsia="黑体" w:cs="黑体"/>
          <w:color w:val="auto"/>
          <w:sz w:val="32"/>
          <w:szCs w:val="32"/>
          <w:shd w:val="clear" w:color="auto" w:fill="FFFFFF"/>
        </w:rPr>
      </w:pPr>
      <w:r>
        <w:rPr>
          <w:rFonts w:hint="eastAsia" w:ascii="黑体" w:hAnsi="黑体" w:eastAsia="黑体" w:cs="黑体"/>
          <w:color w:val="auto"/>
          <w:sz w:val="32"/>
          <w:szCs w:val="32"/>
          <w:shd w:val="clear" w:color="auto" w:fill="FFFFFF"/>
        </w:rPr>
        <w:t>三、案例所获得荣誉、复制推广情况等</w:t>
      </w:r>
    </w:p>
    <w:p w14:paraId="0A6D09EB">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该项目案例获得国家级绿色工厂、2026年广东省先进级智能工厂，日化行业数字化管控体系成熟，可向超200家上下游企业推广落地。</w:t>
      </w:r>
    </w:p>
    <w:p w14:paraId="44F6A497">
      <w:pPr>
        <w:snapToGrid w:val="0"/>
        <w:spacing w:line="560" w:lineRule="exact"/>
        <w:ind w:firstLine="640"/>
        <w:rPr>
          <w:rFonts w:hint="eastAsia" w:ascii="仿宋_GB2312" w:hAnsi="仿宋_GB2312" w:eastAsia="仿宋_GB2312" w:cs="仿宋_GB2312"/>
          <w:color w:val="auto"/>
          <w:sz w:val="32"/>
          <w:szCs w:val="32"/>
          <w:shd w:val="clear" w:color="auto" w:fill="FFFFFF"/>
        </w:rPr>
      </w:pPr>
    </w:p>
    <w:p w14:paraId="26F6BB91">
      <w:pPr>
        <w:snapToGrid w:val="0"/>
        <w:spacing w:line="240" w:lineRule="auto"/>
        <w:ind w:firstLine="640"/>
        <w:rPr>
          <w:rFonts w:hint="eastAsia" w:ascii="仿宋_GB2312" w:hAnsi="仿宋_GB2312" w:eastAsia="仿宋_GB2312" w:cs="仿宋_GB2312"/>
          <w:color w:val="auto"/>
          <w:sz w:val="32"/>
          <w:szCs w:val="32"/>
          <w:shd w:val="clear" w:color="auto" w:fill="FFFFFF"/>
          <w:lang w:eastAsia="zh-CN"/>
        </w:rPr>
      </w:pPr>
    </w:p>
    <w:p w14:paraId="1DB03C0B">
      <w:pPr>
        <w:snapToGrid w:val="0"/>
        <w:spacing w:line="240" w:lineRule="auto"/>
        <w:ind w:firstLine="640"/>
        <w:rPr>
          <w:rFonts w:hint="eastAsia" w:ascii="仿宋_GB2312" w:hAnsi="仿宋_GB2312" w:eastAsia="仿宋_GB2312" w:cs="仿宋_GB2312"/>
          <w:color w:val="auto"/>
          <w:sz w:val="32"/>
          <w:szCs w:val="32"/>
          <w:shd w:val="clear" w:color="auto" w:fill="FFFFFF"/>
          <w:lang w:eastAsia="zh-CN"/>
        </w:rPr>
      </w:pPr>
      <w:r>
        <w:rPr>
          <w:rFonts w:hint="eastAsia" w:ascii="仿宋_GB2312" w:hAnsi="仿宋_GB2312" w:eastAsia="仿宋_GB2312" w:cs="仿宋_GB2312"/>
          <w:color w:val="auto"/>
          <w:sz w:val="32"/>
          <w:szCs w:val="32"/>
          <w:shd w:val="clear" w:color="auto" w:fill="FFFFFF"/>
          <w:lang w:eastAsia="zh-CN"/>
        </w:rPr>
        <w:drawing>
          <wp:anchor distT="0" distB="0" distL="114300" distR="114300" simplePos="0" relativeHeight="251696128" behindDoc="0" locked="0" layoutInCell="1" allowOverlap="1">
            <wp:simplePos x="0" y="0"/>
            <wp:positionH relativeFrom="column">
              <wp:posOffset>133985</wp:posOffset>
            </wp:positionH>
            <wp:positionV relativeFrom="paragraph">
              <wp:posOffset>4330700</wp:posOffset>
            </wp:positionV>
            <wp:extent cx="4909185" cy="3681730"/>
            <wp:effectExtent l="0" t="0" r="13335" b="6350"/>
            <wp:wrapTopAndBottom/>
            <wp:docPr id="4" name="图片 4" descr="好来化工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好来化工1"/>
                    <pic:cNvPicPr>
                      <a:picLocks noChangeAspect="1"/>
                    </pic:cNvPicPr>
                  </pic:nvPicPr>
                  <pic:blipFill>
                    <a:blip r:embed="rId29"/>
                    <a:stretch>
                      <a:fillRect/>
                    </a:stretch>
                  </pic:blipFill>
                  <pic:spPr>
                    <a:xfrm>
                      <a:off x="0" y="0"/>
                      <a:ext cx="4909185" cy="3681730"/>
                    </a:xfrm>
                    <a:prstGeom prst="rect">
                      <a:avLst/>
                    </a:prstGeom>
                  </pic:spPr>
                </pic:pic>
              </a:graphicData>
            </a:graphic>
          </wp:anchor>
        </w:drawing>
      </w:r>
    </w:p>
    <w:p w14:paraId="0C3902F3">
      <w:pPr>
        <w:snapToGrid w:val="0"/>
        <w:spacing w:line="240" w:lineRule="auto"/>
        <w:ind w:firstLine="640"/>
        <w:rPr>
          <w:rFonts w:hint="eastAsia" w:ascii="仿宋_GB2312" w:hAnsi="仿宋_GB2312" w:eastAsia="仿宋_GB2312" w:cs="仿宋_GB2312"/>
          <w:color w:val="auto"/>
          <w:sz w:val="32"/>
          <w:szCs w:val="32"/>
          <w:shd w:val="clear" w:color="auto" w:fill="FFFFFF"/>
          <w:lang w:eastAsia="zh-CN"/>
        </w:rPr>
      </w:pPr>
    </w:p>
    <w:p w14:paraId="6333FEF6">
      <w:pPr>
        <w:snapToGrid w:val="0"/>
        <w:spacing w:line="240" w:lineRule="auto"/>
        <w:ind w:firstLine="640"/>
        <w:rPr>
          <w:rFonts w:hint="eastAsia" w:ascii="仿宋_GB2312" w:hAnsi="仿宋_GB2312" w:eastAsia="仿宋_GB2312" w:cs="仿宋_GB2312"/>
          <w:color w:val="auto"/>
          <w:sz w:val="32"/>
          <w:szCs w:val="32"/>
          <w:shd w:val="clear" w:color="auto" w:fill="FFFFFF"/>
          <w:lang w:eastAsia="zh-CN"/>
        </w:rPr>
      </w:pPr>
      <w:r>
        <w:rPr>
          <w:rFonts w:hint="eastAsia" w:ascii="仿宋_GB2312" w:hAnsi="仿宋_GB2312" w:eastAsia="仿宋_GB2312" w:cs="仿宋_GB2312"/>
          <w:color w:val="auto"/>
          <w:sz w:val="32"/>
          <w:szCs w:val="32"/>
          <w:shd w:val="clear" w:color="auto" w:fill="FFFFFF"/>
          <w:lang w:eastAsia="zh-CN"/>
        </w:rPr>
        <w:drawing>
          <wp:anchor distT="0" distB="0" distL="114300" distR="114300" simplePos="0" relativeHeight="251695104" behindDoc="0" locked="0" layoutInCell="1" allowOverlap="1">
            <wp:simplePos x="0" y="0"/>
            <wp:positionH relativeFrom="column">
              <wp:posOffset>202565</wp:posOffset>
            </wp:positionH>
            <wp:positionV relativeFrom="paragraph">
              <wp:posOffset>-4511040</wp:posOffset>
            </wp:positionV>
            <wp:extent cx="5046980" cy="3785235"/>
            <wp:effectExtent l="0" t="0" r="12700" b="9525"/>
            <wp:wrapTopAndBottom/>
            <wp:docPr id="3" name="图片 3" descr="好来化工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好来化工2"/>
                    <pic:cNvPicPr>
                      <a:picLocks noChangeAspect="1"/>
                    </pic:cNvPicPr>
                  </pic:nvPicPr>
                  <pic:blipFill>
                    <a:blip r:embed="rId30"/>
                    <a:stretch>
                      <a:fillRect/>
                    </a:stretch>
                  </pic:blipFill>
                  <pic:spPr>
                    <a:xfrm>
                      <a:off x="0" y="0"/>
                      <a:ext cx="5046980" cy="3785235"/>
                    </a:xfrm>
                    <a:prstGeom prst="rect">
                      <a:avLst/>
                    </a:prstGeom>
                  </pic:spPr>
                </pic:pic>
              </a:graphicData>
            </a:graphic>
          </wp:anchor>
        </w:drawing>
      </w:r>
    </w:p>
    <w:p w14:paraId="49081B3A">
      <w:pPr>
        <w:spacing w:after="120"/>
        <w:jc w:val="left"/>
        <w:rPr>
          <w:rFonts w:ascii="楷体" w:hAnsi="楷体" w:eastAsia="楷体"/>
          <w:color w:val="auto"/>
        </w:rPr>
      </w:pPr>
    </w:p>
    <w:p w14:paraId="5CA1D5D6">
      <w:pPr>
        <w:pStyle w:val="12"/>
        <w:pageBreakBefore/>
        <w:rPr>
          <w:color w:val="auto"/>
        </w:rPr>
      </w:pPr>
      <w:bookmarkStart w:id="11" w:name="_Toc10849"/>
      <w:r>
        <w:rPr>
          <w:color w:val="auto"/>
        </w:rPr>
        <w:t>案例 11　威力微波炉全链路智能工厂</w:t>
      </w:r>
      <w:bookmarkEnd w:id="11"/>
    </w:p>
    <w:p w14:paraId="1ABC552A">
      <w:pPr>
        <w:spacing w:after="40"/>
        <w:jc w:val="left"/>
        <w:rPr>
          <w:rFonts w:ascii="方正小标宋简体" w:hAnsi="方正小标宋简体" w:eastAsia="方正小标宋简体" w:cs="方正小标宋简体"/>
          <w:color w:val="auto"/>
          <w:sz w:val="44"/>
          <w:szCs w:val="44"/>
          <w:shd w:val="clear" w:color="auto" w:fill="FFFFFF"/>
        </w:rPr>
      </w:pPr>
      <w:r>
        <w:rPr>
          <w:rFonts w:ascii="楷体" w:hAnsi="楷体" w:eastAsia="楷体"/>
          <w:color w:val="auto"/>
          <w:sz w:val="22"/>
        </w:rPr>
        <w:t>申报单位：广东威力电器有限公司</w:t>
      </w:r>
    </w:p>
    <w:p w14:paraId="77AC9B85">
      <w:pPr>
        <w:snapToGrid w:val="0"/>
        <w:spacing w:line="560" w:lineRule="exact"/>
        <w:rPr>
          <w:rFonts w:hint="eastAsia" w:ascii="仿宋_GB2312" w:hAnsi="仿宋_GB2312" w:eastAsia="仿宋_GB2312" w:cs="仿宋_GB2312"/>
          <w:color w:val="auto"/>
          <w:sz w:val="32"/>
          <w:szCs w:val="32"/>
          <w:shd w:val="clear" w:color="auto" w:fill="FFFFFF"/>
        </w:rPr>
      </w:pPr>
    </w:p>
    <w:p w14:paraId="05FC5EC4">
      <w:pPr>
        <w:snapToGrid w:val="0"/>
        <w:spacing w:line="560" w:lineRule="exact"/>
        <w:ind w:firstLine="640"/>
        <w:rPr>
          <w:rFonts w:hint="eastAsia" w:ascii="黑体" w:hAnsi="黑体" w:eastAsia="黑体" w:cs="黑体"/>
          <w:color w:val="auto"/>
          <w:sz w:val="32"/>
          <w:szCs w:val="32"/>
          <w:shd w:val="clear" w:color="auto" w:fill="FFFFFF"/>
        </w:rPr>
      </w:pPr>
      <w:r>
        <w:rPr>
          <w:rFonts w:hint="eastAsia" w:ascii="黑体" w:hAnsi="黑体" w:eastAsia="黑体" w:cs="黑体"/>
          <w:color w:val="auto"/>
          <w:sz w:val="32"/>
          <w:szCs w:val="32"/>
          <w:shd w:val="clear" w:color="auto" w:fill="FFFFFF"/>
        </w:rPr>
        <w:t>一、案例基本情况</w:t>
      </w:r>
    </w:p>
    <w:p w14:paraId="6A82FD41">
      <w:pPr>
        <w:snapToGrid w:val="0"/>
        <w:spacing w:line="560" w:lineRule="exact"/>
        <w:ind w:firstLine="640"/>
        <w:rPr>
          <w:rFonts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（一）案例名称：威力微波炉全链路智能工厂。</w:t>
      </w:r>
    </w:p>
    <w:p w14:paraId="7B9D04FD">
      <w:pPr>
        <w:snapToGrid w:val="0"/>
        <w:spacing w:line="560" w:lineRule="exact"/>
        <w:ind w:firstLine="640" w:firstLineChars="200"/>
        <w:rPr>
          <w:rFonts w:hint="eastAsia" w:ascii="仿宋_GB2312" w:hAnsi="仿宋_GB2312" w:eastAsia="仿宋_GB2312" w:cs="仿宋_GB2312"/>
          <w:b w:val="0"/>
          <w:bCs w:val="0"/>
          <w:color w:val="auto"/>
          <w:sz w:val="32"/>
          <w:szCs w:val="32"/>
          <w:shd w:val="clear" w:color="auto" w:fill="FFFFFF"/>
        </w:rPr>
      </w:pPr>
      <w:r>
        <w:rPr>
          <w:rFonts w:hint="eastAsia" w:ascii="仿宋_GB2312" w:hAnsi="仿宋_GB2312" w:eastAsia="仿宋_GB2312" w:cs="仿宋_GB2312"/>
          <w:b w:val="0"/>
          <w:bCs w:val="0"/>
          <w:color w:val="auto"/>
          <w:sz w:val="32"/>
          <w:szCs w:val="32"/>
          <w:shd w:val="clear" w:color="auto" w:fill="FFFFFF"/>
        </w:rPr>
        <w:t>（二）人工智能技术应用方：广东威力电器有限公司。</w:t>
      </w:r>
    </w:p>
    <w:p w14:paraId="1B58BA18">
      <w:pPr>
        <w:snapToGrid w:val="0"/>
        <w:spacing w:line="560" w:lineRule="exact"/>
        <w:ind w:firstLine="640"/>
        <w:rPr>
          <w:rFonts w:hint="eastAsia" w:ascii="仿宋_GB2312" w:hAnsi="仿宋_GB2312" w:eastAsia="仿宋_GB2312" w:cs="仿宋_GB2312"/>
          <w:b w:val="0"/>
          <w:bCs w:val="0"/>
          <w:color w:val="auto"/>
          <w:sz w:val="32"/>
          <w:szCs w:val="32"/>
          <w:shd w:val="clear" w:color="auto" w:fill="FFFFFF"/>
        </w:rPr>
      </w:pPr>
      <w:r>
        <w:rPr>
          <w:rFonts w:hint="eastAsia" w:ascii="仿宋_GB2312" w:hAnsi="仿宋_GB2312" w:eastAsia="仿宋_GB2312" w:cs="仿宋_GB2312"/>
          <w:b w:val="0"/>
          <w:bCs w:val="0"/>
          <w:color w:val="auto"/>
          <w:sz w:val="32"/>
          <w:szCs w:val="32"/>
          <w:shd w:val="clear" w:color="auto" w:fill="FFFFFF"/>
        </w:rPr>
        <w:t>应用企业简介：广东威力电器有限公司成立于2005年，总部位于广东省中山市阜沙镇阜沙工业园，是中国家电制造业的奠基者之一国家级高新技术企业和名优高新技术产品企业。公司因成功研制中国第一台拥有完全自主知识产权的单缸洗衣机而载入行业发展史册，曾荣获“中国洗衣机大王”称号，并先后获得“国家一级企业”“国家全面质量管理奖”等重量级荣誉，奠定了其在中国家电领域的先驱地位。</w:t>
      </w:r>
    </w:p>
    <w:p w14:paraId="719F9109">
      <w:pPr>
        <w:snapToGrid w:val="0"/>
        <w:spacing w:line="560" w:lineRule="exact"/>
        <w:ind w:firstLine="640"/>
        <w:rPr>
          <w:rFonts w:ascii="仿宋_GB2312" w:hAnsi="仿宋_GB2312" w:eastAsia="仿宋_GB2312" w:cs="仿宋_GB2312"/>
          <w:b w:val="0"/>
          <w:bCs w:val="0"/>
          <w:color w:val="auto"/>
          <w:sz w:val="32"/>
          <w:szCs w:val="32"/>
          <w:shd w:val="clear" w:color="auto" w:fill="FFFFFF"/>
        </w:rPr>
      </w:pPr>
      <w:r>
        <w:rPr>
          <w:rFonts w:hint="eastAsia" w:ascii="仿宋_GB2312" w:hAnsi="仿宋_GB2312" w:eastAsia="仿宋_GB2312" w:cs="仿宋_GB2312"/>
          <w:b w:val="0"/>
          <w:bCs w:val="0"/>
          <w:color w:val="auto"/>
          <w:sz w:val="32"/>
          <w:szCs w:val="32"/>
          <w:shd w:val="clear" w:color="auto" w:fill="FFFFFF"/>
        </w:rPr>
        <w:t>经过四十多年的发展与积淀，威力电器已从最初单一的洗衣机生产厂，成长为集研发、制造、销售于一体的大型综合性智能家电企业集团。公司主营业务覆盖大家电与小家电两大板块，产品体系日益丰富多元，包括波轮洗衣机、滚筒洗衣机、微波炉、电烤箱、制冰机、冰淇淋机、啤酒机、智能米柜、保温箱、烟熏炉、车载冰箱等数十个品类。其中，洗衣机年产能达300万台，微波炉年产能高达800万台，微波炉产销量长期稳居全国前三，是行业内具有重要影响力的核心制造商之一。</w:t>
      </w:r>
    </w:p>
    <w:p w14:paraId="701159D0">
      <w:pPr>
        <w:snapToGrid w:val="0"/>
        <w:spacing w:line="560" w:lineRule="exact"/>
        <w:rPr>
          <w:rFonts w:hint="eastAsia" w:ascii="黑体" w:hAnsi="黑体" w:eastAsia="黑体" w:cs="黑体"/>
          <w:b w:val="0"/>
          <w:bCs w:val="0"/>
          <w:color w:val="auto"/>
          <w:sz w:val="32"/>
          <w:szCs w:val="32"/>
          <w:shd w:val="clear" w:color="auto" w:fill="FFFFFF"/>
        </w:rPr>
      </w:pPr>
    </w:p>
    <w:p w14:paraId="489EF001">
      <w:pPr>
        <w:snapToGrid w:val="0"/>
        <w:spacing w:line="560" w:lineRule="exact"/>
        <w:ind w:firstLine="640"/>
        <w:rPr>
          <w:rFonts w:hint="eastAsia" w:ascii="黑体" w:hAnsi="黑体" w:eastAsia="黑体" w:cs="黑体"/>
          <w:color w:val="auto"/>
          <w:sz w:val="32"/>
          <w:szCs w:val="32"/>
          <w:shd w:val="clear" w:color="auto" w:fill="FFFFFF"/>
        </w:rPr>
      </w:pPr>
      <w:r>
        <w:rPr>
          <w:rFonts w:hint="eastAsia" w:ascii="黑体" w:hAnsi="黑体" w:eastAsia="黑体" w:cs="黑体"/>
          <w:color w:val="auto"/>
          <w:sz w:val="32"/>
          <w:szCs w:val="32"/>
          <w:shd w:val="clear" w:color="auto" w:fill="FFFFFF"/>
        </w:rPr>
        <w:t>二、案例内容介绍</w:t>
      </w:r>
    </w:p>
    <w:p w14:paraId="473AEAF9">
      <w:pPr>
        <w:snapToGrid w:val="0"/>
        <w:spacing w:line="560" w:lineRule="exact"/>
        <w:ind w:firstLine="640"/>
        <w:rPr>
          <w:rFonts w:hint="eastAsia" w:ascii="楷体_GB2312" w:hAnsi="楷体_GB2312" w:eastAsia="楷体_GB2312" w:cs="楷体_GB2312"/>
          <w:color w:val="auto"/>
          <w:sz w:val="32"/>
          <w:szCs w:val="32"/>
          <w:shd w:val="clear" w:color="auto" w:fill="FFFFFF"/>
        </w:rPr>
      </w:pPr>
      <w:r>
        <w:rPr>
          <w:rFonts w:hint="eastAsia" w:ascii="楷体_GB2312" w:hAnsi="楷体_GB2312" w:eastAsia="楷体_GB2312" w:cs="楷体_GB2312"/>
          <w:color w:val="auto"/>
          <w:sz w:val="32"/>
          <w:szCs w:val="32"/>
          <w:shd w:val="clear" w:color="auto" w:fill="FFFFFF"/>
        </w:rPr>
        <w:t>（一）包括案例背景、采用的人工智能关键技术、所实现的功能和亮点优势</w:t>
      </w:r>
    </w:p>
    <w:p w14:paraId="5CB07058">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广东威力电器有限公司“威力微波炉全链路智能工厂”项目，立足企业二十余年微波炉制造经验，系统推进数字化、网络化、智能化转型升级，目前已建成覆盖研发、采购、生产、仓储、销售与服务全链条的智能协同体系，形成可运行、可量化、可复制的智能制造实践成果。</w:t>
      </w:r>
    </w:p>
    <w:p w14:paraId="2DFAC434">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在生产制造环节，公司以微波炉装配示范车间为载体，全面应用智能装备与自动化技术。已部署机器人全自动码垛系统、机器人自动打螺钉与点胶设备、AI视觉智能检测系统、自动上料装配单元等先进装置，关键工序自动化率超过90%。同时，全面推行E-SOP电子作业指导书系统，实现工艺标准无线下发、版本受控、实时更新；对注塑机、装配线等450余台核心设备完成IoT联网改造，实时采集运行状态、能耗、OEE等关键数据，支撑设备健康管理与生产调度优化。</w:t>
      </w:r>
    </w:p>
    <w:p w14:paraId="1211113D">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在工业网络与系统基础设施运维中引入AI视觉检测技术，部署于数据中心及核心机房。通过高清摄像头与边缘 AI 盒子，对服务器运行状态指示灯、UPS 仪表读数、环境温湿度标签等进行实时图像识别，自动判断设备告警、参数超限或物理安全隐患；同时结合人脸识别与行为分析，实现无感身份核验与违规操作预警。该技术替代人工巡检，巡检频次由每日2次提升至实时，异常识别准确率达98%，显著提升基础设施可用性与安全防护水平。</w:t>
      </w:r>
    </w:p>
    <w:p w14:paraId="6411D83C">
      <w:pPr>
        <w:snapToGrid w:val="0"/>
        <w:spacing w:line="560" w:lineRule="exact"/>
        <w:ind w:firstLine="640"/>
        <w:rPr>
          <w:rFonts w:hint="eastAsia" w:ascii="楷体_GB2312" w:hAnsi="楷体_GB2312" w:eastAsia="楷体_GB2312" w:cs="楷体_GB2312"/>
          <w:color w:val="auto"/>
          <w:sz w:val="32"/>
          <w:szCs w:val="32"/>
          <w:shd w:val="clear" w:color="auto" w:fill="FFFFFF"/>
        </w:rPr>
      </w:pPr>
      <w:r>
        <w:rPr>
          <w:rFonts w:hint="eastAsia" w:ascii="楷体_GB2312" w:hAnsi="楷体_GB2312" w:eastAsia="楷体_GB2312" w:cs="楷体_GB2312"/>
          <w:color w:val="auto"/>
          <w:sz w:val="32"/>
          <w:szCs w:val="32"/>
          <w:shd w:val="clear" w:color="auto" w:fill="FFFFFF"/>
        </w:rPr>
        <w:t>（二）具体应用成效。</w:t>
      </w:r>
    </w:p>
    <w:p w14:paraId="62DCA459">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项目整体实施成效显著，示范车间人均产出提升21%，产品不良率降低30%，单位产品综合能耗下降16%（其中空压机系统能效优化贡献突出），库存周转天数由42天优化至31天。管理层可通过统一BI可视化平台，实时掌握订单履约、产能负荷、质量趋势、能源消耗等关键经营指标，实现高效、科学决策。</w:t>
      </w:r>
    </w:p>
    <w:p w14:paraId="0F5D7AFA">
      <w:pPr>
        <w:snapToGrid w:val="0"/>
        <w:spacing w:line="560" w:lineRule="exact"/>
        <w:ind w:firstLine="640"/>
        <w:rPr>
          <w:rFonts w:hint="eastAsia" w:ascii="黑体" w:hAnsi="黑体" w:eastAsia="黑体" w:cs="黑体"/>
          <w:color w:val="auto"/>
          <w:sz w:val="32"/>
          <w:szCs w:val="32"/>
          <w:shd w:val="clear" w:color="auto" w:fill="FFFFFF"/>
        </w:rPr>
      </w:pPr>
      <w:r>
        <w:rPr>
          <w:rFonts w:hint="eastAsia" w:ascii="黑体" w:hAnsi="黑体" w:eastAsia="黑体" w:cs="黑体"/>
          <w:color w:val="auto"/>
          <w:sz w:val="32"/>
          <w:szCs w:val="32"/>
          <w:shd w:val="clear" w:color="auto" w:fill="FFFFFF"/>
        </w:rPr>
        <w:t>三、案例所获得荣誉、复制推广情况等</w:t>
      </w:r>
    </w:p>
    <w:p w14:paraId="78BE6BB5">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该项目案例获得2026年广东省先进级智能工厂，企业业务协同效率大幅提升，系统间数据自动流转率超 95%，人工干预环节减少 80%，订单到排产响应时间缩短 40%；管理透明度增强，管理层可通过 BI 平台实时监控 OEE、库存周转、单位能耗等 200 余项指标，决策响应速度提升 60%；系统全年可用性达 99.5%以上，未发生重大网络安全事件；该数字底座为 AI 质检、智能排产、能效优化等上层智能应用提供高质量数据支撑，间接推动生产效率提升 21%、运营成本降低 25%；其集成模式与安全架构已作为标准模板向1家核心供应商输出，具备在中小家电制造企业复制推广的实用价值和示范意义。</w:t>
      </w:r>
    </w:p>
    <w:p w14:paraId="0C7C896B">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b/>
          <w:bCs/>
          <w:color w:val="auto"/>
          <w:sz w:val="32"/>
          <w:szCs w:val="32"/>
          <w:shd w:val="clear" w:color="auto" w:fill="FFFFFF"/>
        </w:rPr>
        <w:pict>
          <v:shape id="_x0000_s1037" o:spid="_x0000_s1037" o:spt="75" alt="1b4ffd95-cda9-4c55-9cb1-049c31a4541a" type="#_x0000_t75" style="position:absolute;left:0pt;margin-left:5.1pt;margin-top:-14.85pt;height:262.05pt;width:414.9pt;mso-wrap-distance-bottom:0pt;mso-wrap-distance-top:0pt;z-index:251666432;mso-width-relative:page;mso-height-relative:page;" filled="f" o:preferrelative="t" stroked="f" coordsize="21600,21600">
            <v:path/>
            <v:fill on="f" focussize="0,0"/>
            <v:stroke on="f" joinstyle="miter"/>
            <v:imagedata r:id="rId31" o:title="1b4ffd95-cda9-4c55-9cb1-049c31a4541a"/>
            <o:lock v:ext="edit" aspectratio="t"/>
            <w10:wrap type="topAndBottom"/>
          </v:shape>
        </w:pict>
      </w:r>
    </w:p>
    <w:p w14:paraId="67691F63">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pict>
          <v:shape id="_x0000_s1036" o:spid="_x0000_s1036" o:spt="75" alt="6a0b4e9b542bd3d04e6c3c06a5de5471" type="#_x0000_t75" style="position:absolute;left:0pt;margin-left:3.1pt;margin-top:6.05pt;height:233.2pt;width:414.95pt;mso-wrap-distance-bottom:0pt;mso-wrap-distance-top:0pt;z-index:251665408;mso-width-relative:page;mso-height-relative:page;" filled="f" o:preferrelative="t" stroked="f" coordsize="21600,21600">
            <v:path/>
            <v:fill on="f" focussize="0,0"/>
            <v:stroke on="f" joinstyle="miter"/>
            <v:imagedata r:id="rId32" o:title="6a0b4e9b542bd3d04e6c3c06a5de5471"/>
            <o:lock v:ext="edit" aspectratio="t"/>
            <w10:wrap type="topAndBottom"/>
          </v:shape>
        </w:pict>
      </w:r>
    </w:p>
    <w:p w14:paraId="15B74938">
      <w:pPr>
        <w:snapToGrid w:val="0"/>
        <w:spacing w:line="560" w:lineRule="exact"/>
        <w:ind w:firstLine="640"/>
        <w:rPr>
          <w:rFonts w:ascii="仿宋_GB2312" w:hAnsi="仿宋_GB2312" w:eastAsia="仿宋_GB2312" w:cs="仿宋_GB2312"/>
          <w:b/>
          <w:bCs/>
          <w:color w:val="auto"/>
          <w:sz w:val="32"/>
          <w:szCs w:val="32"/>
          <w:shd w:val="clear" w:color="auto" w:fill="FFFFFF"/>
        </w:rPr>
      </w:pPr>
    </w:p>
    <w:p w14:paraId="3A8FC094">
      <w:pPr>
        <w:spacing w:after="40"/>
        <w:jc w:val="left"/>
        <w:rPr>
          <w:rFonts w:ascii="楷体" w:hAnsi="楷体" w:eastAsia="楷体"/>
          <w:color w:val="auto"/>
          <w:sz w:val="22"/>
        </w:rPr>
      </w:pPr>
    </w:p>
    <w:p w14:paraId="75E0478D">
      <w:pPr>
        <w:pStyle w:val="12"/>
        <w:pageBreakBefore/>
        <w:rPr>
          <w:rFonts w:hint="eastAsia" w:eastAsia="黑体"/>
          <w:color w:val="auto"/>
          <w:lang w:val="en-US" w:eastAsia="zh-CN"/>
        </w:rPr>
      </w:pPr>
      <w:bookmarkStart w:id="12" w:name="_Toc28685"/>
      <w:r>
        <w:rPr>
          <w:color w:val="auto"/>
        </w:rPr>
        <w:t>案例 12　自适应机器人FPC柔性插装</w:t>
      </w:r>
      <w:r>
        <w:rPr>
          <w:rFonts w:hint="eastAsia"/>
          <w:color w:val="auto"/>
          <w:lang w:val="en-US" w:eastAsia="zh-CN"/>
        </w:rPr>
        <w:t>应用案例</w:t>
      </w:r>
      <w:bookmarkEnd w:id="12"/>
    </w:p>
    <w:p w14:paraId="65DB9386">
      <w:pPr>
        <w:spacing w:after="40"/>
        <w:jc w:val="left"/>
        <w:rPr>
          <w:rFonts w:ascii="Times New Roman" w:hAnsi="Times New Roman" w:eastAsia="方正小标宋简体" w:cs="Times New Roman"/>
          <w:color w:val="auto"/>
          <w:sz w:val="44"/>
          <w:szCs w:val="44"/>
          <w:shd w:val="clear" w:color="auto" w:fill="FFFFFF"/>
        </w:rPr>
      </w:pPr>
      <w:r>
        <w:rPr>
          <w:rFonts w:ascii="楷体" w:hAnsi="楷体" w:eastAsia="楷体"/>
          <w:color w:val="auto"/>
          <w:sz w:val="22"/>
        </w:rPr>
        <w:t>申报单位：中山非夕机器人科技有限公司</w:t>
      </w:r>
    </w:p>
    <w:p w14:paraId="2B23DFF3">
      <w:pPr>
        <w:snapToGrid w:val="0"/>
        <w:spacing w:line="560" w:lineRule="exact"/>
        <w:rPr>
          <w:rFonts w:ascii="Times New Roman" w:hAnsi="Times New Roman" w:eastAsia="仿宋_GB2312" w:cs="Times New Roman"/>
          <w:color w:val="auto"/>
          <w:sz w:val="32"/>
          <w:szCs w:val="32"/>
          <w:shd w:val="clear" w:color="auto" w:fill="FFFFFF"/>
        </w:rPr>
      </w:pPr>
    </w:p>
    <w:p w14:paraId="67C00675">
      <w:pPr>
        <w:snapToGrid w:val="0"/>
        <w:spacing w:line="560" w:lineRule="exact"/>
        <w:ind w:firstLine="640"/>
        <w:rPr>
          <w:rFonts w:ascii="Times New Roman" w:hAnsi="Times New Roman" w:eastAsia="黑体" w:cs="Times New Roman"/>
          <w:color w:val="auto"/>
          <w:sz w:val="32"/>
          <w:szCs w:val="32"/>
          <w:shd w:val="clear" w:color="auto" w:fill="FFFFFF"/>
        </w:rPr>
      </w:pPr>
      <w:r>
        <w:rPr>
          <w:rFonts w:ascii="Times New Roman" w:hAnsi="Times New Roman" w:eastAsia="黑体" w:cs="Times New Roman"/>
          <w:color w:val="auto"/>
          <w:sz w:val="32"/>
          <w:szCs w:val="32"/>
          <w:shd w:val="clear" w:color="auto" w:fill="FFFFFF"/>
        </w:rPr>
        <w:t>一、案例基本情况</w:t>
      </w:r>
    </w:p>
    <w:p w14:paraId="76DF3B31">
      <w:pPr>
        <w:snapToGrid w:val="0"/>
        <w:spacing w:line="560" w:lineRule="exact"/>
        <w:ind w:firstLine="640"/>
        <w:rPr>
          <w:rFonts w:ascii="Times New Roman" w:hAnsi="Times New Roman" w:eastAsia="仿宋_GB2312" w:cs="Times New Roman"/>
          <w:color w:val="auto"/>
          <w:sz w:val="32"/>
          <w:szCs w:val="32"/>
          <w:shd w:val="clear" w:color="auto" w:fill="FFFFFF"/>
        </w:rPr>
      </w:pPr>
      <w:r>
        <w:rPr>
          <w:rFonts w:ascii="Times New Roman" w:hAnsi="Times New Roman" w:eastAsia="仿宋_GB2312" w:cs="Times New Roman"/>
          <w:color w:val="auto"/>
          <w:sz w:val="32"/>
          <w:szCs w:val="32"/>
          <w:shd w:val="clear" w:color="auto" w:fill="FFFFFF"/>
        </w:rPr>
        <w:t>（一）案例名称：自适应机器人FPC柔性插装。</w:t>
      </w:r>
    </w:p>
    <w:p w14:paraId="3C116E7F">
      <w:pPr>
        <w:snapToGrid w:val="0"/>
        <w:spacing w:line="560" w:lineRule="exact"/>
        <w:ind w:firstLine="640" w:firstLineChars="200"/>
        <w:rPr>
          <w:rFonts w:ascii="Times New Roman" w:hAnsi="Times New Roman" w:eastAsia="仿宋_GB2312" w:cs="Times New Roman"/>
          <w:color w:val="auto"/>
          <w:sz w:val="32"/>
          <w:szCs w:val="32"/>
          <w:shd w:val="clear" w:color="auto" w:fill="FFFFFF"/>
        </w:rPr>
      </w:pPr>
      <w:r>
        <w:rPr>
          <w:rFonts w:ascii="Times New Roman" w:hAnsi="Times New Roman" w:eastAsia="仿宋_GB2312" w:cs="Times New Roman"/>
          <w:color w:val="auto"/>
          <w:sz w:val="32"/>
          <w:szCs w:val="32"/>
          <w:shd w:val="clear" w:color="auto" w:fill="FFFFFF"/>
        </w:rPr>
        <w:t>（二）人工智能技术应用方：中山非夕机器人科技有限公司。</w:t>
      </w:r>
    </w:p>
    <w:p w14:paraId="3918FEEB">
      <w:pPr>
        <w:snapToGrid w:val="0"/>
        <w:spacing w:line="560" w:lineRule="exact"/>
        <w:ind w:firstLine="640"/>
        <w:rPr>
          <w:rFonts w:ascii="Times New Roman" w:hAnsi="Times New Roman" w:eastAsia="仿宋_GB2312" w:cs="Times New Roman"/>
          <w:color w:val="auto"/>
          <w:sz w:val="32"/>
          <w:szCs w:val="32"/>
          <w:shd w:val="clear" w:color="auto" w:fill="FFFFFF"/>
        </w:rPr>
      </w:pPr>
      <w:r>
        <w:rPr>
          <w:rFonts w:ascii="Times New Roman" w:hAnsi="Times New Roman" w:eastAsia="仿宋_GB2312" w:cs="Times New Roman"/>
          <w:b/>
          <w:bCs/>
          <w:color w:val="auto"/>
          <w:sz w:val="32"/>
          <w:szCs w:val="32"/>
          <w:shd w:val="clear" w:color="auto" w:fill="FFFFFF"/>
        </w:rPr>
        <w:t>应用企业简介：</w:t>
      </w:r>
    </w:p>
    <w:p w14:paraId="64114504">
      <w:pPr>
        <w:snapToGrid w:val="0"/>
        <w:spacing w:line="560" w:lineRule="exact"/>
        <w:ind w:firstLine="640"/>
        <w:rPr>
          <w:rFonts w:ascii="Times New Roman" w:hAnsi="Times New Roman" w:eastAsia="仿宋_GB2312" w:cs="Times New Roman"/>
          <w:color w:val="auto"/>
          <w:sz w:val="32"/>
          <w:szCs w:val="32"/>
          <w:shd w:val="clear" w:color="auto" w:fill="FFFFFF"/>
        </w:rPr>
      </w:pPr>
      <w:r>
        <w:rPr>
          <w:rFonts w:ascii="Times New Roman" w:hAnsi="Times New Roman" w:eastAsia="仿宋_GB2312" w:cs="Times New Roman"/>
          <w:color w:val="auto"/>
          <w:sz w:val="32"/>
          <w:szCs w:val="32"/>
          <w:shd w:val="clear" w:color="auto" w:fill="FFFFFF"/>
        </w:rPr>
        <w:t>非夕科技致力于研发、生产具备仿人化能力的自适应机器人产品，为不同行业的客户提供基于自适应机器人系统的整体、创新性的解决方案和服务。核心创始团队来自斯坦福大学机器人和人工智能实验室。公司自创立之初便瞄准真正的“具身智能”物理载体，致力于“从 0 到 1”的底层原创式创新。历经十年深耕，非夕已成长为通用智能机器人领域的“独角兽”企业。</w:t>
      </w:r>
    </w:p>
    <w:p w14:paraId="35E95760">
      <w:pPr>
        <w:snapToGrid w:val="0"/>
        <w:spacing w:line="560" w:lineRule="exact"/>
        <w:ind w:firstLine="640"/>
        <w:rPr>
          <w:rFonts w:ascii="Times New Roman" w:hAnsi="Times New Roman" w:eastAsia="黑体" w:cs="Times New Roman"/>
          <w:color w:val="auto"/>
          <w:sz w:val="32"/>
          <w:szCs w:val="32"/>
          <w:shd w:val="clear" w:color="auto" w:fill="FFFFFF"/>
        </w:rPr>
      </w:pPr>
      <w:r>
        <w:rPr>
          <w:rFonts w:ascii="Times New Roman" w:hAnsi="Times New Roman" w:eastAsia="仿宋_GB2312" w:cs="Times New Roman"/>
          <w:color w:val="auto"/>
          <w:sz w:val="32"/>
          <w:szCs w:val="32"/>
          <w:shd w:val="clear" w:color="auto" w:fill="FFFFFF"/>
        </w:rPr>
        <w:t>非夕核心技术突破在于聚焦仿人化能力，赋予机器人如同人类一般的“手感”与“手眼协调”能力，而非传统工业机器人依赖的“位置控制”或人形机器人追求的外形仿生。目前，自适应机器人已广泛应用于前沿创新、移动出行、电子及电气设备、生物医药、食品及快消品、一般工业以及商业服务等行业，有效解决了传统机器人难以完成、人工操作较为辛苦的柔性操作难题。</w:t>
      </w:r>
    </w:p>
    <w:p w14:paraId="66130BED">
      <w:pPr>
        <w:snapToGrid w:val="0"/>
        <w:spacing w:line="560" w:lineRule="exact"/>
        <w:ind w:firstLine="640"/>
        <w:rPr>
          <w:rFonts w:ascii="Times New Roman" w:hAnsi="Times New Roman" w:eastAsia="黑体" w:cs="Times New Roman"/>
          <w:color w:val="auto"/>
          <w:sz w:val="32"/>
          <w:szCs w:val="32"/>
          <w:shd w:val="clear" w:color="auto" w:fill="FFFFFF"/>
        </w:rPr>
      </w:pPr>
      <w:r>
        <w:rPr>
          <w:rFonts w:ascii="Times New Roman" w:hAnsi="Times New Roman" w:eastAsia="黑体" w:cs="Times New Roman"/>
          <w:color w:val="auto"/>
          <w:sz w:val="32"/>
          <w:szCs w:val="32"/>
          <w:shd w:val="clear" w:color="auto" w:fill="FFFFFF"/>
        </w:rPr>
        <w:t>二、案例内容介绍</w:t>
      </w:r>
    </w:p>
    <w:p w14:paraId="56016C8B">
      <w:pPr>
        <w:snapToGrid w:val="0"/>
        <w:spacing w:line="560" w:lineRule="exact"/>
        <w:ind w:firstLine="640"/>
        <w:rPr>
          <w:rFonts w:ascii="Times New Roman" w:hAnsi="Times New Roman" w:eastAsia="楷体_GB2312" w:cs="Times New Roman"/>
          <w:color w:val="auto"/>
          <w:sz w:val="32"/>
          <w:szCs w:val="32"/>
          <w:shd w:val="clear" w:color="auto" w:fill="FFFFFF"/>
        </w:rPr>
      </w:pPr>
      <w:r>
        <w:rPr>
          <w:rFonts w:ascii="Times New Roman" w:hAnsi="Times New Roman" w:eastAsia="楷体_GB2312" w:cs="Times New Roman"/>
          <w:color w:val="auto"/>
          <w:sz w:val="32"/>
          <w:szCs w:val="32"/>
          <w:shd w:val="clear" w:color="auto" w:fill="FFFFFF"/>
        </w:rPr>
        <w:t>（一）包括案例背景、采用的人工智能关键技术、所实现的功能和亮点优势</w:t>
      </w:r>
    </w:p>
    <w:p w14:paraId="66EC4260">
      <w:pPr>
        <w:snapToGrid w:val="0"/>
        <w:spacing w:line="560" w:lineRule="exact"/>
        <w:ind w:firstLine="640"/>
        <w:rPr>
          <w:rFonts w:ascii="Times New Roman" w:hAnsi="Times New Roman" w:eastAsia="仿宋_GB2312" w:cs="Times New Roman"/>
          <w:color w:val="auto"/>
          <w:sz w:val="32"/>
          <w:szCs w:val="32"/>
          <w:shd w:val="clear" w:color="auto" w:fill="FFFFFF"/>
        </w:rPr>
      </w:pPr>
      <w:r>
        <w:rPr>
          <w:rFonts w:ascii="Times New Roman" w:hAnsi="Times New Roman" w:eastAsia="仿宋_GB2312" w:cs="Times New Roman"/>
          <w:color w:val="auto"/>
          <w:sz w:val="32"/>
          <w:szCs w:val="32"/>
          <w:shd w:val="clear" w:color="auto" w:fill="FFFFFF"/>
        </w:rPr>
        <w:t>柔性线路板（简称“FPC”）是以聚酰亚胺或聚酯薄膜为基材制成的一种具有高度可靠性、绝佳可挠性的印刷电路板，与其他类别的PCB相比，FPC具有轻薄、配线密度高、可折叠弯曲、装连一致性强、成本低等</w:t>
      </w:r>
      <w:r>
        <w:rPr>
          <w:rFonts w:hint="eastAsia" w:ascii="Times New Roman" w:hAnsi="Times New Roman" w:eastAsia="仿宋_GB2312" w:cs="Times New Roman"/>
          <w:color w:val="auto"/>
          <w:sz w:val="32"/>
          <w:szCs w:val="32"/>
          <w:shd w:val="clear" w:color="auto" w:fill="FFFFFF"/>
          <w:lang w:eastAsia="zh-CN"/>
        </w:rPr>
        <w:t>优点</w:t>
      </w:r>
      <w:r>
        <w:rPr>
          <w:rFonts w:ascii="Times New Roman" w:hAnsi="Times New Roman" w:eastAsia="仿宋_GB2312" w:cs="Times New Roman"/>
          <w:color w:val="auto"/>
          <w:sz w:val="32"/>
          <w:szCs w:val="32"/>
          <w:shd w:val="clear" w:color="auto" w:fill="FFFFFF"/>
        </w:rPr>
        <w:t>，更符合下游行业电子产品智能化、便携化的发展趋势。目前，消费电子、汽车、医疗、仪器仪表等多个领域已经大量使用FPC，随着新能源汽车、VR/AR、</w:t>
      </w:r>
      <w:r>
        <w:rPr>
          <w:rFonts w:hint="eastAsia" w:ascii="Times New Roman" w:hAnsi="Times New Roman" w:eastAsia="仿宋_GB2312" w:cs="Times New Roman"/>
          <w:color w:val="auto"/>
          <w:sz w:val="32"/>
          <w:szCs w:val="32"/>
          <w:shd w:val="clear" w:color="auto" w:fill="FFFFFF"/>
          <w:lang w:eastAsia="zh-CN"/>
        </w:rPr>
        <w:t>智能家居</w:t>
      </w:r>
      <w:r>
        <w:rPr>
          <w:rFonts w:ascii="Times New Roman" w:hAnsi="Times New Roman" w:eastAsia="仿宋_GB2312" w:cs="Times New Roman"/>
          <w:color w:val="auto"/>
          <w:sz w:val="32"/>
          <w:szCs w:val="32"/>
          <w:shd w:val="clear" w:color="auto" w:fill="FFFFFF"/>
        </w:rPr>
        <w:t>等新兴行业的发展，其全球产值增速进一步加快。</w:t>
      </w:r>
    </w:p>
    <w:p w14:paraId="58C61AA6">
      <w:pPr>
        <w:snapToGrid w:val="0"/>
        <w:spacing w:line="560" w:lineRule="exact"/>
        <w:ind w:firstLine="640"/>
        <w:rPr>
          <w:rFonts w:ascii="Times New Roman" w:hAnsi="Times New Roman" w:eastAsia="仿宋_GB2312" w:cs="Times New Roman"/>
          <w:color w:val="auto"/>
          <w:sz w:val="32"/>
          <w:szCs w:val="32"/>
          <w:shd w:val="clear" w:color="auto" w:fill="FFFFFF"/>
        </w:rPr>
      </w:pPr>
      <w:r>
        <w:rPr>
          <w:rFonts w:ascii="Times New Roman" w:hAnsi="Times New Roman" w:eastAsia="仿宋_GB2312" w:cs="Times New Roman"/>
          <w:color w:val="auto"/>
          <w:sz w:val="32"/>
          <w:szCs w:val="32"/>
          <w:shd w:val="clear" w:color="auto" w:fill="FFFFFF"/>
        </w:rPr>
        <w:t>由于FPC产品定制化程度高、体积小、易形变，基于位置精度的传统自动化方案很难完成控制闭环，因此大部分FPC插装工作需要人工完成。非夕从0到1打造了以自适应机器人为基础的FPC柔性插装应用，实现了该工艺自动化的突破。</w:t>
      </w:r>
    </w:p>
    <w:p w14:paraId="75E9D2F5">
      <w:pPr>
        <w:numPr>
          <w:ilvl w:val="0"/>
          <w:numId w:val="8"/>
        </w:numPr>
        <w:snapToGrid w:val="0"/>
        <w:spacing w:line="560" w:lineRule="exact"/>
        <w:ind w:firstLine="640"/>
        <w:rPr>
          <w:rFonts w:ascii="Times New Roman" w:hAnsi="Times New Roman" w:eastAsia="楷体_GB2312" w:cs="Times New Roman"/>
          <w:color w:val="auto"/>
          <w:sz w:val="32"/>
          <w:szCs w:val="32"/>
          <w:shd w:val="clear" w:color="auto" w:fill="FFFFFF"/>
        </w:rPr>
      </w:pPr>
      <w:r>
        <w:rPr>
          <w:rFonts w:ascii="Times New Roman" w:hAnsi="Times New Roman" w:eastAsia="楷体_GB2312" w:cs="Times New Roman"/>
          <w:color w:val="auto"/>
          <w:sz w:val="32"/>
          <w:szCs w:val="32"/>
          <w:shd w:val="clear" w:color="auto" w:fill="FFFFFF"/>
        </w:rPr>
        <w:t>具体应用成效。</w:t>
      </w:r>
    </w:p>
    <w:p w14:paraId="1295ED85">
      <w:pPr>
        <w:snapToGrid w:val="0"/>
        <w:spacing w:line="560" w:lineRule="exact"/>
        <w:ind w:firstLine="640"/>
        <w:rPr>
          <w:rFonts w:ascii="Times New Roman" w:hAnsi="Times New Roman" w:eastAsia="仿宋_GB2312" w:cs="Times New Roman"/>
          <w:color w:val="auto"/>
          <w:sz w:val="32"/>
          <w:szCs w:val="32"/>
          <w:shd w:val="clear" w:color="auto" w:fill="FFFFFF"/>
        </w:rPr>
      </w:pPr>
      <w:r>
        <w:rPr>
          <w:rFonts w:hint="eastAsia" w:ascii="Times New Roman" w:hAnsi="Times New Roman" w:eastAsia="仿宋_GB2312" w:cs="Times New Roman"/>
          <w:color w:val="auto"/>
          <w:sz w:val="32"/>
          <w:szCs w:val="32"/>
          <w:shd w:val="clear" w:color="auto" w:fill="FFFFFF"/>
          <w:lang w:val="en-US" w:eastAsia="zh-CN"/>
        </w:rPr>
        <w:t>1.</w:t>
      </w:r>
      <w:r>
        <w:rPr>
          <w:rFonts w:ascii="Times New Roman" w:hAnsi="Times New Roman" w:eastAsia="仿宋_GB2312" w:cs="Times New Roman"/>
          <w:color w:val="auto"/>
          <w:sz w:val="32"/>
          <w:szCs w:val="32"/>
          <w:shd w:val="clear" w:color="auto" w:fill="FFFFFF"/>
        </w:rPr>
        <w:t>实现柔性稳定插装</w:t>
      </w:r>
    </w:p>
    <w:p w14:paraId="6066F534">
      <w:pPr>
        <w:snapToGrid w:val="0"/>
        <w:spacing w:line="560" w:lineRule="exact"/>
        <w:ind w:firstLine="640"/>
        <w:rPr>
          <w:rFonts w:ascii="Times New Roman" w:hAnsi="Times New Roman" w:eastAsia="仿宋_GB2312" w:cs="Times New Roman"/>
          <w:color w:val="auto"/>
          <w:sz w:val="32"/>
          <w:szCs w:val="32"/>
          <w:shd w:val="clear" w:color="auto" w:fill="FFFFFF"/>
        </w:rPr>
      </w:pPr>
      <w:r>
        <w:rPr>
          <w:rFonts w:ascii="Times New Roman" w:hAnsi="Times New Roman" w:eastAsia="仿宋_GB2312" w:cs="Times New Roman"/>
          <w:color w:val="auto"/>
          <w:sz w:val="32"/>
          <w:szCs w:val="32"/>
          <w:shd w:val="clear" w:color="auto" w:fill="FFFFFF"/>
        </w:rPr>
        <w:t>通过AI和视觉伺服技术对FPC进行高实时的识别和动态追踪，自适应来料状态，实现精准取料；继而依托自适应机器人的工业级力感知和力控能力，确保如人手一般柔顺、精细、高效的插装。该应用可以有效规避对FPC和其他工件的划伤，插装成功率高达99%以上。</w:t>
      </w:r>
    </w:p>
    <w:p w14:paraId="38E0B246">
      <w:pPr>
        <w:snapToGrid w:val="0"/>
        <w:spacing w:line="560" w:lineRule="exact"/>
        <w:ind w:firstLine="640"/>
        <w:rPr>
          <w:rFonts w:ascii="Times New Roman" w:hAnsi="Times New Roman" w:eastAsia="仿宋_GB2312" w:cs="Times New Roman"/>
          <w:color w:val="auto"/>
          <w:sz w:val="32"/>
          <w:szCs w:val="32"/>
          <w:shd w:val="clear" w:color="auto" w:fill="FFFFFF"/>
        </w:rPr>
      </w:pPr>
      <w:r>
        <w:rPr>
          <w:rFonts w:ascii="Times New Roman" w:hAnsi="Times New Roman" w:eastAsia="仿宋_GB2312" w:cs="Times New Roman"/>
          <w:color w:val="auto"/>
          <w:sz w:val="32"/>
          <w:szCs w:val="32"/>
          <w:shd w:val="clear" w:color="auto" w:fill="FFFFFF"/>
        </w:rPr>
        <w:t>2.保证数据可追溯</w:t>
      </w:r>
    </w:p>
    <w:p w14:paraId="210B6851">
      <w:pPr>
        <w:snapToGrid w:val="0"/>
        <w:spacing w:line="560" w:lineRule="exact"/>
        <w:ind w:firstLine="640"/>
        <w:rPr>
          <w:rFonts w:ascii="Times New Roman" w:hAnsi="Times New Roman" w:eastAsia="仿宋_GB2312" w:cs="Times New Roman"/>
          <w:color w:val="auto"/>
          <w:sz w:val="32"/>
          <w:szCs w:val="32"/>
          <w:shd w:val="clear" w:color="auto" w:fill="FFFFFF"/>
        </w:rPr>
      </w:pPr>
      <w:r>
        <w:rPr>
          <w:rFonts w:ascii="Times New Roman" w:hAnsi="Times New Roman" w:eastAsia="仿宋_GB2312" w:cs="Times New Roman"/>
          <w:color w:val="auto"/>
          <w:sz w:val="32"/>
          <w:szCs w:val="32"/>
          <w:shd w:val="clear" w:color="auto" w:fill="FFFFFF"/>
        </w:rPr>
        <w:t>结合自适应机器人操作系统Flexiv Elements，该应用可获取并实时展示取料过程的视觉识别和追踪、插装过程中的微力控制、插装完成后的视觉检查等影像和数据，做到全流程、全物料的数据追溯，从而完成对装配质量的闭环监控。</w:t>
      </w:r>
    </w:p>
    <w:p w14:paraId="7A753F8E">
      <w:pPr>
        <w:snapToGrid w:val="0"/>
        <w:spacing w:line="560" w:lineRule="exact"/>
        <w:ind w:firstLine="640"/>
        <w:rPr>
          <w:rFonts w:ascii="Times New Roman" w:hAnsi="Times New Roman" w:eastAsia="仿宋_GB2312" w:cs="Times New Roman"/>
          <w:color w:val="auto"/>
          <w:sz w:val="32"/>
          <w:szCs w:val="32"/>
          <w:shd w:val="clear" w:color="auto" w:fill="FFFFFF"/>
        </w:rPr>
      </w:pPr>
      <w:r>
        <w:rPr>
          <w:rFonts w:ascii="Times New Roman" w:hAnsi="Times New Roman" w:eastAsia="仿宋_GB2312" w:cs="Times New Roman"/>
          <w:color w:val="auto"/>
          <w:sz w:val="32"/>
          <w:szCs w:val="32"/>
          <w:shd w:val="clear" w:color="auto" w:fill="FFFFFF"/>
        </w:rPr>
        <w:t>3.应对多种需求</w:t>
      </w:r>
    </w:p>
    <w:p w14:paraId="6CD58132">
      <w:pPr>
        <w:snapToGrid w:val="0"/>
        <w:spacing w:line="560" w:lineRule="exact"/>
        <w:ind w:firstLine="640"/>
        <w:rPr>
          <w:rFonts w:ascii="Times New Roman" w:hAnsi="Times New Roman" w:eastAsia="仿宋_GB2312" w:cs="Times New Roman"/>
          <w:color w:val="auto"/>
          <w:sz w:val="32"/>
          <w:szCs w:val="32"/>
          <w:shd w:val="clear" w:color="auto" w:fill="FFFFFF"/>
        </w:rPr>
      </w:pPr>
      <w:r>
        <w:rPr>
          <w:rFonts w:ascii="Times New Roman" w:hAnsi="Times New Roman" w:eastAsia="仿宋_GB2312" w:cs="Times New Roman"/>
          <w:color w:val="auto"/>
          <w:sz w:val="32"/>
          <w:szCs w:val="32"/>
          <w:shd w:val="clear" w:color="auto" w:fill="FFFFFF"/>
        </w:rPr>
        <w:t>基于自适应机器人自身的力控能力，该应用可兼容更多种类的FPC，同时可根据需求对视觉伺服系统和末端夹具进行快速调整，从而适配不同的插装工艺，便于换型、换线，降低生产综合成本。</w:t>
      </w:r>
    </w:p>
    <w:p w14:paraId="4250FEAE">
      <w:pPr>
        <w:snapToGrid w:val="0"/>
        <w:spacing w:line="560" w:lineRule="exact"/>
        <w:rPr>
          <w:rFonts w:ascii="Times New Roman" w:hAnsi="Times New Roman" w:eastAsia="仿宋_GB2312" w:cs="Times New Roman"/>
          <w:color w:val="auto"/>
          <w:sz w:val="32"/>
          <w:szCs w:val="32"/>
          <w:shd w:val="clear" w:color="auto" w:fill="FFFFFF"/>
        </w:rPr>
      </w:pPr>
    </w:p>
    <w:p w14:paraId="56F65701">
      <w:pPr>
        <w:snapToGrid w:val="0"/>
        <w:spacing w:line="560" w:lineRule="exact"/>
        <w:ind w:firstLine="640"/>
        <w:rPr>
          <w:rFonts w:ascii="Times New Roman" w:hAnsi="Times New Roman" w:eastAsia="黑体" w:cs="Times New Roman"/>
          <w:color w:val="auto"/>
          <w:sz w:val="32"/>
          <w:szCs w:val="32"/>
          <w:shd w:val="clear" w:color="auto" w:fill="FFFFFF"/>
        </w:rPr>
      </w:pPr>
      <w:r>
        <w:rPr>
          <w:rFonts w:ascii="Times New Roman" w:hAnsi="Times New Roman" w:eastAsia="黑体" w:cs="Times New Roman"/>
          <w:color w:val="auto"/>
          <w:sz w:val="32"/>
          <w:szCs w:val="32"/>
          <w:shd w:val="clear" w:color="auto" w:fill="FFFFFF"/>
        </w:rPr>
        <w:t>三、案例所获得荣誉、复制推广情况等</w:t>
      </w:r>
    </w:p>
    <w:p w14:paraId="409FF49A">
      <w:pPr>
        <w:snapToGrid w:val="0"/>
        <w:spacing w:line="560" w:lineRule="exact"/>
        <w:ind w:firstLine="640"/>
        <w:rPr>
          <w:rFonts w:ascii="Times New Roman" w:hAnsi="Times New Roman" w:eastAsia="仿宋_GB2312" w:cs="Times New Roman"/>
          <w:color w:val="auto"/>
          <w:sz w:val="32"/>
          <w:szCs w:val="32"/>
          <w:shd w:val="clear" w:color="auto" w:fill="FFFFFF"/>
        </w:rPr>
      </w:pPr>
      <w:r>
        <w:rPr>
          <w:rFonts w:ascii="Times New Roman" w:hAnsi="Times New Roman" w:eastAsia="仿宋_GB2312" w:cs="Times New Roman"/>
          <w:color w:val="auto"/>
          <w:sz w:val="32"/>
          <w:szCs w:val="32"/>
          <w:shd w:val="clear" w:color="auto" w:fill="FFFFFF"/>
        </w:rPr>
        <w:t>非夕自适应机器人FPC柔性插装为行业首创，实现该工艺自动化零的突破，目前该成熟的解决方案已覆盖手机、手表、笔记本、电视、GPU模组、车载显示器、激光雷达等产品生产制造过程，重点客户包括</w:t>
      </w:r>
      <w:r>
        <w:rPr>
          <w:rFonts w:hint="eastAsia" w:ascii="Times New Roman" w:hAnsi="Times New Roman" w:eastAsia="仿宋_GB2312" w:cs="Times New Roman"/>
          <w:color w:val="auto"/>
          <w:sz w:val="32"/>
          <w:szCs w:val="32"/>
          <w:shd w:val="clear" w:color="auto" w:fill="FFFFFF"/>
          <w:lang w:val="en-US" w:eastAsia="zh-CN"/>
        </w:rPr>
        <w:t>国内外行业头部企业</w:t>
      </w:r>
      <w:r>
        <w:rPr>
          <w:rFonts w:ascii="Times New Roman" w:hAnsi="Times New Roman" w:eastAsia="仿宋_GB2312" w:cs="Times New Roman"/>
          <w:color w:val="auto"/>
          <w:sz w:val="32"/>
          <w:szCs w:val="32"/>
          <w:shd w:val="clear" w:color="auto" w:fill="FFFFFF"/>
        </w:rPr>
        <w:t>。</w:t>
      </w:r>
    </w:p>
    <w:p w14:paraId="4626136E">
      <w:pPr>
        <w:snapToGrid w:val="0"/>
        <w:spacing w:line="560" w:lineRule="exact"/>
        <w:ind w:firstLine="640"/>
        <w:rPr>
          <w:rFonts w:ascii="Times New Roman" w:hAnsi="Times New Roman" w:eastAsia="仿宋_GB2312" w:cs="Times New Roman"/>
          <w:color w:val="auto"/>
          <w:sz w:val="32"/>
          <w:szCs w:val="32"/>
          <w:shd w:val="clear" w:color="auto" w:fill="FFFFFF"/>
        </w:rPr>
      </w:pPr>
    </w:p>
    <w:p w14:paraId="0DF5F3E9">
      <w:pPr>
        <w:snapToGrid w:val="0"/>
        <w:spacing w:line="560" w:lineRule="exact"/>
        <w:ind w:firstLine="640"/>
        <w:rPr>
          <w:rFonts w:ascii="Times New Roman" w:hAnsi="Times New Roman" w:eastAsia="仿宋_GB2312" w:cs="Times New Roman"/>
          <w:b/>
          <w:bCs/>
          <w:color w:val="auto"/>
          <w:sz w:val="32"/>
          <w:szCs w:val="32"/>
          <w:shd w:val="clear" w:color="auto" w:fill="FFFFFF"/>
        </w:rPr>
      </w:pPr>
    </w:p>
    <w:p w14:paraId="7D258FB9">
      <w:pPr>
        <w:snapToGrid w:val="0"/>
        <w:rPr>
          <w:rFonts w:ascii="Times New Roman" w:hAnsi="Times New Roman" w:eastAsia="仿宋_GB2312" w:cs="Times New Roman"/>
          <w:b/>
          <w:bCs/>
          <w:color w:val="auto"/>
          <w:sz w:val="32"/>
          <w:szCs w:val="32"/>
          <w:shd w:val="clear" w:color="auto" w:fill="FFFFFF"/>
        </w:rPr>
      </w:pPr>
      <w:r>
        <w:rPr>
          <w:rFonts w:ascii="Times New Roman" w:hAnsi="Times New Roman" w:eastAsia="仿宋_GB2312" w:cs="Times New Roman"/>
          <w:b/>
          <w:bCs/>
          <w:color w:val="auto"/>
          <w:sz w:val="32"/>
          <w:szCs w:val="32"/>
          <w:shd w:val="clear" w:color="auto" w:fill="FFFFFF"/>
        </w:rPr>
        <w:pict>
          <v:shape id="_x0000_i1033" o:spt="75" alt="FPC柔性插装1" type="#_x0000_t75" style="height:233.55pt;width:414.45pt;" filled="f" o:preferrelative="t" stroked="f" coordsize="21600,21600">
            <v:path/>
            <v:fill on="f" focussize="0,0"/>
            <v:stroke on="f" joinstyle="miter"/>
            <v:imagedata r:id="rId33" o:title="FPC柔性插装1"/>
            <o:lock v:ext="edit" aspectratio="t"/>
            <w10:wrap type="none"/>
            <w10:anchorlock/>
          </v:shape>
        </w:pict>
      </w:r>
      <w:r>
        <w:rPr>
          <w:rFonts w:ascii="Times New Roman" w:hAnsi="Times New Roman" w:eastAsia="仿宋_GB2312" w:cs="Times New Roman"/>
          <w:b/>
          <w:bCs/>
          <w:color w:val="auto"/>
          <w:sz w:val="32"/>
          <w:szCs w:val="32"/>
          <w:shd w:val="clear" w:color="auto" w:fill="FFFFFF"/>
        </w:rPr>
        <w:pict>
          <v:shape id="_x0000_i1034" o:spt="75" alt="FPC柔性插装2" type="#_x0000_t75" style="height:233.55pt;width:414.45pt;" filled="f" o:preferrelative="t" stroked="f" coordsize="21600,21600">
            <v:path/>
            <v:fill on="f" focussize="0,0"/>
            <v:stroke on="f" joinstyle="miter"/>
            <v:imagedata r:id="rId34" o:title="FPC柔性插装2"/>
            <o:lock v:ext="edit" aspectratio="t"/>
            <w10:wrap type="none"/>
            <w10:anchorlock/>
          </v:shape>
        </w:pict>
      </w:r>
    </w:p>
    <w:p w14:paraId="3B2FD1E8">
      <w:pPr>
        <w:spacing w:after="40"/>
        <w:jc w:val="left"/>
        <w:rPr>
          <w:rFonts w:ascii="楷体" w:hAnsi="楷体" w:eastAsia="楷体"/>
          <w:color w:val="auto"/>
          <w:sz w:val="22"/>
        </w:rPr>
      </w:pPr>
    </w:p>
    <w:p w14:paraId="275BBFE9">
      <w:pPr>
        <w:pStyle w:val="12"/>
        <w:pageBreakBefore/>
        <w:rPr>
          <w:color w:val="auto"/>
        </w:rPr>
      </w:pPr>
      <w:bookmarkStart w:id="13" w:name="_Toc24627"/>
      <w:r>
        <w:rPr>
          <w:color w:val="auto"/>
        </w:rPr>
        <w:t>案例 13　电子信息材料柔性制造智能工厂</w:t>
      </w:r>
      <w:bookmarkEnd w:id="13"/>
    </w:p>
    <w:p w14:paraId="03CB0CE2">
      <w:pPr>
        <w:spacing w:after="40"/>
        <w:jc w:val="left"/>
        <w:rPr>
          <w:rFonts w:ascii="楷体" w:hAnsi="楷体" w:eastAsia="楷体"/>
          <w:color w:val="auto"/>
          <w:sz w:val="22"/>
        </w:rPr>
      </w:pPr>
      <w:r>
        <w:rPr>
          <w:rFonts w:ascii="楷体" w:hAnsi="楷体" w:eastAsia="楷体"/>
          <w:color w:val="auto"/>
          <w:sz w:val="22"/>
        </w:rPr>
        <w:t>申报单位：中山新高电子材料股份有限公司</w:t>
      </w:r>
    </w:p>
    <w:p w14:paraId="319422B8">
      <w:pPr>
        <w:snapToGrid w:val="0"/>
        <w:spacing w:line="560" w:lineRule="exact"/>
        <w:rPr>
          <w:rFonts w:hint="eastAsia" w:ascii="仿宋_GB2312" w:hAnsi="仿宋_GB2312" w:eastAsia="仿宋_GB2312" w:cs="仿宋_GB2312"/>
          <w:color w:val="auto"/>
          <w:sz w:val="32"/>
          <w:szCs w:val="32"/>
          <w:shd w:val="clear" w:color="auto" w:fill="FFFFFF"/>
        </w:rPr>
      </w:pPr>
    </w:p>
    <w:p w14:paraId="5D0E3530">
      <w:pPr>
        <w:snapToGrid w:val="0"/>
        <w:spacing w:line="560" w:lineRule="exact"/>
        <w:ind w:firstLine="640"/>
        <w:rPr>
          <w:rFonts w:hint="eastAsia" w:ascii="黑体" w:hAnsi="黑体" w:eastAsia="黑体" w:cs="黑体"/>
          <w:color w:val="auto"/>
          <w:sz w:val="32"/>
          <w:szCs w:val="32"/>
          <w:shd w:val="clear" w:color="auto" w:fill="FFFFFF"/>
        </w:rPr>
      </w:pPr>
      <w:r>
        <w:rPr>
          <w:rFonts w:hint="eastAsia" w:ascii="黑体" w:hAnsi="黑体" w:eastAsia="黑体" w:cs="黑体"/>
          <w:color w:val="auto"/>
          <w:sz w:val="32"/>
          <w:szCs w:val="32"/>
          <w:shd w:val="clear" w:color="auto" w:fill="FFFFFF"/>
        </w:rPr>
        <w:t>一、案例基本情况</w:t>
      </w:r>
    </w:p>
    <w:p w14:paraId="20BCA93C">
      <w:pPr>
        <w:snapToGrid w:val="0"/>
        <w:spacing w:line="560" w:lineRule="exact"/>
        <w:ind w:firstLine="640"/>
        <w:rPr>
          <w:rFonts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（一）案例名称：电子信息材料柔性制造智能工厂。</w:t>
      </w:r>
    </w:p>
    <w:p w14:paraId="44415735">
      <w:pPr>
        <w:snapToGrid w:val="0"/>
        <w:spacing w:line="560" w:lineRule="exact"/>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（二）人工智能技术应用方：中山新高电子材料股份有限公司。</w:t>
      </w:r>
    </w:p>
    <w:p w14:paraId="0F5ADCF6">
      <w:pPr>
        <w:snapToGrid w:val="0"/>
        <w:spacing w:line="560" w:lineRule="exact"/>
        <w:ind w:firstLine="640"/>
        <w:rPr>
          <w:rFonts w:ascii="仿宋_GB2312" w:hAnsi="仿宋_GB2312" w:eastAsia="仿宋_GB2312" w:cs="仿宋_GB2312"/>
          <w:b w:val="0"/>
          <w:bCs w:val="0"/>
          <w:color w:val="auto"/>
          <w:sz w:val="32"/>
          <w:szCs w:val="32"/>
          <w:shd w:val="clear" w:color="auto" w:fill="FFFFFF"/>
        </w:rPr>
      </w:pPr>
      <w:r>
        <w:rPr>
          <w:rFonts w:hint="eastAsia" w:ascii="仿宋_GB2312" w:hAnsi="仿宋_GB2312" w:eastAsia="仿宋_GB2312" w:cs="仿宋_GB2312"/>
          <w:b w:val="0"/>
          <w:bCs w:val="0"/>
          <w:color w:val="auto"/>
          <w:sz w:val="32"/>
          <w:szCs w:val="32"/>
          <w:shd w:val="clear" w:color="auto" w:fill="FFFFFF"/>
        </w:rPr>
        <w:t>应用企业简介：中山新高电子材料股份有限公司成立于2005 年，是专注于高端挠性覆铜板、电子专用材料等核心产品研发、生产、销售于一体的国家高新技术企业、广东省专精特新中小企业、中山市电子信息制造业重点骨干企业，隶属于航天科工集团三级单位，注册资本13258.64万元。公司深耕电子材料领域二十余年，形成以研发为核心、制造为基础、市场为导向的完整产业体系，产品广泛应用于消费电子、通信设备、新能源、汽车电子等国家战略性新兴产业领域，客户覆盖全国各省市并出口至东南亚，在行业内拥有稳定的市场份额与良好的品牌口碑。</w:t>
      </w:r>
    </w:p>
    <w:p w14:paraId="335AC1F4">
      <w:pPr>
        <w:snapToGrid w:val="0"/>
        <w:spacing w:line="560" w:lineRule="exact"/>
        <w:rPr>
          <w:rFonts w:hint="eastAsia" w:ascii="黑体" w:hAnsi="黑体" w:eastAsia="黑体" w:cs="黑体"/>
          <w:color w:val="auto"/>
          <w:sz w:val="32"/>
          <w:szCs w:val="32"/>
          <w:shd w:val="clear" w:color="auto" w:fill="FFFFFF"/>
        </w:rPr>
      </w:pPr>
    </w:p>
    <w:p w14:paraId="01F85130">
      <w:pPr>
        <w:snapToGrid w:val="0"/>
        <w:spacing w:line="560" w:lineRule="exact"/>
        <w:ind w:firstLine="640"/>
        <w:rPr>
          <w:rFonts w:hint="eastAsia" w:ascii="黑体" w:hAnsi="黑体" w:eastAsia="黑体" w:cs="黑体"/>
          <w:color w:val="auto"/>
          <w:sz w:val="32"/>
          <w:szCs w:val="32"/>
          <w:shd w:val="clear" w:color="auto" w:fill="FFFFFF"/>
        </w:rPr>
      </w:pPr>
      <w:r>
        <w:rPr>
          <w:rFonts w:hint="eastAsia" w:ascii="黑体" w:hAnsi="黑体" w:eastAsia="黑体" w:cs="黑体"/>
          <w:color w:val="auto"/>
          <w:sz w:val="32"/>
          <w:szCs w:val="32"/>
          <w:shd w:val="clear" w:color="auto" w:fill="FFFFFF"/>
        </w:rPr>
        <w:t>二、案例内容介绍</w:t>
      </w:r>
    </w:p>
    <w:p w14:paraId="5619E10F">
      <w:pPr>
        <w:snapToGrid w:val="0"/>
        <w:spacing w:line="560" w:lineRule="exact"/>
        <w:ind w:firstLine="640"/>
        <w:rPr>
          <w:rFonts w:hint="eastAsia" w:ascii="楷体_GB2312" w:hAnsi="楷体_GB2312" w:eastAsia="楷体_GB2312" w:cs="楷体_GB2312"/>
          <w:color w:val="auto"/>
          <w:sz w:val="32"/>
          <w:szCs w:val="32"/>
          <w:shd w:val="clear" w:color="auto" w:fill="FFFFFF"/>
        </w:rPr>
      </w:pPr>
      <w:r>
        <w:rPr>
          <w:rFonts w:hint="eastAsia" w:ascii="楷体_GB2312" w:hAnsi="楷体_GB2312" w:eastAsia="楷体_GB2312" w:cs="楷体_GB2312"/>
          <w:color w:val="auto"/>
          <w:sz w:val="32"/>
          <w:szCs w:val="32"/>
          <w:shd w:val="clear" w:color="auto" w:fill="FFFFFF"/>
        </w:rPr>
        <w:t>（一）包括案例背景、采用的人工智能关键技术、所实现的功能和亮点优势</w:t>
      </w:r>
    </w:p>
    <w:p w14:paraId="61B8178C">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在研发设计环节，基于PLM 系统开展产品数字化设计、虚拟验证与工艺数字化设计，打通研发、工艺、生产全链路数据，实现研发数据自动下发、生产数据实时回流，结合实验数据AI 分析优化产品配方与工艺参数，构建研产协同闭环，缩短产品研发周期。</w:t>
      </w:r>
    </w:p>
    <w:p w14:paraId="709EEE4A">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在设备运维方面，通过SCADA 系统实现设备运行状态全时监控，基于AI 算法开展设备故障诊断与预测，实现设备预测性维护；结合QMS 系统开展全流程质量分析与改进，打通设备参数、工艺数据与质量数据的关联，实现质量问题根因分析与持续优化。</w:t>
      </w:r>
    </w:p>
    <w:p w14:paraId="1CFA9090">
      <w:pPr>
        <w:snapToGrid w:val="0"/>
        <w:spacing w:line="560" w:lineRule="exact"/>
        <w:ind w:firstLine="640"/>
        <w:rPr>
          <w:rFonts w:ascii="楷体_GB2312" w:hAnsi="楷体_GB2312" w:eastAsia="楷体_GB2312" w:cs="楷体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在运营管理环节，基于超融合架构搭建高可用数字化底座，以SAP 系统为核心打通营销、采购、生产、仓储、财务全链路数据，实现数智精益管理与智能经营决策，通过AI算法开展成本精准核算、库存优化、经营指标预测，支撑企业数据驱动的精细化运营。</w:t>
      </w:r>
    </w:p>
    <w:p w14:paraId="4AC9F85D">
      <w:pPr>
        <w:snapToGrid w:val="0"/>
        <w:spacing w:line="560" w:lineRule="exact"/>
        <w:ind w:firstLine="640"/>
        <w:rPr>
          <w:rFonts w:hint="eastAsia" w:ascii="楷体_GB2312" w:hAnsi="楷体_GB2312" w:eastAsia="楷体_GB2312" w:cs="楷体_GB2312"/>
          <w:color w:val="auto"/>
          <w:sz w:val="32"/>
          <w:szCs w:val="32"/>
          <w:shd w:val="clear" w:color="auto" w:fill="FFFFFF"/>
        </w:rPr>
      </w:pPr>
      <w:r>
        <w:rPr>
          <w:rFonts w:hint="eastAsia" w:ascii="楷体_GB2312" w:hAnsi="楷体_GB2312" w:eastAsia="楷体_GB2312" w:cs="楷体_GB2312"/>
          <w:color w:val="auto"/>
          <w:sz w:val="32"/>
          <w:szCs w:val="32"/>
          <w:shd w:val="clear" w:color="auto" w:fill="FFFFFF"/>
        </w:rPr>
        <w:t>（二）具体应用成效。</w:t>
      </w:r>
    </w:p>
    <w:p w14:paraId="755F5E89">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项目建成后，工厂关键设备数控化率达到88%、联网率均达到89%，产品研发周期缩短25%，工艺迭代效率提升40%，实验数据利用率提升60%，产品一次合格率提升至99.2%。设备非计划停机时间降低50%，维护成本降低30%，故障预警准确率达90%，质量问题闭环效率提升50%。生产效率提升 28%，产品不良率改为从 3.2% 降至1.3%，订单准时交付率提升 20% 以上，运营成本下降 20%以上，库存周转率提升 50%，单位产值综合能耗持续下降。</w:t>
      </w:r>
    </w:p>
    <w:p w14:paraId="79A80713">
      <w:pPr>
        <w:snapToGrid w:val="0"/>
        <w:spacing w:line="560" w:lineRule="exact"/>
        <w:ind w:firstLine="640"/>
        <w:rPr>
          <w:rFonts w:hint="eastAsia" w:ascii="黑体" w:hAnsi="黑体" w:eastAsia="黑体" w:cs="黑体"/>
          <w:color w:val="auto"/>
          <w:sz w:val="32"/>
          <w:szCs w:val="32"/>
          <w:shd w:val="clear" w:color="auto" w:fill="FFFFFF"/>
        </w:rPr>
      </w:pPr>
      <w:r>
        <w:rPr>
          <w:rFonts w:hint="eastAsia" w:ascii="黑体" w:hAnsi="黑体" w:eastAsia="黑体" w:cs="黑体"/>
          <w:color w:val="auto"/>
          <w:sz w:val="32"/>
          <w:szCs w:val="32"/>
          <w:shd w:val="clear" w:color="auto" w:fill="FFFFFF"/>
        </w:rPr>
        <w:t>三、案例所获得荣誉、复制推广情况等</w:t>
      </w:r>
    </w:p>
    <w:p w14:paraId="762D3998">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项目入选2026年广东省先进级智能工厂，采用“轻量化投入、深度化集成、场景化落地、可复制推广”的建设模式，不搞重复建设、不做过度投入，立足企业现有装备与系统基础进行优化升级，形成一套适合电子材料行业中小企业的智能化转型路径，可为区域同类型企业提供可借鉴、可复制、可推广的实践样本，对推动电子材料行业整体数字化、智能化、绿色化转型具有重要示范意义。</w:t>
      </w:r>
    </w:p>
    <w:p w14:paraId="69D949C6">
      <w:pPr>
        <w:snapToGrid w:val="0"/>
        <w:spacing w:line="240" w:lineRule="auto"/>
        <w:ind w:firstLine="640"/>
        <w:rPr>
          <w:rFonts w:hint="eastAsia" w:ascii="仿宋_GB2312" w:hAnsi="仿宋_GB2312" w:eastAsia="仿宋_GB2312" w:cs="仿宋_GB2312"/>
          <w:b/>
          <w:bCs/>
          <w:color w:val="auto"/>
          <w:sz w:val="32"/>
          <w:szCs w:val="32"/>
          <w:shd w:val="clear" w:color="auto" w:fill="FFFFFF"/>
          <w:lang w:eastAsia="zh-CN"/>
        </w:rPr>
      </w:pPr>
      <w:r>
        <w:rPr>
          <w:rFonts w:hint="eastAsia" w:ascii="仿宋_GB2312" w:hAnsi="仿宋_GB2312" w:eastAsia="仿宋_GB2312" w:cs="仿宋_GB2312"/>
          <w:b/>
          <w:bCs/>
          <w:color w:val="auto"/>
          <w:sz w:val="32"/>
          <w:szCs w:val="32"/>
          <w:shd w:val="clear" w:color="auto" w:fill="FFFFFF"/>
          <w:lang w:eastAsia="zh-CN"/>
        </w:rPr>
        <w:drawing>
          <wp:anchor distT="0" distB="0" distL="114300" distR="114300" simplePos="0" relativeHeight="251697152" behindDoc="0" locked="0" layoutInCell="1" allowOverlap="1">
            <wp:simplePos x="0" y="0"/>
            <wp:positionH relativeFrom="column">
              <wp:posOffset>-12700</wp:posOffset>
            </wp:positionH>
            <wp:positionV relativeFrom="paragraph">
              <wp:posOffset>244475</wp:posOffset>
            </wp:positionV>
            <wp:extent cx="5539105" cy="3689985"/>
            <wp:effectExtent l="0" t="0" r="8255" b="13335"/>
            <wp:wrapTopAndBottom/>
            <wp:docPr id="10" name="图片 10" descr="新高电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新高电子"/>
                    <pic:cNvPicPr>
                      <a:picLocks noChangeAspect="1"/>
                    </pic:cNvPicPr>
                  </pic:nvPicPr>
                  <pic:blipFill>
                    <a:blip r:embed="rId35"/>
                    <a:stretch>
                      <a:fillRect/>
                    </a:stretch>
                  </pic:blipFill>
                  <pic:spPr>
                    <a:xfrm>
                      <a:off x="0" y="0"/>
                      <a:ext cx="5539105" cy="3689985"/>
                    </a:xfrm>
                    <a:prstGeom prst="rect">
                      <a:avLst/>
                    </a:prstGeom>
                  </pic:spPr>
                </pic:pic>
              </a:graphicData>
            </a:graphic>
          </wp:anchor>
        </w:drawing>
      </w:r>
    </w:p>
    <w:p w14:paraId="610B3050">
      <w:pPr>
        <w:snapToGrid w:val="0"/>
        <w:spacing w:line="560" w:lineRule="exact"/>
        <w:ind w:firstLine="640"/>
        <w:rPr>
          <w:rFonts w:ascii="仿宋_GB2312" w:hAnsi="仿宋_GB2312" w:eastAsia="仿宋_GB2312" w:cs="仿宋_GB2312"/>
          <w:b/>
          <w:bCs/>
          <w:color w:val="auto"/>
          <w:sz w:val="32"/>
          <w:szCs w:val="32"/>
          <w:shd w:val="clear" w:color="auto" w:fill="FFFFFF"/>
        </w:rPr>
      </w:pPr>
    </w:p>
    <w:p w14:paraId="572D8F94">
      <w:pPr>
        <w:spacing w:after="120"/>
        <w:jc w:val="left"/>
        <w:rPr>
          <w:rFonts w:ascii="楷体" w:hAnsi="楷体" w:eastAsia="楷体"/>
          <w:color w:val="auto"/>
        </w:rPr>
      </w:pPr>
      <w:bookmarkStart w:id="34" w:name="_GoBack"/>
      <w:bookmarkEnd w:id="34"/>
    </w:p>
    <w:p w14:paraId="0E1907BD">
      <w:pPr>
        <w:rPr>
          <w:rFonts w:ascii="楷体" w:hAnsi="楷体" w:eastAsia="楷体"/>
          <w:color w:val="auto"/>
        </w:rPr>
      </w:pPr>
      <w:r>
        <w:rPr>
          <w:rFonts w:ascii="楷体" w:hAnsi="楷体" w:eastAsia="楷体"/>
          <w:color w:val="auto"/>
        </w:rPr>
        <w:br w:type="page"/>
      </w:r>
    </w:p>
    <w:p w14:paraId="4E174D6A">
      <w:pPr>
        <w:spacing w:after="120"/>
        <w:jc w:val="left"/>
        <w:rPr>
          <w:rFonts w:ascii="楷体" w:hAnsi="楷体" w:eastAsia="楷体"/>
          <w:color w:val="auto"/>
        </w:rPr>
      </w:pPr>
    </w:p>
    <w:p w14:paraId="22A2FD43">
      <w:pPr>
        <w:jc w:val="left"/>
        <w:rPr>
          <w:rFonts w:ascii="宋体" w:hAnsi="宋体" w:eastAsia="宋体"/>
          <w:color w:val="auto"/>
          <w:sz w:val="36"/>
        </w:rPr>
      </w:pPr>
      <w:r>
        <w:rPr>
          <w:rFonts w:ascii="宋体" w:hAnsi="宋体" w:eastAsia="宋体"/>
          <w:color w:val="auto"/>
          <w:sz w:val="36"/>
        </w:rPr>
        <w:t xml:space="preserve"> </w:t>
      </w:r>
    </w:p>
    <w:p w14:paraId="18F9C513">
      <w:pPr>
        <w:jc w:val="left"/>
        <w:rPr>
          <w:rFonts w:ascii="宋体" w:hAnsi="宋体" w:eastAsia="宋体"/>
          <w:color w:val="auto"/>
          <w:sz w:val="36"/>
        </w:rPr>
      </w:pPr>
      <w:r>
        <w:rPr>
          <w:rFonts w:ascii="宋体" w:hAnsi="宋体" w:eastAsia="宋体"/>
          <w:color w:val="auto"/>
          <w:sz w:val="36"/>
        </w:rPr>
        <w:t xml:space="preserve"> </w:t>
      </w:r>
    </w:p>
    <w:p w14:paraId="24BD4B9E">
      <w:pPr>
        <w:jc w:val="left"/>
        <w:rPr>
          <w:rFonts w:ascii="宋体" w:hAnsi="宋体" w:eastAsia="宋体"/>
          <w:color w:val="auto"/>
          <w:sz w:val="36"/>
        </w:rPr>
      </w:pPr>
      <w:r>
        <w:rPr>
          <w:rFonts w:ascii="宋体" w:hAnsi="宋体" w:eastAsia="宋体"/>
          <w:color w:val="auto"/>
          <w:sz w:val="36"/>
        </w:rPr>
        <w:t xml:space="preserve"> </w:t>
      </w:r>
    </w:p>
    <w:p w14:paraId="295B2885">
      <w:pPr>
        <w:jc w:val="left"/>
        <w:rPr>
          <w:rFonts w:ascii="宋体" w:hAnsi="宋体" w:eastAsia="宋体"/>
          <w:color w:val="auto"/>
          <w:sz w:val="36"/>
        </w:rPr>
      </w:pPr>
      <w:r>
        <w:rPr>
          <w:rFonts w:ascii="宋体" w:hAnsi="宋体" w:eastAsia="宋体"/>
          <w:color w:val="auto"/>
          <w:sz w:val="36"/>
        </w:rPr>
        <w:t xml:space="preserve"> </w:t>
      </w:r>
    </w:p>
    <w:p w14:paraId="35269582">
      <w:pPr>
        <w:jc w:val="left"/>
        <w:rPr>
          <w:rFonts w:ascii="宋体" w:hAnsi="宋体" w:eastAsia="宋体"/>
          <w:color w:val="auto"/>
          <w:sz w:val="36"/>
        </w:rPr>
      </w:pPr>
      <w:r>
        <w:rPr>
          <w:rFonts w:ascii="宋体" w:hAnsi="宋体" w:eastAsia="宋体"/>
          <w:color w:val="auto"/>
          <w:sz w:val="36"/>
        </w:rPr>
        <w:t xml:space="preserve"> </w:t>
      </w:r>
    </w:p>
    <w:p w14:paraId="6C2B72B2">
      <w:pPr>
        <w:jc w:val="left"/>
        <w:rPr>
          <w:rFonts w:ascii="宋体" w:hAnsi="宋体" w:eastAsia="宋体"/>
          <w:color w:val="auto"/>
          <w:sz w:val="36"/>
        </w:rPr>
      </w:pPr>
      <w:r>
        <w:rPr>
          <w:rFonts w:ascii="宋体" w:hAnsi="宋体" w:eastAsia="宋体"/>
          <w:color w:val="auto"/>
          <w:sz w:val="36"/>
        </w:rPr>
        <w:t xml:space="preserve"> </w:t>
      </w:r>
    </w:p>
    <w:p w14:paraId="2370C6DD">
      <w:pPr>
        <w:jc w:val="left"/>
        <w:rPr>
          <w:rFonts w:ascii="宋体" w:hAnsi="宋体" w:eastAsia="宋体"/>
          <w:color w:val="auto"/>
          <w:sz w:val="36"/>
        </w:rPr>
      </w:pPr>
      <w:r>
        <w:rPr>
          <w:rFonts w:ascii="宋体" w:hAnsi="宋体" w:eastAsia="宋体"/>
          <w:color w:val="auto"/>
          <w:sz w:val="36"/>
        </w:rPr>
        <w:t xml:space="preserve"> </w:t>
      </w:r>
    </w:p>
    <w:p w14:paraId="737393C5">
      <w:pPr>
        <w:jc w:val="left"/>
        <w:rPr>
          <w:rFonts w:ascii="宋体" w:hAnsi="宋体" w:eastAsia="宋体"/>
          <w:color w:val="auto"/>
          <w:sz w:val="36"/>
        </w:rPr>
      </w:pPr>
      <w:r>
        <w:rPr>
          <w:rFonts w:ascii="宋体" w:hAnsi="宋体" w:eastAsia="宋体"/>
          <w:color w:val="auto"/>
          <w:sz w:val="36"/>
        </w:rPr>
        <w:t xml:space="preserve"> </w:t>
      </w:r>
    </w:p>
    <w:p w14:paraId="10527B3F">
      <w:pPr>
        <w:jc w:val="left"/>
        <w:rPr>
          <w:rFonts w:ascii="宋体" w:hAnsi="宋体" w:eastAsia="宋体"/>
          <w:color w:val="auto"/>
          <w:sz w:val="36"/>
        </w:rPr>
      </w:pPr>
      <w:r>
        <w:rPr>
          <w:rFonts w:ascii="宋体" w:hAnsi="宋体" w:eastAsia="宋体"/>
          <w:color w:val="auto"/>
          <w:sz w:val="36"/>
        </w:rPr>
        <w:t xml:space="preserve"> </w:t>
      </w:r>
    </w:p>
    <w:p w14:paraId="55B2B18B">
      <w:pPr>
        <w:pStyle w:val="10"/>
        <w:rPr>
          <w:color w:val="auto"/>
        </w:rPr>
      </w:pPr>
      <w:bookmarkStart w:id="14" w:name="_Toc15085"/>
      <w:r>
        <w:rPr>
          <w:color w:val="auto"/>
        </w:rPr>
        <w:t>二、公共服务领域</w:t>
      </w:r>
      <w:bookmarkEnd w:id="14"/>
    </w:p>
    <w:p w14:paraId="711DE985">
      <w:pPr>
        <w:spacing w:after="360"/>
        <w:jc w:val="center"/>
        <w:rPr>
          <w:rFonts w:ascii="楷体" w:hAnsi="楷体" w:eastAsia="楷体"/>
          <w:color w:val="auto"/>
          <w:sz w:val="24"/>
        </w:rPr>
      </w:pPr>
    </w:p>
    <w:p w14:paraId="5A385CB7">
      <w:pPr>
        <w:spacing w:after="360"/>
        <w:jc w:val="center"/>
        <w:rPr>
          <w:rFonts w:ascii="楷体" w:hAnsi="楷体" w:eastAsia="楷体"/>
          <w:color w:val="auto"/>
          <w:sz w:val="24"/>
        </w:rPr>
      </w:pPr>
    </w:p>
    <w:p w14:paraId="19D47E9C">
      <w:pPr>
        <w:pStyle w:val="12"/>
        <w:pageBreakBefore/>
        <w:rPr>
          <w:color w:val="auto"/>
        </w:rPr>
      </w:pPr>
      <w:bookmarkStart w:id="15" w:name="_Toc7466"/>
      <w:r>
        <w:rPr>
          <w:color w:val="auto"/>
        </w:rPr>
        <w:t>案例 01　</w:t>
      </w:r>
      <w:r>
        <w:rPr>
          <w:rFonts w:hint="eastAsia"/>
          <w:color w:val="auto"/>
        </w:rPr>
        <w:t>无人驾驶清扫车在市政环卫领域应用案例</w:t>
      </w:r>
      <w:bookmarkEnd w:id="15"/>
    </w:p>
    <w:p w14:paraId="03FE723B">
      <w:pPr>
        <w:spacing w:after="40"/>
        <w:jc w:val="left"/>
        <w:rPr>
          <w:rFonts w:ascii="楷体" w:hAnsi="楷体" w:eastAsia="楷体"/>
          <w:color w:val="auto"/>
          <w:sz w:val="22"/>
        </w:rPr>
      </w:pPr>
      <w:r>
        <w:rPr>
          <w:rFonts w:ascii="楷体" w:hAnsi="楷体" w:eastAsia="楷体"/>
          <w:color w:val="auto"/>
          <w:sz w:val="22"/>
        </w:rPr>
        <w:t>申报单位：</w:t>
      </w:r>
      <w:r>
        <w:rPr>
          <w:rFonts w:hint="eastAsia" w:ascii="楷体" w:hAnsi="楷体" w:eastAsia="楷体"/>
          <w:color w:val="auto"/>
          <w:sz w:val="22"/>
        </w:rPr>
        <w:t>火炬高新区综合行政执法局</w:t>
      </w:r>
    </w:p>
    <w:p w14:paraId="67CC6F85">
      <w:pPr>
        <w:keepNext w:val="0"/>
        <w:keepLines w:val="0"/>
        <w:pageBreakBefore w:val="0"/>
        <w:widowControl w:val="0"/>
        <w:kinsoku/>
        <w:wordWrap/>
        <w:overflowPunct/>
        <w:topLinePunct w:val="0"/>
        <w:autoSpaceDE/>
        <w:autoSpaceDN/>
        <w:bidi w:val="0"/>
        <w:adjustRightInd/>
        <w:snapToGrid w:val="0"/>
        <w:spacing w:line="560" w:lineRule="exact"/>
        <w:ind w:firstLine="640"/>
        <w:textAlignment w:val="auto"/>
        <w:rPr>
          <w:rFonts w:hint="eastAsia" w:ascii="黑体" w:hAnsi="黑体" w:eastAsia="黑体" w:cs="黑体"/>
          <w:color w:val="auto"/>
          <w:sz w:val="32"/>
          <w:szCs w:val="32"/>
          <w:shd w:val="clear" w:color="auto" w:fill="FFFFFF"/>
          <w:lang w:val="en-US" w:eastAsia="zh-CN"/>
        </w:rPr>
      </w:pPr>
      <w:r>
        <w:rPr>
          <w:rFonts w:hint="eastAsia" w:ascii="黑体" w:hAnsi="黑体" w:eastAsia="黑体" w:cs="黑体"/>
          <w:color w:val="auto"/>
          <w:sz w:val="32"/>
          <w:szCs w:val="32"/>
          <w:shd w:val="clear" w:color="auto" w:fill="FFFFFF"/>
          <w:lang w:val="en-US" w:eastAsia="zh-CN"/>
        </w:rPr>
        <w:t>一、案例基本情况</w:t>
      </w:r>
    </w:p>
    <w:p w14:paraId="18869F8B">
      <w:pPr>
        <w:keepNext w:val="0"/>
        <w:keepLines w:val="0"/>
        <w:pageBreakBefore w:val="0"/>
        <w:widowControl w:val="0"/>
        <w:kinsoku/>
        <w:wordWrap/>
        <w:overflowPunct/>
        <w:topLinePunct w:val="0"/>
        <w:autoSpaceDE/>
        <w:autoSpaceDN/>
        <w:bidi w:val="0"/>
        <w:adjustRightInd/>
        <w:snapToGrid w:val="0"/>
        <w:spacing w:line="560" w:lineRule="exact"/>
        <w:ind w:firstLine="640"/>
        <w:textAlignment w:val="auto"/>
        <w:rPr>
          <w:rFonts w:hint="default" w:ascii="仿宋_GB2312" w:hAnsi="仿宋_GB2312" w:eastAsia="仿宋_GB2312" w:cs="仿宋_GB2312"/>
          <w:color w:val="auto"/>
          <w:sz w:val="32"/>
          <w:szCs w:val="32"/>
          <w:shd w:val="clear" w:color="auto" w:fill="FFFFFF"/>
          <w:lang w:val="en-US" w:eastAsia="zh-CN"/>
        </w:rPr>
      </w:pPr>
      <w:r>
        <w:rPr>
          <w:rFonts w:hint="eastAsia" w:ascii="仿宋_GB2312" w:hAnsi="仿宋_GB2312" w:eastAsia="仿宋_GB2312" w:cs="仿宋_GB2312"/>
          <w:color w:val="auto"/>
          <w:sz w:val="32"/>
          <w:szCs w:val="32"/>
          <w:shd w:val="clear" w:color="auto" w:fill="FFFFFF"/>
          <w:lang w:val="en-US" w:eastAsia="zh-CN"/>
        </w:rPr>
        <w:t>（一）案例名称：无人驾驶清扫车在市政环卫领域应用案例。</w:t>
      </w:r>
    </w:p>
    <w:p w14:paraId="4D54A7BE">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textAlignment w:val="auto"/>
        <w:rPr>
          <w:rFonts w:hint="eastAsia" w:ascii="黑体" w:hAnsi="黑体" w:eastAsia="黑体" w:cs="黑体"/>
          <w:color w:val="auto"/>
          <w:sz w:val="32"/>
          <w:szCs w:val="32"/>
          <w:shd w:val="clear" w:color="auto" w:fill="FFFFFF"/>
          <w:lang w:val="en-US" w:eastAsia="zh-CN"/>
        </w:rPr>
      </w:pPr>
      <w:r>
        <w:rPr>
          <w:rFonts w:hint="eastAsia" w:ascii="仿宋_GB2312" w:hAnsi="仿宋_GB2312" w:eastAsia="仿宋_GB2312" w:cs="仿宋_GB2312"/>
          <w:color w:val="auto"/>
          <w:sz w:val="32"/>
          <w:szCs w:val="32"/>
          <w:shd w:val="clear" w:color="auto" w:fill="FFFFFF"/>
          <w:lang w:val="en-US" w:eastAsia="zh-CN"/>
        </w:rPr>
        <w:t>（二）人工智能技术应用方：火炬高新区综合行政执法局</w:t>
      </w:r>
    </w:p>
    <w:p w14:paraId="66352B01">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jc w:val="both"/>
        <w:textAlignment w:val="auto"/>
        <w:rPr>
          <w:rFonts w:hint="eastAsia" w:ascii="黑体" w:hAnsi="黑体" w:eastAsia="黑体" w:cs="黑体"/>
          <w:color w:val="auto"/>
          <w:sz w:val="32"/>
          <w:szCs w:val="32"/>
          <w:shd w:val="clear" w:color="auto" w:fill="FFFFFF"/>
          <w:lang w:val="en-US" w:eastAsia="zh-CN"/>
        </w:rPr>
      </w:pPr>
      <w:r>
        <w:rPr>
          <w:rFonts w:hint="eastAsia" w:ascii="黑体" w:hAnsi="黑体" w:eastAsia="黑体" w:cs="黑体"/>
          <w:color w:val="auto"/>
          <w:sz w:val="32"/>
          <w:szCs w:val="32"/>
          <w:shd w:val="clear" w:color="auto" w:fill="FFFFFF"/>
          <w:lang w:val="en-US" w:eastAsia="zh-CN"/>
        </w:rPr>
        <w:t>二、案例内容介绍</w:t>
      </w:r>
    </w:p>
    <w:p w14:paraId="35834884">
      <w:pPr>
        <w:keepNext w:val="0"/>
        <w:keepLines w:val="0"/>
        <w:pageBreakBefore w:val="0"/>
        <w:widowControl w:val="0"/>
        <w:kinsoku/>
        <w:wordWrap/>
        <w:overflowPunct/>
        <w:topLinePunct w:val="0"/>
        <w:autoSpaceDE/>
        <w:autoSpaceDN/>
        <w:bidi w:val="0"/>
        <w:adjustRightInd/>
        <w:snapToGrid w:val="0"/>
        <w:spacing w:line="560" w:lineRule="exact"/>
        <w:ind w:firstLine="640"/>
        <w:textAlignment w:val="auto"/>
        <w:rPr>
          <w:rFonts w:hint="eastAsia" w:ascii="楷体_GB2312" w:hAnsi="楷体_GB2312" w:eastAsia="楷体_GB2312" w:cs="楷体_GB2312"/>
          <w:color w:val="auto"/>
          <w:sz w:val="32"/>
          <w:szCs w:val="32"/>
          <w:shd w:val="clear" w:color="auto" w:fill="FFFFFF"/>
          <w:lang w:val="en-US" w:eastAsia="zh-CN"/>
        </w:rPr>
      </w:pPr>
      <w:r>
        <w:rPr>
          <w:rFonts w:hint="eastAsia" w:ascii="楷体_GB2312" w:hAnsi="楷体_GB2312" w:eastAsia="楷体_GB2312" w:cs="楷体_GB2312"/>
          <w:color w:val="auto"/>
          <w:sz w:val="32"/>
          <w:szCs w:val="32"/>
          <w:shd w:val="clear" w:color="auto" w:fill="FFFFFF"/>
          <w:lang w:val="en-US" w:eastAsia="zh-CN"/>
        </w:rPr>
        <w:t>（一）引入背景：顺应智慧城市建设，破解传统环卫痛点</w:t>
      </w:r>
    </w:p>
    <w:p w14:paraId="7970A67C">
      <w:pPr>
        <w:keepNext w:val="0"/>
        <w:keepLines w:val="0"/>
        <w:pageBreakBefore w:val="0"/>
        <w:widowControl w:val="0"/>
        <w:kinsoku/>
        <w:wordWrap/>
        <w:overflowPunct/>
        <w:topLinePunct w:val="0"/>
        <w:autoSpaceDE/>
        <w:autoSpaceDN/>
        <w:bidi w:val="0"/>
        <w:adjustRightInd/>
        <w:snapToGrid w:val="0"/>
        <w:spacing w:line="560" w:lineRule="exact"/>
        <w:ind w:firstLine="640"/>
        <w:textAlignment w:val="auto"/>
        <w:rPr>
          <w:rFonts w:hint="eastAsia" w:ascii="仿宋_GB2312" w:hAnsi="仿宋_GB2312" w:eastAsia="仿宋_GB2312" w:cs="仿宋_GB2312"/>
          <w:color w:val="auto"/>
          <w:sz w:val="32"/>
          <w:szCs w:val="32"/>
          <w:shd w:val="clear" w:color="auto" w:fill="FFFFFF"/>
          <w:lang w:val="en-US" w:eastAsia="zh-CN"/>
        </w:rPr>
      </w:pPr>
      <w:r>
        <w:rPr>
          <w:rFonts w:hint="eastAsia" w:ascii="仿宋_GB2312" w:hAnsi="仿宋_GB2312" w:eastAsia="仿宋_GB2312" w:cs="仿宋_GB2312"/>
          <w:color w:val="auto"/>
          <w:sz w:val="32"/>
          <w:szCs w:val="32"/>
          <w:shd w:val="clear" w:color="auto" w:fill="FFFFFF"/>
          <w:lang w:val="en-US" w:eastAsia="zh-CN"/>
        </w:rPr>
        <w:t>传统重点路段保洁高度依赖人力，一线作业人员长时间在交通混流的辅道、人行道作业，面临交通安全风险高、恶劣天气作业难、劳动强度大等现实挑战。随着作业人员老龄化趋势加剧，全天候、高强度、标准化保洁难度进一步加大。为此，我区积极探索智能装备在环卫一线的应用，以科技赋能破解行业痛点。</w:t>
      </w:r>
    </w:p>
    <w:p w14:paraId="21E55151">
      <w:pPr>
        <w:keepNext w:val="0"/>
        <w:keepLines w:val="0"/>
        <w:pageBreakBefore w:val="0"/>
        <w:widowControl w:val="0"/>
        <w:kinsoku/>
        <w:wordWrap/>
        <w:overflowPunct/>
        <w:topLinePunct w:val="0"/>
        <w:autoSpaceDE/>
        <w:autoSpaceDN/>
        <w:bidi w:val="0"/>
        <w:adjustRightInd/>
        <w:snapToGrid w:val="0"/>
        <w:spacing w:line="560" w:lineRule="exact"/>
        <w:ind w:firstLine="640"/>
        <w:textAlignment w:val="auto"/>
        <w:rPr>
          <w:rFonts w:hint="eastAsia" w:ascii="楷体_GB2312" w:hAnsi="楷体_GB2312" w:eastAsia="楷体_GB2312" w:cs="楷体_GB2312"/>
          <w:color w:val="auto"/>
          <w:sz w:val="32"/>
          <w:szCs w:val="32"/>
          <w:shd w:val="clear" w:color="auto" w:fill="FFFFFF"/>
          <w:lang w:val="en-US" w:eastAsia="zh-CN"/>
        </w:rPr>
      </w:pPr>
      <w:r>
        <w:rPr>
          <w:rFonts w:hint="eastAsia" w:ascii="楷体_GB2312" w:hAnsi="楷体_GB2312" w:eastAsia="楷体_GB2312" w:cs="楷体_GB2312"/>
          <w:color w:val="auto"/>
          <w:sz w:val="32"/>
          <w:szCs w:val="32"/>
          <w:shd w:val="clear" w:color="auto" w:fill="FFFFFF"/>
          <w:lang w:val="en-US" w:eastAsia="zh-CN"/>
        </w:rPr>
        <w:t>（二）设备介绍：核心功能与技术指标</w:t>
      </w:r>
    </w:p>
    <w:p w14:paraId="552E83E4">
      <w:pPr>
        <w:keepNext w:val="0"/>
        <w:keepLines w:val="0"/>
        <w:pageBreakBefore w:val="0"/>
        <w:widowControl w:val="0"/>
        <w:kinsoku/>
        <w:wordWrap/>
        <w:overflowPunct/>
        <w:topLinePunct w:val="0"/>
        <w:autoSpaceDE/>
        <w:autoSpaceDN/>
        <w:bidi w:val="0"/>
        <w:adjustRightInd/>
        <w:snapToGrid w:val="0"/>
        <w:spacing w:line="560" w:lineRule="exact"/>
        <w:ind w:firstLine="640"/>
        <w:textAlignment w:val="auto"/>
        <w:rPr>
          <w:rFonts w:hint="eastAsia" w:ascii="仿宋_GB2312" w:hAnsi="仿宋_GB2312" w:eastAsia="仿宋_GB2312" w:cs="仿宋_GB2312"/>
          <w:color w:val="auto"/>
          <w:sz w:val="32"/>
          <w:szCs w:val="32"/>
          <w:shd w:val="clear" w:color="auto" w:fill="FFFFFF"/>
          <w:lang w:val="en-US" w:eastAsia="zh-CN"/>
        </w:rPr>
      </w:pPr>
      <w:r>
        <w:rPr>
          <w:rFonts w:hint="eastAsia" w:ascii="仿宋_GB2312" w:hAnsi="仿宋_GB2312" w:eastAsia="仿宋_GB2312" w:cs="仿宋_GB2312"/>
          <w:color w:val="auto"/>
          <w:sz w:val="32"/>
          <w:szCs w:val="32"/>
          <w:shd w:val="clear" w:color="auto" w:fill="FFFFFF"/>
          <w:lang w:val="en-US" w:eastAsia="zh-CN"/>
        </w:rPr>
        <w:t>本次投入试运行的无人清扫车，是集成了高阶自动驾驶技术与环卫作业系统的新型智能装备，具备高度的自主性与安全性。</w:t>
      </w:r>
    </w:p>
    <w:p w14:paraId="395EB385">
      <w:pPr>
        <w:keepNext w:val="0"/>
        <w:keepLines w:val="0"/>
        <w:pageBreakBefore w:val="0"/>
        <w:widowControl w:val="0"/>
        <w:kinsoku/>
        <w:wordWrap/>
        <w:overflowPunct/>
        <w:topLinePunct w:val="0"/>
        <w:autoSpaceDE/>
        <w:autoSpaceDN/>
        <w:bidi w:val="0"/>
        <w:adjustRightInd/>
        <w:snapToGrid w:val="0"/>
        <w:spacing w:line="560" w:lineRule="exact"/>
        <w:ind w:firstLine="640"/>
        <w:textAlignment w:val="auto"/>
        <w:rPr>
          <w:rFonts w:hint="eastAsia" w:ascii="仿宋_GB2312" w:hAnsi="仿宋_GB2312" w:eastAsia="仿宋_GB2312" w:cs="仿宋_GB2312"/>
          <w:color w:val="auto"/>
          <w:sz w:val="32"/>
          <w:szCs w:val="32"/>
          <w:shd w:val="clear" w:color="auto" w:fill="FFFFFF"/>
          <w:lang w:val="en-US" w:eastAsia="zh-CN"/>
        </w:rPr>
      </w:pPr>
      <w:r>
        <w:rPr>
          <w:rFonts w:hint="eastAsia" w:ascii="仿宋_GB2312" w:hAnsi="仿宋_GB2312" w:eastAsia="仿宋_GB2312" w:cs="仿宋_GB2312"/>
          <w:color w:val="auto"/>
          <w:sz w:val="32"/>
          <w:szCs w:val="32"/>
          <w:shd w:val="clear" w:color="auto" w:fill="FFFFFF"/>
          <w:lang w:val="en-US" w:eastAsia="zh-CN"/>
        </w:rPr>
        <w:t>1.高阶自动驾驶与安全感知</w:t>
      </w:r>
    </w:p>
    <w:p w14:paraId="1851970C">
      <w:pPr>
        <w:keepNext w:val="0"/>
        <w:keepLines w:val="0"/>
        <w:pageBreakBefore w:val="0"/>
        <w:widowControl w:val="0"/>
        <w:kinsoku/>
        <w:wordWrap/>
        <w:overflowPunct/>
        <w:topLinePunct w:val="0"/>
        <w:autoSpaceDE/>
        <w:autoSpaceDN/>
        <w:bidi w:val="0"/>
        <w:adjustRightInd/>
        <w:snapToGrid w:val="0"/>
        <w:spacing w:line="560" w:lineRule="exact"/>
        <w:ind w:firstLine="640"/>
        <w:textAlignment w:val="auto"/>
        <w:rPr>
          <w:rFonts w:hint="eastAsia" w:ascii="仿宋_GB2312" w:hAnsi="仿宋_GB2312" w:eastAsia="仿宋_GB2312" w:cs="仿宋_GB2312"/>
          <w:color w:val="auto"/>
          <w:sz w:val="32"/>
          <w:szCs w:val="32"/>
          <w:shd w:val="clear" w:color="auto" w:fill="FFFFFF"/>
          <w:lang w:val="en-US" w:eastAsia="zh-CN"/>
        </w:rPr>
      </w:pPr>
      <w:r>
        <w:rPr>
          <w:rFonts w:hint="eastAsia" w:ascii="仿宋_GB2312" w:hAnsi="仿宋_GB2312" w:eastAsia="仿宋_GB2312" w:cs="仿宋_GB2312"/>
          <w:color w:val="auto"/>
          <w:sz w:val="32"/>
          <w:szCs w:val="32"/>
          <w:shd w:val="clear" w:color="auto" w:fill="FFFFFF"/>
          <w:lang w:val="en-US" w:eastAsia="zh-CN"/>
        </w:rPr>
        <w:t>车辆搭载了高精度激光雷达、视觉摄像头及超声波传感器等多源融合感知系统，能够360度实时感知周边环境。在人流、车流密集的复杂路段，设备具备动态自主避障、紧急制动以及厘米级精准贴边清扫的能力，确保作业过程绝对安全。</w:t>
      </w:r>
    </w:p>
    <w:p w14:paraId="13383F8B">
      <w:pPr>
        <w:keepNext w:val="0"/>
        <w:keepLines w:val="0"/>
        <w:pageBreakBefore w:val="0"/>
        <w:widowControl w:val="0"/>
        <w:kinsoku/>
        <w:wordWrap/>
        <w:overflowPunct/>
        <w:topLinePunct w:val="0"/>
        <w:autoSpaceDE/>
        <w:autoSpaceDN/>
        <w:bidi w:val="0"/>
        <w:adjustRightInd/>
        <w:snapToGrid w:val="0"/>
        <w:spacing w:line="560" w:lineRule="exact"/>
        <w:ind w:firstLine="640"/>
        <w:textAlignment w:val="auto"/>
        <w:rPr>
          <w:rFonts w:hint="eastAsia" w:ascii="仿宋_GB2312" w:hAnsi="仿宋_GB2312" w:eastAsia="仿宋_GB2312" w:cs="仿宋_GB2312"/>
          <w:color w:val="auto"/>
          <w:sz w:val="32"/>
          <w:szCs w:val="32"/>
          <w:shd w:val="clear" w:color="auto" w:fill="FFFFFF"/>
          <w:lang w:val="en-US" w:eastAsia="zh-CN"/>
        </w:rPr>
      </w:pPr>
      <w:r>
        <w:rPr>
          <w:rFonts w:hint="eastAsia" w:ascii="仿宋_GB2312" w:hAnsi="仿宋_GB2312" w:eastAsia="仿宋_GB2312" w:cs="仿宋_GB2312"/>
          <w:color w:val="auto"/>
          <w:sz w:val="32"/>
          <w:szCs w:val="32"/>
          <w:shd w:val="clear" w:color="auto" w:fill="FFFFFF"/>
          <w:lang w:val="en-US" w:eastAsia="zh-CN"/>
        </w:rPr>
        <w:t>2.全流程无人化闭环作业</w:t>
      </w:r>
    </w:p>
    <w:p w14:paraId="5714F4C3">
      <w:pPr>
        <w:keepNext w:val="0"/>
        <w:keepLines w:val="0"/>
        <w:pageBreakBefore w:val="0"/>
        <w:widowControl w:val="0"/>
        <w:kinsoku/>
        <w:wordWrap/>
        <w:overflowPunct/>
        <w:topLinePunct w:val="0"/>
        <w:autoSpaceDE/>
        <w:autoSpaceDN/>
        <w:bidi w:val="0"/>
        <w:adjustRightInd/>
        <w:snapToGrid w:val="0"/>
        <w:spacing w:line="560" w:lineRule="exact"/>
        <w:ind w:firstLine="640"/>
        <w:textAlignment w:val="auto"/>
        <w:rPr>
          <w:rFonts w:hint="eastAsia" w:ascii="仿宋_GB2312" w:hAnsi="仿宋_GB2312" w:eastAsia="仿宋_GB2312" w:cs="仿宋_GB2312"/>
          <w:color w:val="auto"/>
          <w:sz w:val="32"/>
          <w:szCs w:val="32"/>
          <w:shd w:val="clear" w:color="auto" w:fill="FFFFFF"/>
          <w:lang w:val="en-US" w:eastAsia="zh-CN"/>
        </w:rPr>
      </w:pPr>
      <w:r>
        <w:rPr>
          <w:rFonts w:hint="eastAsia" w:ascii="仿宋_GB2312" w:hAnsi="仿宋_GB2312" w:eastAsia="仿宋_GB2312" w:cs="仿宋_GB2312"/>
          <w:color w:val="auto"/>
          <w:sz w:val="32"/>
          <w:szCs w:val="32"/>
          <w:shd w:val="clear" w:color="auto" w:fill="FFFFFF"/>
          <w:lang w:val="en-US" w:eastAsia="zh-CN"/>
        </w:rPr>
        <w:t>该设备实现了从任务下发到作业完成的全流程无人化。车辆可根据预设地图自动苏醒、按规划路线开展定点清扫，并在电量或水量不足时，自主返回基站进行补给，作业完成后可自主泊车与自动倾倒垃圾。</w:t>
      </w:r>
    </w:p>
    <w:p w14:paraId="2BA88CA5">
      <w:pPr>
        <w:keepNext w:val="0"/>
        <w:keepLines w:val="0"/>
        <w:pageBreakBefore w:val="0"/>
        <w:widowControl w:val="0"/>
        <w:kinsoku/>
        <w:wordWrap/>
        <w:overflowPunct/>
        <w:topLinePunct w:val="0"/>
        <w:autoSpaceDE/>
        <w:autoSpaceDN/>
        <w:bidi w:val="0"/>
        <w:adjustRightInd/>
        <w:snapToGrid w:val="0"/>
        <w:spacing w:line="560" w:lineRule="exact"/>
        <w:ind w:firstLine="640"/>
        <w:textAlignment w:val="auto"/>
        <w:rPr>
          <w:rFonts w:hint="eastAsia" w:ascii="仿宋_GB2312" w:hAnsi="仿宋_GB2312" w:eastAsia="仿宋_GB2312" w:cs="仿宋_GB2312"/>
          <w:color w:val="auto"/>
          <w:sz w:val="32"/>
          <w:szCs w:val="32"/>
          <w:shd w:val="clear" w:color="auto" w:fill="FFFFFF"/>
          <w:lang w:val="en-US" w:eastAsia="zh-CN"/>
        </w:rPr>
      </w:pPr>
      <w:r>
        <w:rPr>
          <w:rFonts w:hint="eastAsia" w:ascii="仿宋_GB2312" w:hAnsi="仿宋_GB2312" w:eastAsia="仿宋_GB2312" w:cs="仿宋_GB2312"/>
          <w:color w:val="auto"/>
          <w:sz w:val="32"/>
          <w:szCs w:val="32"/>
          <w:shd w:val="clear" w:color="auto" w:fill="FFFFFF"/>
          <w:lang w:val="en-US" w:eastAsia="zh-CN"/>
        </w:rPr>
        <w:t>3.核心运行参数</w:t>
      </w:r>
    </w:p>
    <w:p w14:paraId="31370147">
      <w:pPr>
        <w:keepNext w:val="0"/>
        <w:keepLines w:val="0"/>
        <w:pageBreakBefore w:val="0"/>
        <w:widowControl w:val="0"/>
        <w:kinsoku/>
        <w:wordWrap/>
        <w:overflowPunct/>
        <w:topLinePunct w:val="0"/>
        <w:autoSpaceDE/>
        <w:autoSpaceDN/>
        <w:bidi w:val="0"/>
        <w:adjustRightInd/>
        <w:snapToGrid w:val="0"/>
        <w:spacing w:line="560" w:lineRule="exact"/>
        <w:ind w:firstLine="640"/>
        <w:textAlignment w:val="auto"/>
        <w:rPr>
          <w:rFonts w:hint="eastAsia" w:ascii="仿宋_GB2312" w:hAnsi="仿宋_GB2312" w:eastAsia="仿宋_GB2312" w:cs="仿宋_GB2312"/>
          <w:color w:val="auto"/>
          <w:sz w:val="32"/>
          <w:szCs w:val="32"/>
          <w:shd w:val="clear" w:color="auto" w:fill="FFFFFF"/>
          <w:lang w:val="en-US" w:eastAsia="zh-CN"/>
        </w:rPr>
      </w:pPr>
      <w:r>
        <w:rPr>
          <w:rFonts w:hint="eastAsia" w:ascii="仿宋_GB2312" w:hAnsi="仿宋_GB2312" w:eastAsia="仿宋_GB2312" w:cs="仿宋_GB2312"/>
          <w:color w:val="auto"/>
          <w:sz w:val="32"/>
          <w:szCs w:val="32"/>
          <w:shd w:val="clear" w:color="auto" w:fill="FFFFFF"/>
          <w:lang w:val="en-US" w:eastAsia="zh-CN"/>
        </w:rPr>
        <w:t xml:space="preserve">   最高清扫时速： 【6】km/h；</w:t>
      </w:r>
    </w:p>
    <w:p w14:paraId="3E829AB7">
      <w:pPr>
        <w:keepNext w:val="0"/>
        <w:keepLines w:val="0"/>
        <w:pageBreakBefore w:val="0"/>
        <w:widowControl w:val="0"/>
        <w:kinsoku/>
        <w:wordWrap/>
        <w:overflowPunct/>
        <w:topLinePunct w:val="0"/>
        <w:autoSpaceDE/>
        <w:autoSpaceDN/>
        <w:bidi w:val="0"/>
        <w:adjustRightInd/>
        <w:snapToGrid w:val="0"/>
        <w:spacing w:line="560" w:lineRule="exact"/>
        <w:ind w:firstLine="640"/>
        <w:textAlignment w:val="auto"/>
        <w:rPr>
          <w:rFonts w:hint="eastAsia" w:ascii="仿宋_GB2312" w:hAnsi="仿宋_GB2312" w:eastAsia="仿宋_GB2312" w:cs="仿宋_GB2312"/>
          <w:color w:val="auto"/>
          <w:sz w:val="32"/>
          <w:szCs w:val="32"/>
          <w:shd w:val="clear" w:color="auto" w:fill="FFFFFF"/>
          <w:lang w:val="en-US" w:eastAsia="zh-CN"/>
        </w:rPr>
      </w:pPr>
      <w:r>
        <w:rPr>
          <w:rFonts w:hint="eastAsia" w:ascii="仿宋_GB2312" w:hAnsi="仿宋_GB2312" w:eastAsia="仿宋_GB2312" w:cs="仿宋_GB2312"/>
          <w:color w:val="auto"/>
          <w:sz w:val="32"/>
          <w:szCs w:val="32"/>
          <w:shd w:val="clear" w:color="auto" w:fill="FFFFFF"/>
          <w:lang w:val="en-US" w:eastAsia="zh-CN"/>
        </w:rPr>
        <w:t xml:space="preserve">   单次满电续航： 持续作业【8-10】小时；</w:t>
      </w:r>
    </w:p>
    <w:p w14:paraId="6B11A97F">
      <w:pPr>
        <w:keepNext w:val="0"/>
        <w:keepLines w:val="0"/>
        <w:pageBreakBefore w:val="0"/>
        <w:widowControl w:val="0"/>
        <w:kinsoku/>
        <w:wordWrap/>
        <w:overflowPunct/>
        <w:topLinePunct w:val="0"/>
        <w:autoSpaceDE/>
        <w:autoSpaceDN/>
        <w:bidi w:val="0"/>
        <w:adjustRightInd/>
        <w:snapToGrid w:val="0"/>
        <w:spacing w:line="560" w:lineRule="exact"/>
        <w:ind w:firstLine="640"/>
        <w:textAlignment w:val="auto"/>
        <w:rPr>
          <w:rFonts w:hint="eastAsia" w:ascii="仿宋_GB2312" w:hAnsi="仿宋_GB2312" w:eastAsia="仿宋_GB2312" w:cs="仿宋_GB2312"/>
          <w:color w:val="auto"/>
          <w:sz w:val="32"/>
          <w:szCs w:val="32"/>
          <w:shd w:val="clear" w:color="auto" w:fill="FFFFFF"/>
          <w:lang w:val="en-US" w:eastAsia="zh-CN"/>
        </w:rPr>
      </w:pPr>
      <w:r>
        <w:rPr>
          <w:rFonts w:hint="eastAsia" w:ascii="仿宋_GB2312" w:hAnsi="仿宋_GB2312" w:eastAsia="仿宋_GB2312" w:cs="仿宋_GB2312"/>
          <w:color w:val="auto"/>
          <w:sz w:val="32"/>
          <w:szCs w:val="32"/>
          <w:shd w:val="clear" w:color="auto" w:fill="FFFFFF"/>
          <w:lang w:val="en-US" w:eastAsia="zh-CN"/>
        </w:rPr>
        <w:t xml:space="preserve">   有效清扫宽度： 【1.9】米；</w:t>
      </w:r>
    </w:p>
    <w:p w14:paraId="02878CCF">
      <w:pPr>
        <w:keepNext w:val="0"/>
        <w:keepLines w:val="0"/>
        <w:pageBreakBefore w:val="0"/>
        <w:widowControl w:val="0"/>
        <w:kinsoku/>
        <w:wordWrap/>
        <w:overflowPunct/>
        <w:topLinePunct w:val="0"/>
        <w:autoSpaceDE/>
        <w:autoSpaceDN/>
        <w:bidi w:val="0"/>
        <w:adjustRightInd/>
        <w:snapToGrid w:val="0"/>
        <w:spacing w:line="560" w:lineRule="exact"/>
        <w:ind w:firstLine="640"/>
        <w:textAlignment w:val="auto"/>
        <w:rPr>
          <w:rFonts w:hint="eastAsia" w:ascii="仿宋_GB2312" w:hAnsi="仿宋_GB2312" w:eastAsia="仿宋_GB2312" w:cs="仿宋_GB2312"/>
          <w:color w:val="auto"/>
          <w:sz w:val="32"/>
          <w:szCs w:val="32"/>
          <w:shd w:val="clear" w:color="auto" w:fill="FFFFFF"/>
          <w:lang w:val="en-US" w:eastAsia="zh-CN"/>
        </w:rPr>
      </w:pPr>
      <w:r>
        <w:rPr>
          <w:rFonts w:hint="eastAsia" w:ascii="仿宋_GB2312" w:hAnsi="仿宋_GB2312" w:eastAsia="仿宋_GB2312" w:cs="仿宋_GB2312"/>
          <w:color w:val="auto"/>
          <w:sz w:val="32"/>
          <w:szCs w:val="32"/>
          <w:shd w:val="clear" w:color="auto" w:fill="FFFFFF"/>
          <w:lang w:val="en-US" w:eastAsia="zh-CN"/>
        </w:rPr>
        <w:t xml:space="preserve">   综合清扫效率： 约【4000】平方米/小时；</w:t>
      </w:r>
    </w:p>
    <w:p w14:paraId="21192F9B">
      <w:pPr>
        <w:keepNext w:val="0"/>
        <w:keepLines w:val="0"/>
        <w:pageBreakBefore w:val="0"/>
        <w:widowControl w:val="0"/>
        <w:kinsoku/>
        <w:wordWrap/>
        <w:overflowPunct/>
        <w:topLinePunct w:val="0"/>
        <w:autoSpaceDE/>
        <w:autoSpaceDN/>
        <w:bidi w:val="0"/>
        <w:adjustRightInd/>
        <w:snapToGrid w:val="0"/>
        <w:spacing w:line="560" w:lineRule="exact"/>
        <w:ind w:firstLine="640"/>
        <w:textAlignment w:val="auto"/>
        <w:rPr>
          <w:rFonts w:hint="eastAsia" w:ascii="仿宋_GB2312" w:hAnsi="仿宋_GB2312" w:eastAsia="仿宋_GB2312" w:cs="仿宋_GB2312"/>
          <w:color w:val="auto"/>
          <w:sz w:val="32"/>
          <w:szCs w:val="32"/>
          <w:shd w:val="clear" w:color="auto" w:fill="FFFFFF"/>
          <w:lang w:val="en-US" w:eastAsia="zh-CN"/>
        </w:rPr>
      </w:pPr>
      <w:r>
        <w:rPr>
          <w:rFonts w:hint="eastAsia" w:ascii="仿宋_GB2312" w:hAnsi="仿宋_GB2312" w:eastAsia="仿宋_GB2312" w:cs="仿宋_GB2312"/>
          <w:color w:val="auto"/>
          <w:sz w:val="32"/>
          <w:szCs w:val="32"/>
          <w:shd w:val="clear" w:color="auto" w:fill="FFFFFF"/>
          <w:lang w:val="en-US" w:eastAsia="zh-CN"/>
        </w:rPr>
        <w:t xml:space="preserve">   设备载量： 清水箱容量【100】升，垃圾箱容量【150】升。</w:t>
      </w:r>
    </w:p>
    <w:p w14:paraId="772BE273">
      <w:pPr>
        <w:keepNext w:val="0"/>
        <w:keepLines w:val="0"/>
        <w:pageBreakBefore w:val="0"/>
        <w:widowControl w:val="0"/>
        <w:kinsoku/>
        <w:wordWrap/>
        <w:overflowPunct/>
        <w:topLinePunct w:val="0"/>
        <w:autoSpaceDE/>
        <w:autoSpaceDN/>
        <w:bidi w:val="0"/>
        <w:adjustRightInd/>
        <w:snapToGrid w:val="0"/>
        <w:spacing w:line="560" w:lineRule="exact"/>
        <w:ind w:firstLine="640"/>
        <w:textAlignment w:val="auto"/>
        <w:rPr>
          <w:rFonts w:hint="eastAsia" w:ascii="楷体_GB2312" w:hAnsi="楷体_GB2312" w:eastAsia="楷体_GB2312" w:cs="楷体_GB2312"/>
          <w:color w:val="auto"/>
          <w:sz w:val="32"/>
          <w:szCs w:val="32"/>
          <w:shd w:val="clear" w:color="auto" w:fill="FFFFFF"/>
          <w:lang w:val="en-US" w:eastAsia="zh-CN"/>
        </w:rPr>
      </w:pPr>
      <w:r>
        <w:rPr>
          <w:rFonts w:hint="eastAsia" w:ascii="楷体_GB2312" w:hAnsi="楷体_GB2312" w:eastAsia="楷体_GB2312" w:cs="楷体_GB2312"/>
          <w:color w:val="auto"/>
          <w:sz w:val="32"/>
          <w:szCs w:val="32"/>
          <w:shd w:val="clear" w:color="auto" w:fill="FFFFFF"/>
          <w:lang w:val="en-US" w:eastAsia="zh-CN"/>
        </w:rPr>
        <w:t>（三）运作机制：会展中心片区的“机扫+人保”协同模式</w:t>
      </w:r>
    </w:p>
    <w:p w14:paraId="1684A770">
      <w:pPr>
        <w:keepNext w:val="0"/>
        <w:keepLines w:val="0"/>
        <w:pageBreakBefore w:val="0"/>
        <w:widowControl w:val="0"/>
        <w:kinsoku/>
        <w:wordWrap/>
        <w:overflowPunct/>
        <w:topLinePunct w:val="0"/>
        <w:autoSpaceDE/>
        <w:autoSpaceDN/>
        <w:bidi w:val="0"/>
        <w:adjustRightInd/>
        <w:snapToGrid w:val="0"/>
        <w:spacing w:line="560" w:lineRule="exact"/>
        <w:ind w:firstLine="640"/>
        <w:textAlignment w:val="auto"/>
        <w:rPr>
          <w:rFonts w:hint="eastAsia" w:ascii="仿宋_GB2312" w:hAnsi="仿宋_GB2312" w:eastAsia="仿宋_GB2312" w:cs="仿宋_GB2312"/>
          <w:color w:val="auto"/>
          <w:sz w:val="32"/>
          <w:szCs w:val="32"/>
          <w:shd w:val="clear" w:color="auto" w:fill="FFFFFF"/>
          <w:lang w:val="en-US" w:eastAsia="zh-CN"/>
        </w:rPr>
      </w:pPr>
      <w:r>
        <w:rPr>
          <w:rFonts w:hint="eastAsia" w:ascii="仿宋_GB2312" w:hAnsi="仿宋_GB2312" w:eastAsia="仿宋_GB2312" w:cs="仿宋_GB2312"/>
          <w:color w:val="auto"/>
          <w:sz w:val="32"/>
          <w:szCs w:val="32"/>
          <w:shd w:val="clear" w:color="auto" w:fill="FFFFFF"/>
          <w:lang w:val="en-US" w:eastAsia="zh-CN"/>
        </w:rPr>
        <w:t>在实际运营中，针对无人清扫车的特性，结合火炬会展中心片区的实际路况，重构底层运作机制：</w:t>
      </w:r>
    </w:p>
    <w:p w14:paraId="7A7D9764">
      <w:pPr>
        <w:keepNext w:val="0"/>
        <w:keepLines w:val="0"/>
        <w:pageBreakBefore w:val="0"/>
        <w:widowControl w:val="0"/>
        <w:kinsoku/>
        <w:wordWrap/>
        <w:overflowPunct/>
        <w:topLinePunct w:val="0"/>
        <w:autoSpaceDE/>
        <w:autoSpaceDN/>
        <w:bidi w:val="0"/>
        <w:adjustRightInd/>
        <w:snapToGrid w:val="0"/>
        <w:spacing w:line="560" w:lineRule="exact"/>
        <w:ind w:firstLine="640"/>
        <w:textAlignment w:val="auto"/>
        <w:rPr>
          <w:rFonts w:hint="eastAsia" w:ascii="仿宋_GB2312" w:hAnsi="仿宋_GB2312" w:eastAsia="仿宋_GB2312" w:cs="仿宋_GB2312"/>
          <w:color w:val="auto"/>
          <w:sz w:val="32"/>
          <w:szCs w:val="32"/>
          <w:shd w:val="clear" w:color="auto" w:fill="FFFFFF"/>
          <w:lang w:val="en-US" w:eastAsia="zh-CN"/>
        </w:rPr>
      </w:pPr>
      <w:r>
        <w:rPr>
          <w:rFonts w:hint="eastAsia" w:ascii="仿宋_GB2312" w:hAnsi="仿宋_GB2312" w:eastAsia="仿宋_GB2312" w:cs="仿宋_GB2312"/>
          <w:color w:val="auto"/>
          <w:sz w:val="32"/>
          <w:szCs w:val="32"/>
          <w:shd w:val="clear" w:color="auto" w:fill="FFFFFF"/>
          <w:lang w:val="en-US" w:eastAsia="zh-CN"/>
        </w:rPr>
        <w:t>1.实施“远程云端调度平台监控”</w:t>
      </w:r>
    </w:p>
    <w:p w14:paraId="2D2550C3">
      <w:pPr>
        <w:keepNext w:val="0"/>
        <w:keepLines w:val="0"/>
        <w:pageBreakBefore w:val="0"/>
        <w:widowControl w:val="0"/>
        <w:kinsoku/>
        <w:wordWrap/>
        <w:overflowPunct/>
        <w:topLinePunct w:val="0"/>
        <w:autoSpaceDE/>
        <w:autoSpaceDN/>
        <w:bidi w:val="0"/>
        <w:adjustRightInd/>
        <w:snapToGrid w:val="0"/>
        <w:spacing w:line="560" w:lineRule="exact"/>
        <w:ind w:firstLine="640"/>
        <w:textAlignment w:val="auto"/>
        <w:rPr>
          <w:rFonts w:hint="eastAsia" w:ascii="仿宋_GB2312" w:hAnsi="仿宋_GB2312" w:eastAsia="仿宋_GB2312" w:cs="仿宋_GB2312"/>
          <w:color w:val="auto"/>
          <w:sz w:val="32"/>
          <w:szCs w:val="32"/>
          <w:shd w:val="clear" w:color="auto" w:fill="FFFFFF"/>
          <w:lang w:val="en-US" w:eastAsia="zh-CN"/>
        </w:rPr>
      </w:pPr>
      <w:r>
        <w:rPr>
          <w:rFonts w:hint="eastAsia" w:ascii="仿宋_GB2312" w:hAnsi="仿宋_GB2312" w:eastAsia="仿宋_GB2312" w:cs="仿宋_GB2312"/>
          <w:color w:val="auto"/>
          <w:sz w:val="32"/>
          <w:szCs w:val="32"/>
          <w:shd w:val="clear" w:color="auto" w:fill="FFFFFF"/>
          <w:lang w:val="en-US" w:eastAsia="zh-CN"/>
        </w:rPr>
        <w:t>设备在现场作业时无需配备随行驾驶员或安全员。依托智慧环卫云端调度平台，后台管理人员可通过指挥大屏或移动终端，实时查看车辆的运行轨迹、作业画面、电量水情及清扫进度。遇到突发状况时，平台会自动报警，后台人员可一键接管，实现了“一屏观全域、一网管全程”的科学调度。</w:t>
      </w:r>
    </w:p>
    <w:p w14:paraId="2A48DC06">
      <w:pPr>
        <w:keepNext w:val="0"/>
        <w:keepLines w:val="0"/>
        <w:pageBreakBefore w:val="0"/>
        <w:widowControl w:val="0"/>
        <w:kinsoku/>
        <w:wordWrap/>
        <w:overflowPunct/>
        <w:topLinePunct w:val="0"/>
        <w:autoSpaceDE/>
        <w:autoSpaceDN/>
        <w:bidi w:val="0"/>
        <w:adjustRightInd/>
        <w:snapToGrid w:val="0"/>
        <w:spacing w:line="560" w:lineRule="exact"/>
        <w:ind w:firstLine="640"/>
        <w:textAlignment w:val="auto"/>
        <w:rPr>
          <w:rFonts w:hint="eastAsia" w:ascii="仿宋_GB2312" w:hAnsi="仿宋_GB2312" w:eastAsia="仿宋_GB2312" w:cs="仿宋_GB2312"/>
          <w:color w:val="auto"/>
          <w:sz w:val="32"/>
          <w:szCs w:val="32"/>
          <w:shd w:val="clear" w:color="auto" w:fill="FFFFFF"/>
          <w:lang w:val="en-US" w:eastAsia="zh-CN"/>
        </w:rPr>
      </w:pPr>
      <w:r>
        <w:rPr>
          <w:rFonts w:hint="eastAsia" w:ascii="仿宋_GB2312" w:hAnsi="仿宋_GB2312" w:eastAsia="仿宋_GB2312" w:cs="仿宋_GB2312"/>
          <w:color w:val="auto"/>
          <w:sz w:val="32"/>
          <w:szCs w:val="32"/>
          <w:shd w:val="clear" w:color="auto" w:fill="FFFFFF"/>
          <w:lang w:val="en-US" w:eastAsia="zh-CN"/>
        </w:rPr>
        <w:t>2.创新“机扫+人保”人机协同分工</w:t>
      </w:r>
    </w:p>
    <w:p w14:paraId="7B3E3728">
      <w:pPr>
        <w:keepNext w:val="0"/>
        <w:keepLines w:val="0"/>
        <w:pageBreakBefore w:val="0"/>
        <w:widowControl w:val="0"/>
        <w:kinsoku/>
        <w:wordWrap/>
        <w:overflowPunct/>
        <w:topLinePunct w:val="0"/>
        <w:autoSpaceDE/>
        <w:autoSpaceDN/>
        <w:bidi w:val="0"/>
        <w:adjustRightInd/>
        <w:snapToGrid w:val="0"/>
        <w:spacing w:line="560" w:lineRule="exact"/>
        <w:ind w:firstLine="640"/>
        <w:textAlignment w:val="auto"/>
        <w:rPr>
          <w:rFonts w:hint="eastAsia" w:ascii="仿宋_GB2312" w:hAnsi="仿宋_GB2312" w:eastAsia="仿宋_GB2312" w:cs="仿宋_GB2312"/>
          <w:color w:val="auto"/>
          <w:sz w:val="32"/>
          <w:szCs w:val="32"/>
          <w:shd w:val="clear" w:color="auto" w:fill="FFFFFF"/>
          <w:lang w:val="en-US" w:eastAsia="zh-CN"/>
        </w:rPr>
      </w:pPr>
      <w:r>
        <w:rPr>
          <w:rFonts w:hint="eastAsia" w:ascii="仿宋_GB2312" w:hAnsi="仿宋_GB2312" w:eastAsia="仿宋_GB2312" w:cs="仿宋_GB2312"/>
          <w:color w:val="auto"/>
          <w:sz w:val="32"/>
          <w:szCs w:val="32"/>
          <w:shd w:val="clear" w:color="auto" w:fill="FFFFFF"/>
          <w:lang w:val="en-US" w:eastAsia="zh-CN"/>
        </w:rPr>
        <w:t>在会展中心周边区域，我们划定了专属作业网格，实施优势互补的人机协同模式：</w:t>
      </w:r>
    </w:p>
    <w:p w14:paraId="0023D194">
      <w:pPr>
        <w:keepNext w:val="0"/>
        <w:keepLines w:val="0"/>
        <w:pageBreakBefore w:val="0"/>
        <w:widowControl w:val="0"/>
        <w:kinsoku/>
        <w:wordWrap/>
        <w:overflowPunct/>
        <w:topLinePunct w:val="0"/>
        <w:autoSpaceDE/>
        <w:autoSpaceDN/>
        <w:bidi w:val="0"/>
        <w:adjustRightInd/>
        <w:snapToGrid w:val="0"/>
        <w:spacing w:line="560" w:lineRule="exact"/>
        <w:ind w:firstLine="640"/>
        <w:textAlignment w:val="auto"/>
        <w:rPr>
          <w:rFonts w:hint="eastAsia" w:ascii="仿宋_GB2312" w:hAnsi="仿宋_GB2312" w:eastAsia="仿宋_GB2312" w:cs="仿宋_GB2312"/>
          <w:color w:val="auto"/>
          <w:sz w:val="32"/>
          <w:szCs w:val="32"/>
          <w:shd w:val="clear" w:color="auto" w:fill="FFFFFF"/>
          <w:lang w:val="en-US" w:eastAsia="zh-CN"/>
        </w:rPr>
      </w:pPr>
      <w:r>
        <w:rPr>
          <w:rFonts w:hint="eastAsia" w:ascii="仿宋_GB2312" w:hAnsi="仿宋_GB2312" w:eastAsia="仿宋_GB2312" w:cs="仿宋_GB2312"/>
          <w:color w:val="auto"/>
          <w:sz w:val="32"/>
          <w:szCs w:val="32"/>
          <w:shd w:val="clear" w:color="auto" w:fill="FFFFFF"/>
          <w:lang w:val="en-US" w:eastAsia="zh-CN"/>
        </w:rPr>
        <w:t>无人车“挑大梁”： 负责大面积、长距离的人行道及辅道区域。通过其强大的吸扫与降尘能力，进行标准化、不间断的路面底色维护。</w:t>
      </w:r>
    </w:p>
    <w:p w14:paraId="6757779F">
      <w:pPr>
        <w:keepNext w:val="0"/>
        <w:keepLines w:val="0"/>
        <w:pageBreakBefore w:val="0"/>
        <w:widowControl w:val="0"/>
        <w:kinsoku/>
        <w:wordWrap/>
        <w:overflowPunct/>
        <w:topLinePunct w:val="0"/>
        <w:autoSpaceDE/>
        <w:autoSpaceDN/>
        <w:bidi w:val="0"/>
        <w:adjustRightInd/>
        <w:snapToGrid w:val="0"/>
        <w:spacing w:line="560" w:lineRule="exact"/>
        <w:ind w:firstLine="640"/>
        <w:textAlignment w:val="auto"/>
        <w:rPr>
          <w:rFonts w:hint="eastAsia" w:ascii="Times New Roman" w:hAnsi="Times New Roman" w:eastAsia="方正仿宋_GB2312" w:cs="方正仿宋_GB2312"/>
          <w:color w:val="auto"/>
          <w:sz w:val="28"/>
          <w:szCs w:val="36"/>
        </w:rPr>
      </w:pPr>
      <w:r>
        <w:rPr>
          <w:rFonts w:hint="eastAsia" w:ascii="仿宋_GB2312" w:hAnsi="仿宋_GB2312" w:eastAsia="仿宋_GB2312" w:cs="仿宋_GB2312"/>
          <w:color w:val="auto"/>
          <w:sz w:val="32"/>
          <w:szCs w:val="32"/>
          <w:shd w:val="clear" w:color="auto" w:fill="FFFFFF"/>
          <w:lang w:val="en-US" w:eastAsia="zh-CN"/>
        </w:rPr>
        <w:t>环卫工人“绣花针”： 将原先负责大面积清扫的保洁力量释放出来，有针对性地投入到无人车难以触及的卫生死角、绿化带漂浮物捡拾、城市家具（如公交站牌、果皮箱）擦洗等精细化保洁工作中。</w:t>
      </w:r>
    </w:p>
    <w:p w14:paraId="084434E7">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jc w:val="both"/>
        <w:textAlignment w:val="auto"/>
        <w:rPr>
          <w:rFonts w:hint="eastAsia" w:ascii="楷体_GB2312" w:hAnsi="楷体_GB2312" w:eastAsia="楷体_GB2312" w:cs="楷体_GB2312"/>
          <w:color w:val="auto"/>
          <w:sz w:val="32"/>
          <w:szCs w:val="32"/>
          <w:shd w:val="clear" w:color="auto" w:fill="FFFFFF"/>
          <w:lang w:val="en-US" w:eastAsia="zh-CN"/>
        </w:rPr>
      </w:pPr>
      <w:r>
        <w:rPr>
          <w:rFonts w:hint="eastAsia" w:ascii="楷体_GB2312" w:hAnsi="楷体_GB2312" w:eastAsia="楷体_GB2312" w:cs="楷体_GB2312"/>
          <w:color w:val="auto"/>
          <w:sz w:val="32"/>
          <w:szCs w:val="32"/>
          <w:shd w:val="clear" w:color="auto" w:fill="FFFFFF"/>
          <w:lang w:val="en-US" w:eastAsia="zh-CN"/>
        </w:rPr>
        <w:t>（二）具体应用成效（与技术应用前相比，300字以内）。</w:t>
      </w:r>
    </w:p>
    <w:p w14:paraId="2049C13A">
      <w:pPr>
        <w:keepNext w:val="0"/>
        <w:keepLines w:val="0"/>
        <w:pageBreakBefore w:val="0"/>
        <w:widowControl w:val="0"/>
        <w:kinsoku/>
        <w:wordWrap/>
        <w:overflowPunct/>
        <w:topLinePunct w:val="0"/>
        <w:autoSpaceDE/>
        <w:autoSpaceDN/>
        <w:bidi w:val="0"/>
        <w:adjustRightInd/>
        <w:snapToGrid w:val="0"/>
        <w:spacing w:line="560" w:lineRule="exact"/>
        <w:ind w:firstLine="640"/>
        <w:textAlignment w:val="auto"/>
        <w:rPr>
          <w:rFonts w:hint="eastAsia" w:ascii="Times New Roman" w:hAnsi="Times New Roman" w:eastAsia="方正仿宋_GB2312" w:cs="方正仿宋_GB2312"/>
          <w:color w:val="auto"/>
          <w:sz w:val="28"/>
          <w:szCs w:val="36"/>
        </w:rPr>
      </w:pPr>
      <w:r>
        <w:rPr>
          <w:rFonts w:hint="eastAsia" w:ascii="仿宋_GB2312" w:hAnsi="仿宋_GB2312" w:eastAsia="仿宋_GB2312" w:cs="仿宋_GB2312"/>
          <w:color w:val="auto"/>
          <w:sz w:val="32"/>
          <w:szCs w:val="32"/>
          <w:shd w:val="clear" w:color="auto" w:fill="FFFFFF"/>
          <w:lang w:val="en-US" w:eastAsia="zh-CN"/>
        </w:rPr>
        <w:t>无人清扫车投用后，可将一线环卫工人从高风险辅道和高温高强度作业中替换下来，从源头降低交通事故和职业健康风险；程序化作业标准统一、不留盲区，且具备夜间作业能力，有效填补人工交接班空档，保障会展中心等城市窗口区域全天候洁净。同时，科技感十足的无人清扫车也成为展示火炬高新区科技与管理融合的流动名片，提升了市民和外来客商对智慧城市建设的获得感与认同感。</w:t>
      </w:r>
    </w:p>
    <w:p w14:paraId="1BBCF499">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jc w:val="both"/>
        <w:textAlignment w:val="auto"/>
        <w:rPr>
          <w:rFonts w:hint="eastAsia" w:ascii="仿宋_GB2312" w:hAnsi="仿宋_GB2312" w:eastAsia="仿宋_GB2312" w:cs="仿宋_GB2312"/>
          <w:color w:val="auto"/>
          <w:sz w:val="32"/>
          <w:szCs w:val="32"/>
          <w:shd w:val="clear" w:color="auto" w:fill="FFFFFF"/>
          <w:lang w:val="en-US" w:eastAsia="zh-CN"/>
        </w:rPr>
      </w:pPr>
      <w:r>
        <w:rPr>
          <w:rFonts w:hint="eastAsia" w:ascii="黑体" w:hAnsi="黑体" w:eastAsia="黑体" w:cs="黑体"/>
          <w:color w:val="auto"/>
          <w:sz w:val="32"/>
          <w:szCs w:val="32"/>
          <w:shd w:val="clear" w:color="auto" w:fill="FFFFFF"/>
          <w:lang w:val="en-US" w:eastAsia="zh-CN"/>
        </w:rPr>
        <w:t>三、案例所获得荣誉、复制推广情况等</w:t>
      </w:r>
    </w:p>
    <w:p w14:paraId="4BA3606F">
      <w:pPr>
        <w:keepNext w:val="0"/>
        <w:keepLines w:val="0"/>
        <w:pageBreakBefore w:val="0"/>
        <w:widowControl w:val="0"/>
        <w:kinsoku/>
        <w:wordWrap/>
        <w:overflowPunct/>
        <w:topLinePunct w:val="0"/>
        <w:autoSpaceDE/>
        <w:autoSpaceDN/>
        <w:bidi w:val="0"/>
        <w:adjustRightInd/>
        <w:snapToGrid w:val="0"/>
        <w:spacing w:line="560" w:lineRule="exact"/>
        <w:ind w:firstLine="640"/>
        <w:textAlignment w:val="auto"/>
        <w:rPr>
          <w:rFonts w:hint="eastAsia" w:ascii="Times New Roman" w:hAnsi="Times New Roman" w:eastAsia="方正仿宋_GB2312" w:cs="方正仿宋_GB2312"/>
          <w:color w:val="auto"/>
          <w:sz w:val="28"/>
          <w:szCs w:val="36"/>
        </w:rPr>
      </w:pPr>
      <w:r>
        <w:rPr>
          <w:rFonts w:hint="eastAsia" w:ascii="仿宋_GB2312" w:hAnsi="仿宋_GB2312" w:eastAsia="仿宋_GB2312" w:cs="仿宋_GB2312"/>
          <w:color w:val="auto"/>
          <w:sz w:val="32"/>
          <w:szCs w:val="32"/>
          <w:shd w:val="clear" w:color="auto" w:fill="FFFFFF"/>
          <w:lang w:val="en-US" w:eastAsia="zh-CN"/>
        </w:rPr>
        <w:t>下一步，我区将以首台无人清扫车落地为契机，逐步把作业范围向更多人行道、辅道、商圈及公园延伸，探索多车协同的无人环卫编队；积极构建“无人机、无人车、无人船”立体化智慧城市服务网络，形成“空中查、地面扫、水上清”的全方位智慧治理闭环，以科技之翼助推火炬开发区城市空间高品质运营。</w:t>
      </w:r>
    </w:p>
    <w:p w14:paraId="501F903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方正仿宋_GB2312" w:cs="方正仿宋_GB2312"/>
          <w:color w:val="auto"/>
          <w:sz w:val="28"/>
          <w:szCs w:val="36"/>
          <w:lang w:eastAsia="zh-CN"/>
        </w:rPr>
      </w:pPr>
      <w:r>
        <w:rPr>
          <w:rFonts w:hint="eastAsia" w:ascii="Times New Roman" w:hAnsi="Times New Roman" w:eastAsia="方正仿宋_GB2312" w:cs="方正仿宋_GB2312"/>
          <w:color w:val="auto"/>
          <w:sz w:val="28"/>
          <w:szCs w:val="36"/>
          <w:lang w:eastAsia="zh-CN"/>
        </w:rPr>
        <w:drawing>
          <wp:inline distT="0" distB="0" distL="114300" distR="114300">
            <wp:extent cx="2495550" cy="3328035"/>
            <wp:effectExtent l="0" t="0" r="3810" b="9525"/>
            <wp:docPr id="22" name="图片 24"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4" descr="6"/>
                    <pic:cNvPicPr>
                      <a:picLocks noChangeAspect="1"/>
                    </pic:cNvPicPr>
                  </pic:nvPicPr>
                  <pic:blipFill>
                    <a:blip r:embed="rId36"/>
                    <a:stretch>
                      <a:fillRect/>
                    </a:stretch>
                  </pic:blipFill>
                  <pic:spPr>
                    <a:xfrm>
                      <a:off x="0" y="0"/>
                      <a:ext cx="2495550" cy="3328035"/>
                    </a:xfrm>
                    <a:prstGeom prst="rect">
                      <a:avLst/>
                    </a:prstGeom>
                    <a:noFill/>
                    <a:ln>
                      <a:noFill/>
                    </a:ln>
                  </pic:spPr>
                </pic:pic>
              </a:graphicData>
            </a:graphic>
          </wp:inline>
        </w:drawing>
      </w:r>
      <w:r>
        <w:rPr>
          <w:rFonts w:hint="eastAsia" w:ascii="Times New Roman" w:hAnsi="Times New Roman" w:eastAsia="方正仿宋_GB2312" w:cs="方正仿宋_GB2312"/>
          <w:color w:val="auto"/>
          <w:sz w:val="28"/>
          <w:szCs w:val="36"/>
          <w:lang w:eastAsia="zh-CN"/>
        </w:rPr>
        <w:drawing>
          <wp:inline distT="0" distB="0" distL="114300" distR="114300">
            <wp:extent cx="2510790" cy="3347720"/>
            <wp:effectExtent l="0" t="0" r="3810" b="5080"/>
            <wp:docPr id="24" name="图片 25"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5" descr="11"/>
                    <pic:cNvPicPr>
                      <a:picLocks noChangeAspect="1"/>
                    </pic:cNvPicPr>
                  </pic:nvPicPr>
                  <pic:blipFill>
                    <a:blip r:embed="rId37"/>
                    <a:stretch>
                      <a:fillRect/>
                    </a:stretch>
                  </pic:blipFill>
                  <pic:spPr>
                    <a:xfrm>
                      <a:off x="0" y="0"/>
                      <a:ext cx="2510790" cy="3347720"/>
                    </a:xfrm>
                    <a:prstGeom prst="rect">
                      <a:avLst/>
                    </a:prstGeom>
                    <a:noFill/>
                    <a:ln>
                      <a:noFill/>
                    </a:ln>
                  </pic:spPr>
                </pic:pic>
              </a:graphicData>
            </a:graphic>
          </wp:inline>
        </w:drawing>
      </w:r>
    </w:p>
    <w:p w14:paraId="6188B01C">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jc w:val="both"/>
        <w:textAlignment w:val="auto"/>
        <w:rPr>
          <w:rFonts w:hint="eastAsia" w:ascii="Times New Roman" w:hAnsi="Times New Roman" w:eastAsia="方正仿宋_GB2312" w:cs="方正仿宋_GB2312"/>
          <w:color w:val="auto"/>
          <w:sz w:val="28"/>
          <w:szCs w:val="36"/>
          <w:lang w:eastAsia="zh-CN"/>
        </w:rPr>
      </w:pPr>
    </w:p>
    <w:p w14:paraId="59CA835A">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jc w:val="both"/>
        <w:textAlignment w:val="auto"/>
        <w:rPr>
          <w:rFonts w:hint="eastAsia" w:ascii="Times New Roman" w:hAnsi="Times New Roman" w:eastAsia="方正仿宋_GB2312" w:cs="方正仿宋_GB2312"/>
          <w:color w:val="auto"/>
          <w:sz w:val="28"/>
          <w:szCs w:val="36"/>
          <w:lang w:eastAsia="zh-CN"/>
        </w:rPr>
      </w:pPr>
    </w:p>
    <w:p w14:paraId="5F3D4AD7">
      <w:pPr>
        <w:pStyle w:val="12"/>
        <w:pageBreakBefore/>
        <w:rPr>
          <w:color w:val="auto"/>
        </w:rPr>
      </w:pPr>
      <w:bookmarkStart w:id="16" w:name="_Toc866"/>
      <w:r>
        <w:rPr>
          <w:color w:val="auto"/>
        </w:rPr>
        <w:t>案例 02　基于AI大模型的供水数据分析及客服智能助手应用项目</w:t>
      </w:r>
      <w:bookmarkEnd w:id="16"/>
    </w:p>
    <w:p w14:paraId="357C6D00">
      <w:pPr>
        <w:spacing w:after="40"/>
        <w:jc w:val="left"/>
        <w:rPr>
          <w:rFonts w:ascii="方正" w:hAnsi="黑体" w:eastAsia="方正" w:cs="方正小标宋简体"/>
          <w:color w:val="auto"/>
          <w:sz w:val="44"/>
          <w:szCs w:val="44"/>
          <w:shd w:val="clear" w:color="auto" w:fill="FFFFFF"/>
        </w:rPr>
      </w:pPr>
      <w:r>
        <w:rPr>
          <w:rFonts w:ascii="楷体" w:hAnsi="楷体" w:eastAsia="楷体"/>
          <w:color w:val="auto"/>
          <w:sz w:val="22"/>
        </w:rPr>
        <w:t>申报单位：中山公用水务投资有限公司</w:t>
      </w:r>
    </w:p>
    <w:p w14:paraId="3DC9A7EE">
      <w:pPr>
        <w:snapToGrid w:val="0"/>
        <w:spacing w:line="560" w:lineRule="exact"/>
        <w:rPr>
          <w:rFonts w:ascii="仿宋_GB2312" w:hAnsi="仿宋_GB2312" w:eastAsia="仿宋_GB2312" w:cs="仿宋_GB2312"/>
          <w:color w:val="auto"/>
          <w:sz w:val="32"/>
          <w:szCs w:val="32"/>
          <w:shd w:val="clear" w:color="auto" w:fill="FFFFFF"/>
        </w:rPr>
      </w:pPr>
    </w:p>
    <w:p w14:paraId="5E2EC42C">
      <w:pPr>
        <w:snapToGrid w:val="0"/>
        <w:spacing w:line="560" w:lineRule="exact"/>
        <w:ind w:firstLine="640"/>
        <w:rPr>
          <w:rFonts w:ascii="黑体" w:hAnsi="黑体" w:eastAsia="黑体" w:cs="黑体"/>
          <w:color w:val="auto"/>
          <w:sz w:val="32"/>
          <w:szCs w:val="32"/>
          <w:shd w:val="clear" w:color="auto" w:fill="FFFFFF"/>
        </w:rPr>
      </w:pPr>
      <w:r>
        <w:rPr>
          <w:rFonts w:hint="eastAsia" w:ascii="黑体" w:hAnsi="黑体" w:eastAsia="黑体" w:cs="黑体"/>
          <w:color w:val="auto"/>
          <w:sz w:val="32"/>
          <w:szCs w:val="32"/>
          <w:shd w:val="clear" w:color="auto" w:fill="FFFFFF"/>
        </w:rPr>
        <w:t>一、案例基本情况</w:t>
      </w:r>
    </w:p>
    <w:p w14:paraId="34427C40">
      <w:pPr>
        <w:snapToGrid w:val="0"/>
        <w:spacing w:line="560" w:lineRule="exact"/>
        <w:ind w:firstLine="640"/>
        <w:rPr>
          <w:rFonts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（一）案例名称：基于AI大模型的供水数据分析及客服智能助手应用项目。</w:t>
      </w:r>
    </w:p>
    <w:p w14:paraId="2C253EA4">
      <w:pPr>
        <w:snapToGrid w:val="0"/>
        <w:spacing w:line="560" w:lineRule="exact"/>
        <w:ind w:firstLine="640" w:firstLineChars="200"/>
        <w:rPr>
          <w:rFonts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（二）人工智能技术应用方：中山公用水务投资有限公司</w:t>
      </w:r>
    </w:p>
    <w:p w14:paraId="6F1681A7">
      <w:pPr>
        <w:snapToGrid w:val="0"/>
        <w:spacing w:line="560" w:lineRule="exact"/>
        <w:ind w:firstLine="640"/>
        <w:rPr>
          <w:rFonts w:ascii="仿宋_GB2312" w:hAnsi="仿宋_GB2312" w:eastAsia="仿宋_GB2312" w:cs="仿宋_GB2312"/>
          <w:bCs/>
          <w:color w:val="auto"/>
          <w:sz w:val="32"/>
          <w:szCs w:val="32"/>
          <w:shd w:val="clear" w:color="auto" w:fill="FFFFFF"/>
        </w:rPr>
      </w:pPr>
      <w:r>
        <w:rPr>
          <w:rFonts w:hint="eastAsia" w:ascii="仿宋_GB2312" w:hAnsi="仿宋_GB2312" w:eastAsia="仿宋_GB2312" w:cs="仿宋_GB2312"/>
          <w:bCs/>
          <w:color w:val="auto"/>
          <w:sz w:val="32"/>
          <w:szCs w:val="32"/>
          <w:shd w:val="clear" w:color="auto" w:fill="FFFFFF"/>
        </w:rPr>
        <w:t>中山公用水务投资有限公司（简称“水务公司”）前身是创建于1958年的石岐水厂，2008年随母公司吸收合并成为中山公用事业集团股份有限公司下属全资子公司，公司于2017年6月由中山市供水有限公司变更为中山公用水务有限公司，2022年6月更名为中山公用水务投资有限公司。</w:t>
      </w:r>
    </w:p>
    <w:p w14:paraId="404D690D">
      <w:pPr>
        <w:snapToGrid w:val="0"/>
        <w:spacing w:line="560" w:lineRule="exact"/>
        <w:ind w:firstLine="640"/>
        <w:rPr>
          <w:rFonts w:ascii="仿宋_GB2312" w:hAnsi="仿宋_GB2312" w:eastAsia="仿宋_GB2312" w:cs="仿宋_GB2312"/>
          <w:bCs/>
          <w:color w:val="auto"/>
          <w:sz w:val="32"/>
          <w:szCs w:val="32"/>
          <w:shd w:val="clear" w:color="auto" w:fill="FFFFFF"/>
        </w:rPr>
      </w:pPr>
      <w:r>
        <w:rPr>
          <w:rFonts w:hint="eastAsia" w:ascii="仿宋_GB2312" w:hAnsi="仿宋_GB2312" w:eastAsia="仿宋_GB2312" w:cs="仿宋_GB2312"/>
          <w:bCs/>
          <w:color w:val="auto"/>
          <w:sz w:val="32"/>
          <w:szCs w:val="32"/>
          <w:shd w:val="clear" w:color="auto" w:fill="FFFFFF"/>
        </w:rPr>
        <w:t>公司业务以城市供水为主，涵盖水质监测、工程设计、施工安装、信息技术、水处理技术研发等相关业务，拥有市政公用工程总承包三级资质。公司下辖2家全资子公司、5家参控股公司、17家分公司；旗下21座供水厂（含托管运营），设计日供水能力达265万吨，管网总长度达10544公里（DN≥25mm）。服务22个镇街</w:t>
      </w:r>
      <w:r>
        <w:rPr>
          <w:rFonts w:hint="eastAsia" w:ascii="仿宋_GB2312" w:hAnsi="仿宋_GB2312" w:eastAsia="仿宋_GB2312" w:cs="仿宋_GB2312"/>
          <w:bCs/>
          <w:color w:val="auto"/>
          <w:sz w:val="32"/>
          <w:szCs w:val="32"/>
          <w:shd w:val="clear" w:color="auto" w:fill="FFFFFF"/>
          <w:lang w:eastAsia="zh-CN"/>
        </w:rPr>
        <w:t>（</w:t>
      </w:r>
      <w:r>
        <w:rPr>
          <w:rFonts w:hint="eastAsia" w:ascii="仿宋_GB2312" w:hAnsi="仿宋_GB2312" w:eastAsia="仿宋_GB2312" w:cs="仿宋_GB2312"/>
          <w:bCs/>
          <w:color w:val="auto"/>
          <w:sz w:val="32"/>
          <w:szCs w:val="32"/>
          <w:shd w:val="clear" w:color="auto" w:fill="FFFFFF"/>
        </w:rPr>
        <w:t>除坦洲镇</w:t>
      </w:r>
      <w:r>
        <w:rPr>
          <w:rFonts w:hint="eastAsia" w:ascii="仿宋_GB2312" w:hAnsi="仿宋_GB2312" w:eastAsia="仿宋_GB2312" w:cs="仿宋_GB2312"/>
          <w:bCs/>
          <w:color w:val="auto"/>
          <w:sz w:val="32"/>
          <w:szCs w:val="32"/>
          <w:shd w:val="clear" w:color="auto" w:fill="FFFFFF"/>
          <w:lang w:eastAsia="zh-CN"/>
        </w:rPr>
        <w:t>）</w:t>
      </w:r>
      <w:r>
        <w:rPr>
          <w:rFonts w:hint="eastAsia" w:ascii="仿宋_GB2312" w:hAnsi="仿宋_GB2312" w:eastAsia="仿宋_GB2312" w:cs="仿宋_GB2312"/>
          <w:bCs/>
          <w:color w:val="auto"/>
          <w:sz w:val="32"/>
          <w:szCs w:val="32"/>
          <w:shd w:val="clear" w:color="auto" w:fill="FFFFFF"/>
        </w:rPr>
        <w:t>及火炬开发区、翠亨新区2个功能区，服务人口逾146万户</w:t>
      </w:r>
      <w:r>
        <w:rPr>
          <w:rFonts w:hint="eastAsia" w:ascii="仿宋_GB2312" w:hAnsi="仿宋_GB2312" w:eastAsia="仿宋_GB2312" w:cs="仿宋_GB2312"/>
          <w:bCs/>
          <w:color w:val="auto"/>
          <w:sz w:val="32"/>
          <w:szCs w:val="32"/>
          <w:shd w:val="clear" w:color="auto" w:fill="FFFFFF"/>
          <w:lang w:eastAsia="zh-CN"/>
        </w:rPr>
        <w:t>，</w:t>
      </w:r>
      <w:r>
        <w:rPr>
          <w:rFonts w:hint="eastAsia" w:ascii="仿宋_GB2312" w:hAnsi="仿宋_GB2312" w:eastAsia="仿宋_GB2312" w:cs="仿宋_GB2312"/>
          <w:bCs/>
          <w:color w:val="auto"/>
          <w:sz w:val="32"/>
          <w:szCs w:val="32"/>
          <w:shd w:val="clear" w:color="auto" w:fill="FFFFFF"/>
        </w:rPr>
        <w:t>约占中山市的94%，供水服务面积约1650平方公里。</w:t>
      </w:r>
    </w:p>
    <w:p w14:paraId="734ECFD4">
      <w:pPr>
        <w:snapToGrid w:val="0"/>
        <w:spacing w:line="560" w:lineRule="exact"/>
        <w:ind w:firstLine="640"/>
        <w:rPr>
          <w:rFonts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（三）人工智能技术供给方：上海拉瓦锡卡文智能科技有限公司。</w:t>
      </w:r>
    </w:p>
    <w:p w14:paraId="2655A794">
      <w:pPr>
        <w:snapToGrid w:val="0"/>
        <w:spacing w:line="560" w:lineRule="exact"/>
        <w:ind w:firstLine="640"/>
        <w:rPr>
          <w:rFonts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上海拉瓦锡卡文智能科技有限公司成立于2024 年 8 月 8 日，由慧水科技与义维流体合资设立，团队规模目前20 人左右，团队人员主要以同济大学、浙江大学等高校为主，聚焦智慧水务领域。主营 AI + 水务垂直应用，打造水务智能 WI 平台，融合大模型与行业小模型，提供数据分析、智能调度、漏损监测、物联网监控等全场景解决方案。拥有 7 项水务相关软著，技术覆盖视觉 / 声学 / 工艺智能，可实现自然语言交互、低代码应用搭建，服务深圳光明水务、上海城投水务、上海水务规划院、同济大学等多家单位，助力水务数字化、精细化、节能降耗转型。</w:t>
      </w:r>
    </w:p>
    <w:p w14:paraId="5A1648DF">
      <w:pPr>
        <w:snapToGrid w:val="0"/>
        <w:spacing w:line="560" w:lineRule="exact"/>
        <w:rPr>
          <w:rFonts w:ascii="黑体" w:hAnsi="黑体" w:eastAsia="黑体" w:cs="黑体"/>
          <w:color w:val="auto"/>
          <w:sz w:val="32"/>
          <w:szCs w:val="32"/>
          <w:shd w:val="clear" w:color="auto" w:fill="FFFFFF"/>
        </w:rPr>
      </w:pPr>
    </w:p>
    <w:p w14:paraId="7A443C47">
      <w:pPr>
        <w:snapToGrid w:val="0"/>
        <w:spacing w:line="560" w:lineRule="exact"/>
        <w:ind w:firstLine="640"/>
        <w:rPr>
          <w:rFonts w:ascii="黑体" w:hAnsi="黑体" w:eastAsia="黑体" w:cs="黑体"/>
          <w:color w:val="auto"/>
          <w:sz w:val="32"/>
          <w:szCs w:val="32"/>
          <w:shd w:val="clear" w:color="auto" w:fill="FFFFFF"/>
        </w:rPr>
      </w:pPr>
      <w:r>
        <w:rPr>
          <w:rFonts w:hint="eastAsia" w:ascii="黑体" w:hAnsi="黑体" w:eastAsia="黑体" w:cs="黑体"/>
          <w:color w:val="auto"/>
          <w:sz w:val="32"/>
          <w:szCs w:val="32"/>
          <w:shd w:val="clear" w:color="auto" w:fill="FFFFFF"/>
        </w:rPr>
        <w:t>二、案例内容介绍</w:t>
      </w:r>
    </w:p>
    <w:p w14:paraId="39A4CF38">
      <w:pPr>
        <w:snapToGrid w:val="0"/>
        <w:spacing w:line="560" w:lineRule="exact"/>
        <w:ind w:firstLine="640"/>
        <w:rPr>
          <w:rFonts w:ascii="仿宋_GB2312" w:hAnsi="仿宋_GB2312" w:eastAsia="仿宋_GB2312" w:cs="仿宋_GB2312"/>
          <w:color w:val="auto"/>
          <w:sz w:val="32"/>
          <w:szCs w:val="32"/>
          <w:shd w:val="clear" w:color="auto" w:fill="FFFFFF"/>
        </w:rPr>
      </w:pPr>
      <w:r>
        <w:rPr>
          <w:rFonts w:hint="eastAsia" w:ascii="楷体_GB2312" w:hAnsi="楷体_GB2312" w:eastAsia="楷体_GB2312" w:cs="楷体_GB2312"/>
          <w:color w:val="auto"/>
          <w:sz w:val="32"/>
          <w:szCs w:val="32"/>
          <w:shd w:val="clear" w:color="auto" w:fill="FFFFFF"/>
        </w:rPr>
        <w:t>（一）</w:t>
      </w:r>
      <w:r>
        <w:rPr>
          <w:rFonts w:hint="eastAsia" w:ascii="仿宋_GB2312" w:hAnsi="仿宋_GB2312" w:eastAsia="仿宋_GB2312" w:cs="仿宋_GB2312"/>
          <w:color w:val="auto"/>
          <w:sz w:val="32"/>
          <w:szCs w:val="32"/>
          <w:shd w:val="clear" w:color="auto" w:fill="FFFFFF"/>
        </w:rPr>
        <w:t>中山公用水务承担全市94%人口供水服务，日常运营存在多重效率瓶颈：大屏调度需人工操作，应急响应滞后；管理层查看业务指标需提需求</w:t>
      </w:r>
      <w:r>
        <w:rPr>
          <w:rFonts w:hint="eastAsia" w:ascii="仿宋_GB2312" w:hAnsi="仿宋_GB2312" w:eastAsia="仿宋_GB2312" w:cs="仿宋_GB2312"/>
          <w:color w:val="auto"/>
          <w:sz w:val="32"/>
          <w:szCs w:val="32"/>
          <w:shd w:val="clear" w:color="auto" w:fill="FFFFFF"/>
          <w:lang w:eastAsia="zh-CN"/>
        </w:rPr>
        <w:t>等</w:t>
      </w:r>
      <w:r>
        <w:rPr>
          <w:rFonts w:hint="eastAsia" w:ascii="仿宋_GB2312" w:hAnsi="仿宋_GB2312" w:eastAsia="仿宋_GB2312" w:cs="仿宋_GB2312"/>
          <w:color w:val="auto"/>
          <w:sz w:val="32"/>
          <w:szCs w:val="32"/>
          <w:shd w:val="clear" w:color="auto" w:fill="FFFFFF"/>
        </w:rPr>
        <w:t>排期、出报表，数据获取以天计；员工查阅制度文件平均耗时十到二十分钟；每日供水简报需专人手工采数撰写，耗时两到三小时；</w:t>
      </w:r>
      <w:r>
        <w:rPr>
          <w:rFonts w:ascii="仿宋_GB2312" w:hAnsi="仿宋_GB2312" w:eastAsia="仿宋_GB2312" w:cs="仿宋_GB2312"/>
          <w:color w:val="auto"/>
          <w:sz w:val="32"/>
          <w:szCs w:val="32"/>
          <w:shd w:val="clear" w:color="auto" w:fill="FFFFFF"/>
        </w:rPr>
        <w:t>传统人工热线客服存在咨询扎堆易排队、重复问题占用精力、服务标准难统一等突出瓶颈。</w:t>
      </w:r>
    </w:p>
    <w:p w14:paraId="3385497A">
      <w:pPr>
        <w:snapToGrid w:val="0"/>
        <w:spacing w:line="560" w:lineRule="exact"/>
        <w:ind w:firstLine="640"/>
        <w:rPr>
          <w:rFonts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项目综合运用四项核心技术：一是大语言模型智能路由，集成千问等模型，简单问答直接应答，复杂分析调用工具执行多步精确查询；二是RAG检索增强生成，二十余份企业文档向量化入库，支持语义检索并溯源原文，私有化部署保障数据安全；三是语音识别与合成，支持远程唤醒、流式交互与智能打断；四是多智能体工具调用，智能体可自主编排数据查询、知识检索、报告生成等子系统。</w:t>
      </w:r>
    </w:p>
    <w:p w14:paraId="6DC3082D">
      <w:pPr>
        <w:snapToGrid w:val="0"/>
        <w:spacing w:line="560" w:lineRule="exact"/>
        <w:ind w:firstLine="640"/>
        <w:rPr>
          <w:rFonts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建成六大功能：大屏语音联动控制，场景切换从分钟级压缩至秒级；制度知识库问答，覆盖公司信息、规章、合同、应急五大类，秒级返回精准条款；业务指标自然语言查询，管理层问即所得；供水日报自动生成，人工仅需审核；审批权限流程查询，覆盖八大业务领域，减少跨部门沟通损耗；</w:t>
      </w:r>
      <w:r>
        <w:rPr>
          <w:rFonts w:ascii="仿宋_GB2312" w:hAnsi="仿宋_GB2312" w:eastAsia="仿宋_GB2312" w:cs="仿宋_GB2312"/>
          <w:color w:val="auto"/>
          <w:sz w:val="32"/>
          <w:szCs w:val="32"/>
          <w:shd w:val="clear" w:color="auto" w:fill="FFFFFF"/>
        </w:rPr>
        <w:t>在线AI 客服</w:t>
      </w:r>
      <w:r>
        <w:rPr>
          <w:rFonts w:hint="eastAsia" w:ascii="仿宋_GB2312" w:hAnsi="仿宋_GB2312" w:eastAsia="仿宋_GB2312" w:cs="仿宋_GB2312"/>
          <w:color w:val="auto"/>
          <w:sz w:val="32"/>
          <w:szCs w:val="32"/>
          <w:shd w:val="clear" w:color="auto" w:fill="FFFFFF"/>
        </w:rPr>
        <w:t>，</w:t>
      </w:r>
      <w:r>
        <w:rPr>
          <w:rFonts w:ascii="仿宋_GB2312" w:hAnsi="仿宋_GB2312" w:eastAsia="仿宋_GB2312" w:cs="仿宋_GB2312"/>
          <w:color w:val="auto"/>
          <w:sz w:val="32"/>
          <w:szCs w:val="32"/>
          <w:shd w:val="clear" w:color="auto" w:fill="FFFFFF"/>
        </w:rPr>
        <w:t>提供 7×24 小时全天候服务，解答水价、停水、欠费、营业网点等用水常见问题，并提供业务办理指引</w:t>
      </w:r>
    </w:p>
    <w:p w14:paraId="37B582C8">
      <w:pPr>
        <w:snapToGrid w:val="0"/>
        <w:spacing w:line="560" w:lineRule="exact"/>
        <w:ind w:firstLine="640"/>
        <w:rPr>
          <w:rFonts w:ascii="楷体_GB2312" w:hAnsi="楷体_GB2312" w:eastAsia="楷体_GB2312" w:cs="楷体_GB2312"/>
          <w:color w:val="auto"/>
          <w:sz w:val="32"/>
          <w:szCs w:val="32"/>
          <w:shd w:val="clear" w:color="auto" w:fill="FFFFFF"/>
        </w:rPr>
      </w:pPr>
      <w:r>
        <w:rPr>
          <w:rFonts w:hint="eastAsia" w:ascii="楷体_GB2312" w:hAnsi="楷体_GB2312" w:eastAsia="楷体_GB2312" w:cs="楷体_GB2312"/>
          <w:color w:val="auto"/>
          <w:sz w:val="32"/>
          <w:szCs w:val="32"/>
          <w:shd w:val="clear" w:color="auto" w:fill="FFFFFF"/>
        </w:rPr>
        <w:t>（二）具体应用成效</w:t>
      </w:r>
    </w:p>
    <w:p w14:paraId="2F094C4B">
      <w:pPr>
        <w:snapToGrid w:val="0"/>
        <w:spacing w:line="560" w:lineRule="exact"/>
        <w:ind w:firstLine="640"/>
        <w:rPr>
          <w:rFonts w:ascii="仿宋_GB2312" w:hAnsi="仿宋_GB2312" w:eastAsia="仿宋_GB2312" w:cs="仿宋_GB2312"/>
          <w:color w:val="auto"/>
          <w:sz w:val="32"/>
          <w:szCs w:val="32"/>
          <w:shd w:val="clear" w:color="auto" w:fill="FFFFFF"/>
        </w:rPr>
      </w:pPr>
      <w:r>
        <w:rPr>
          <w:rFonts w:ascii="仿宋_GB2312" w:hAnsi="仿宋_GB2312" w:eastAsia="仿宋_GB2312" w:cs="仿宋_GB2312"/>
          <w:color w:val="auto"/>
          <w:sz w:val="32"/>
          <w:szCs w:val="32"/>
          <w:shd w:val="clear" w:color="auto" w:fill="FFFFFF"/>
        </w:rPr>
        <w:t>本智能体平台落地后，彻底改变传统水务人工操作、人工统计、人工咨询的工作模式，实现业务管理智能化升级。</w:t>
      </w:r>
    </w:p>
    <w:p w14:paraId="189A5797">
      <w:pPr>
        <w:snapToGrid w:val="0"/>
        <w:spacing w:line="560" w:lineRule="exact"/>
        <w:ind w:firstLine="640"/>
        <w:rPr>
          <w:rFonts w:ascii="仿宋_GB2312" w:hAnsi="仿宋_GB2312" w:eastAsia="仿宋_GB2312" w:cs="仿宋_GB2312"/>
          <w:color w:val="auto"/>
          <w:sz w:val="32"/>
          <w:szCs w:val="32"/>
          <w:shd w:val="clear" w:color="auto" w:fill="FFFFFF"/>
        </w:rPr>
      </w:pPr>
      <w:r>
        <w:rPr>
          <w:rFonts w:ascii="仿宋_GB2312" w:hAnsi="仿宋_GB2312" w:eastAsia="仿宋_GB2312" w:cs="仿宋_GB2312"/>
          <w:color w:val="auto"/>
          <w:sz w:val="32"/>
          <w:szCs w:val="32"/>
          <w:shd w:val="clear" w:color="auto" w:fill="FFFFFF"/>
        </w:rPr>
        <w:t>在调度管控层面，</w:t>
      </w:r>
      <w:r>
        <w:rPr>
          <w:rFonts w:hint="eastAsia" w:ascii="仿宋_GB2312" w:hAnsi="仿宋_GB2312" w:eastAsia="仿宋_GB2312" w:cs="仿宋_GB2312"/>
          <w:color w:val="auto"/>
          <w:sz w:val="32"/>
          <w:szCs w:val="32"/>
          <w:shd w:val="clear" w:color="auto" w:fill="FFFFFF"/>
        </w:rPr>
        <w:t>调度指挥响应提速明显，大屏场景切换从人工操作数分钟缩短至语音秒级响应，为应急处置争取宝贵时间。</w:t>
      </w:r>
    </w:p>
    <w:p w14:paraId="70AE8BCE">
      <w:pPr>
        <w:snapToGrid w:val="0"/>
        <w:spacing w:line="560" w:lineRule="exact"/>
        <w:ind w:firstLine="640"/>
        <w:rPr>
          <w:rFonts w:ascii="仿宋_GB2312" w:hAnsi="仿宋_GB2312" w:eastAsia="仿宋_GB2312" w:cs="仿宋_GB2312"/>
          <w:color w:val="auto"/>
          <w:sz w:val="32"/>
          <w:szCs w:val="32"/>
          <w:shd w:val="clear" w:color="auto" w:fill="FFFFFF"/>
        </w:rPr>
      </w:pPr>
      <w:r>
        <w:rPr>
          <w:rFonts w:ascii="仿宋_GB2312" w:hAnsi="仿宋_GB2312" w:eastAsia="仿宋_GB2312" w:cs="仿宋_GB2312"/>
          <w:color w:val="auto"/>
          <w:sz w:val="32"/>
          <w:szCs w:val="32"/>
          <w:shd w:val="clear" w:color="auto" w:fill="FFFFFF"/>
        </w:rPr>
        <w:t>在生产管理层面，</w:t>
      </w:r>
      <w:r>
        <w:rPr>
          <w:rFonts w:hint="eastAsia" w:ascii="仿宋_GB2312" w:hAnsi="仿宋_GB2312" w:eastAsia="仿宋_GB2312" w:cs="仿宋_GB2312"/>
          <w:color w:val="auto"/>
          <w:sz w:val="32"/>
          <w:szCs w:val="32"/>
          <w:shd w:val="clear" w:color="auto" w:fill="FFFFFF"/>
        </w:rPr>
        <w:t>管理数据获取不再依赖技术排期，指标查询由天级压缩至分钟级，管理层自助获取决策信息。日报编撰人力结构性释放，过去每日耗时两到三小时的人工采集撰写改为AI自动生成，全年释放约七百小时人力，专业人员转向分析研判。</w:t>
      </w:r>
    </w:p>
    <w:p w14:paraId="1F1B4B9A">
      <w:pPr>
        <w:snapToGrid w:val="0"/>
        <w:spacing w:line="560" w:lineRule="exact"/>
        <w:ind w:firstLine="640"/>
        <w:rPr>
          <w:rFonts w:ascii="仿宋_GB2312" w:hAnsi="仿宋_GB2312" w:eastAsia="仿宋_GB2312" w:cs="仿宋_GB2312"/>
          <w:color w:val="auto"/>
          <w:sz w:val="32"/>
          <w:szCs w:val="32"/>
          <w:shd w:val="clear" w:color="auto" w:fill="FFFFFF"/>
        </w:rPr>
      </w:pPr>
      <w:r>
        <w:rPr>
          <w:rFonts w:ascii="仿宋_GB2312" w:hAnsi="仿宋_GB2312" w:eastAsia="仿宋_GB2312" w:cs="仿宋_GB2312"/>
          <w:color w:val="auto"/>
          <w:sz w:val="32"/>
          <w:szCs w:val="32"/>
          <w:shd w:val="clear" w:color="auto" w:fill="FFFFFF"/>
        </w:rPr>
        <w:t>在内部管理层面，制度查询效率质变，以往翻阅文件平均十到二十分钟，现秒级获取精准条款和原文出处，内部反复询问大幅减少。</w:t>
      </w:r>
      <w:r>
        <w:rPr>
          <w:rFonts w:hint="eastAsia" w:ascii="仿宋_GB2312" w:hAnsi="仿宋_GB2312" w:eastAsia="仿宋_GB2312" w:cs="仿宋_GB2312"/>
          <w:color w:val="auto"/>
          <w:sz w:val="32"/>
          <w:szCs w:val="32"/>
          <w:shd w:val="clear" w:color="auto" w:fill="FFFFFF"/>
        </w:rPr>
        <w:t>审批流程透明化，员工不再反复咨询</w:t>
      </w:r>
      <w:r>
        <w:rPr>
          <w:rFonts w:hint="eastAsia" w:ascii="仿宋_GB2312" w:hAnsi="仿宋_GB2312" w:eastAsia="仿宋_GB2312"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rPr>
        <w:t>该找谁批</w:t>
      </w:r>
      <w:r>
        <w:rPr>
          <w:rFonts w:hint="eastAsia" w:ascii="仿宋_GB2312" w:hAnsi="仿宋_GB2312" w:eastAsia="仿宋_GB2312"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rPr>
        <w:t>，AI直接呈现完整审批路径。</w:t>
      </w:r>
    </w:p>
    <w:p w14:paraId="40C72D86">
      <w:pPr>
        <w:snapToGrid w:val="0"/>
        <w:spacing w:line="560" w:lineRule="exact"/>
        <w:ind w:firstLine="640"/>
        <w:rPr>
          <w:rFonts w:ascii="仿宋_GB2312" w:hAnsi="仿宋_GB2312" w:eastAsia="仿宋_GB2312" w:cs="仿宋_GB2312"/>
          <w:color w:val="auto"/>
          <w:sz w:val="32"/>
          <w:szCs w:val="32"/>
          <w:shd w:val="clear" w:color="auto" w:fill="FFFFFF"/>
        </w:rPr>
      </w:pPr>
      <w:r>
        <w:rPr>
          <w:rFonts w:ascii="仿宋_GB2312" w:hAnsi="仿宋_GB2312" w:eastAsia="仿宋_GB2312" w:cs="仿宋_GB2312"/>
          <w:color w:val="auto"/>
          <w:sz w:val="32"/>
          <w:szCs w:val="32"/>
          <w:shd w:val="clear" w:color="auto" w:fill="FFFFFF"/>
        </w:rPr>
        <w:t>在民生服务层面</w:t>
      </w:r>
      <w:r>
        <w:rPr>
          <w:rFonts w:hint="eastAsia" w:ascii="仿宋_GB2312" w:hAnsi="仿宋_GB2312" w:eastAsia="仿宋_GB2312" w:cs="仿宋_GB2312"/>
          <w:color w:val="auto"/>
          <w:sz w:val="32"/>
          <w:szCs w:val="32"/>
          <w:shd w:val="clear" w:color="auto" w:fill="FFFFFF"/>
        </w:rPr>
        <w:t>，</w:t>
      </w:r>
      <w:r>
        <w:rPr>
          <w:rFonts w:ascii="仿宋_GB2312" w:hAnsi="仿宋_GB2312" w:eastAsia="仿宋_GB2312" w:cs="仿宋_GB2312"/>
          <w:color w:val="auto"/>
          <w:sz w:val="32"/>
          <w:szCs w:val="32"/>
          <w:shd w:val="clear" w:color="auto" w:fill="FFFFFF"/>
        </w:rPr>
        <w:t>全天候智能客服分流咨询压力，优化用户用水咨询体验，提升民生服务质量。</w:t>
      </w:r>
    </w:p>
    <w:p w14:paraId="7BBF28D3">
      <w:pPr>
        <w:snapToGrid w:val="0"/>
        <w:spacing w:line="560" w:lineRule="exact"/>
        <w:rPr>
          <w:rFonts w:ascii="仿宋_GB2312" w:hAnsi="仿宋_GB2312" w:eastAsia="仿宋_GB2312" w:cs="仿宋_GB2312"/>
          <w:color w:val="auto"/>
          <w:sz w:val="32"/>
          <w:szCs w:val="32"/>
          <w:shd w:val="clear" w:color="auto" w:fill="FFFFFF"/>
        </w:rPr>
      </w:pPr>
    </w:p>
    <w:p w14:paraId="0533AB10">
      <w:pPr>
        <w:snapToGrid w:val="0"/>
        <w:spacing w:line="560" w:lineRule="exact"/>
        <w:ind w:firstLine="640"/>
        <w:rPr>
          <w:rFonts w:ascii="黑体" w:hAnsi="黑体" w:eastAsia="黑体" w:cs="黑体"/>
          <w:color w:val="auto"/>
          <w:sz w:val="32"/>
          <w:szCs w:val="32"/>
          <w:shd w:val="clear" w:color="auto" w:fill="FFFFFF"/>
        </w:rPr>
      </w:pPr>
      <w:r>
        <w:rPr>
          <w:rFonts w:hint="eastAsia" w:ascii="黑体" w:hAnsi="黑体" w:eastAsia="黑体" w:cs="黑体"/>
          <w:color w:val="auto"/>
          <w:sz w:val="32"/>
          <w:szCs w:val="32"/>
          <w:shd w:val="clear" w:color="auto" w:fill="FFFFFF"/>
        </w:rPr>
        <w:t>三、案例所获得荣誉、复制推广情况等</w:t>
      </w:r>
    </w:p>
    <w:p w14:paraId="78858C15">
      <w:pPr>
        <w:snapToGrid w:val="0"/>
        <w:spacing w:line="560" w:lineRule="exact"/>
        <w:ind w:firstLine="640"/>
        <w:rPr>
          <w:rFonts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本项目已在水务公司内部全面上线运行，覆盖调度中心、管理层、各职能部门及下属水厂。系统架构具备良好的可复制性，知识库管理、智能路由、多工具协作等核心模块均可适配其他公用事业企业（如燃气、电力、排水等）的类似场景，后续可进一步向集团其他业务板块推广。</w:t>
      </w:r>
    </w:p>
    <w:p w14:paraId="2E26DE17">
      <w:pPr>
        <w:snapToGrid w:val="0"/>
        <w:spacing w:line="560" w:lineRule="exact"/>
        <w:ind w:firstLine="640"/>
        <w:rPr>
          <w:rFonts w:ascii="仿宋_GB2312" w:hAnsi="仿宋_GB2312" w:eastAsia="仿宋_GB2312" w:cs="仿宋_GB2312"/>
          <w:color w:val="auto"/>
          <w:sz w:val="32"/>
          <w:szCs w:val="32"/>
          <w:shd w:val="clear" w:color="auto" w:fill="FFFFFF"/>
        </w:rPr>
      </w:pPr>
    </w:p>
    <w:p w14:paraId="173FC933">
      <w:pPr>
        <w:snapToGrid w:val="0"/>
        <w:ind w:firstLine="641"/>
        <w:rPr>
          <w:rFonts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drawing>
          <wp:inline distT="0" distB="0" distL="0" distR="0">
            <wp:extent cx="5267325" cy="3511550"/>
            <wp:effectExtent l="0" t="0" r="0" b="0"/>
            <wp:docPr id="5" name="图片 2"/>
            <wp:cNvGraphicFramePr/>
            <a:graphic xmlns:a="http://schemas.openxmlformats.org/drawingml/2006/main">
              <a:graphicData uri="http://schemas.openxmlformats.org/drawingml/2006/picture">
                <pic:pic xmlns:pic="http://schemas.openxmlformats.org/drawingml/2006/picture">
                  <pic:nvPicPr>
                    <pic:cNvPr id="5" name="图片 2"/>
                    <pic:cNvPicPr>
                      <a:picLocks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a:xfrm>
                      <a:off x="0" y="0"/>
                      <a:ext cx="5267325" cy="3511550"/>
                    </a:xfrm>
                    <a:prstGeom prst="rect">
                      <a:avLst/>
                    </a:prstGeom>
                    <a:noFill/>
                    <a:ln>
                      <a:noFill/>
                    </a:ln>
                  </pic:spPr>
                </pic:pic>
              </a:graphicData>
            </a:graphic>
          </wp:inline>
        </w:drawing>
      </w:r>
    </w:p>
    <w:p w14:paraId="46DC3043">
      <w:pPr>
        <w:snapToGrid w:val="0"/>
        <w:ind w:firstLine="641"/>
        <w:rPr>
          <w:rFonts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drawing>
          <wp:inline distT="0" distB="0" distL="0" distR="0">
            <wp:extent cx="5267325" cy="3511550"/>
            <wp:effectExtent l="0" t="0" r="0" b="0"/>
            <wp:docPr id="8" name="图片 1"/>
            <wp:cNvGraphicFramePr/>
            <a:graphic xmlns:a="http://schemas.openxmlformats.org/drawingml/2006/main">
              <a:graphicData uri="http://schemas.openxmlformats.org/drawingml/2006/picture">
                <pic:pic xmlns:pic="http://schemas.openxmlformats.org/drawingml/2006/picture">
                  <pic:nvPicPr>
                    <pic:cNvPr id="8" name="图片 1"/>
                    <pic:cNvPicPr>
                      <a:picLocks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5267325" cy="3511550"/>
                    </a:xfrm>
                    <a:prstGeom prst="rect">
                      <a:avLst/>
                    </a:prstGeom>
                    <a:noFill/>
                    <a:ln>
                      <a:noFill/>
                    </a:ln>
                  </pic:spPr>
                </pic:pic>
              </a:graphicData>
            </a:graphic>
          </wp:inline>
        </w:drawing>
      </w:r>
    </w:p>
    <w:p w14:paraId="1C5F3DB2">
      <w:pPr>
        <w:snapToGrid w:val="0"/>
        <w:ind w:firstLine="641"/>
        <w:rPr>
          <w:rFonts w:ascii="仿宋_GB2312" w:hAnsi="仿宋_GB2312" w:eastAsia="仿宋_GB2312" w:cs="仿宋_GB2312"/>
          <w:color w:val="auto"/>
          <w:sz w:val="32"/>
          <w:szCs w:val="32"/>
          <w:shd w:val="clear" w:color="auto" w:fill="FFFFFF"/>
        </w:rPr>
      </w:pPr>
      <w:r>
        <w:rPr>
          <w:color w:val="auto"/>
        </w:rPr>
        <w:drawing>
          <wp:anchor distT="0" distB="0" distL="114300" distR="114300" simplePos="0" relativeHeight="251669504" behindDoc="0" locked="0" layoutInCell="1" allowOverlap="1">
            <wp:simplePos x="0" y="0"/>
            <wp:positionH relativeFrom="column">
              <wp:posOffset>2845435</wp:posOffset>
            </wp:positionH>
            <wp:positionV relativeFrom="paragraph">
              <wp:posOffset>336550</wp:posOffset>
            </wp:positionV>
            <wp:extent cx="1998345" cy="4150360"/>
            <wp:effectExtent l="0" t="0" r="0" b="0"/>
            <wp:wrapNone/>
            <wp:docPr id="1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8"/>
                    <pic:cNvPicPr>
                      <a:picLocks noChangeAspect="1"/>
                    </pic:cNvPicPr>
                  </pic:nvPicPr>
                  <pic:blipFill>
                    <a:blip r:embed="rId40"/>
                    <a:srcRect t="5576"/>
                    <a:stretch>
                      <a:fillRect/>
                    </a:stretch>
                  </pic:blipFill>
                  <pic:spPr>
                    <a:xfrm>
                      <a:off x="0" y="0"/>
                      <a:ext cx="1998575" cy="4150360"/>
                    </a:xfrm>
                    <a:prstGeom prst="rect">
                      <a:avLst/>
                    </a:prstGeom>
                    <a:ln>
                      <a:solidFill>
                        <a:schemeClr val="tx2">
                          <a:lumMod val="25000"/>
                          <a:lumOff val="75000"/>
                        </a:schemeClr>
                      </a:solidFill>
                    </a:ln>
                  </pic:spPr>
                </pic:pic>
              </a:graphicData>
            </a:graphic>
          </wp:anchor>
        </w:drawing>
      </w:r>
      <w:r>
        <w:rPr>
          <w:color w:val="auto"/>
        </w:rPr>
        <w:drawing>
          <wp:anchor distT="0" distB="0" distL="114300" distR="114300" simplePos="0" relativeHeight="251668480" behindDoc="0" locked="0" layoutInCell="1" allowOverlap="1">
            <wp:simplePos x="0" y="0"/>
            <wp:positionH relativeFrom="column">
              <wp:posOffset>174625</wp:posOffset>
            </wp:positionH>
            <wp:positionV relativeFrom="paragraph">
              <wp:posOffset>392430</wp:posOffset>
            </wp:positionV>
            <wp:extent cx="1998345" cy="4140835"/>
            <wp:effectExtent l="0" t="0" r="0" b="0"/>
            <wp:wrapNone/>
            <wp:docPr id="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pic:cNvPicPr>
                      <a:picLocks noChangeAspect="1"/>
                    </pic:cNvPicPr>
                  </pic:nvPicPr>
                  <pic:blipFill>
                    <a:blip r:embed="rId41"/>
                    <a:srcRect t="5793"/>
                    <a:stretch>
                      <a:fillRect/>
                    </a:stretch>
                  </pic:blipFill>
                  <pic:spPr>
                    <a:xfrm>
                      <a:off x="0" y="0"/>
                      <a:ext cx="1998575" cy="4140835"/>
                    </a:xfrm>
                    <a:prstGeom prst="rect">
                      <a:avLst/>
                    </a:prstGeom>
                    <a:ln>
                      <a:solidFill>
                        <a:schemeClr val="tx2">
                          <a:lumMod val="25000"/>
                          <a:lumOff val="75000"/>
                        </a:schemeClr>
                      </a:solidFill>
                    </a:ln>
                  </pic:spPr>
                </pic:pic>
              </a:graphicData>
            </a:graphic>
          </wp:anchor>
        </w:drawing>
      </w:r>
      <w:r>
        <w:rPr>
          <w:color w:val="auto"/>
        </w:rPr>
        <w:drawing>
          <wp:anchor distT="0" distB="0" distL="114300" distR="114300" simplePos="0" relativeHeight="251667456" behindDoc="0" locked="0" layoutInCell="1" allowOverlap="1">
            <wp:simplePos x="0" y="0"/>
            <wp:positionH relativeFrom="column">
              <wp:posOffset>6454140</wp:posOffset>
            </wp:positionH>
            <wp:positionV relativeFrom="paragraph">
              <wp:posOffset>0</wp:posOffset>
            </wp:positionV>
            <wp:extent cx="1998345" cy="4395470"/>
            <wp:effectExtent l="9525" t="9525" r="11430" b="14605"/>
            <wp:wrapNone/>
            <wp:docPr id="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pic:cNvPicPr>
                      <a:picLocks noChangeAspect="1"/>
                    </pic:cNvPicPr>
                  </pic:nvPicPr>
                  <pic:blipFill>
                    <a:blip r:embed="rId40"/>
                    <a:stretch>
                      <a:fillRect/>
                    </a:stretch>
                  </pic:blipFill>
                  <pic:spPr>
                    <a:xfrm>
                      <a:off x="0" y="0"/>
                      <a:ext cx="1998575" cy="4395600"/>
                    </a:xfrm>
                    <a:prstGeom prst="rect">
                      <a:avLst/>
                    </a:prstGeom>
                    <a:ln>
                      <a:solidFill>
                        <a:schemeClr val="tx2">
                          <a:lumMod val="25000"/>
                          <a:lumOff val="75000"/>
                        </a:schemeClr>
                      </a:solidFill>
                    </a:ln>
                  </pic:spPr>
                </pic:pic>
              </a:graphicData>
            </a:graphic>
          </wp:anchor>
        </w:drawing>
      </w:r>
    </w:p>
    <w:p w14:paraId="0AD02795">
      <w:pPr>
        <w:snapToGrid w:val="0"/>
        <w:spacing w:line="560" w:lineRule="exact"/>
        <w:ind w:firstLine="640"/>
        <w:rPr>
          <w:rFonts w:ascii="仿宋_GB2312" w:hAnsi="仿宋_GB2312" w:eastAsia="仿宋_GB2312" w:cs="仿宋_GB2312"/>
          <w:b/>
          <w:bCs/>
          <w:color w:val="auto"/>
          <w:sz w:val="32"/>
          <w:szCs w:val="32"/>
          <w:shd w:val="clear" w:color="auto" w:fill="FFFFFF"/>
        </w:rPr>
      </w:pPr>
    </w:p>
    <w:p w14:paraId="561A4223">
      <w:pPr>
        <w:snapToGrid w:val="0"/>
        <w:spacing w:line="560" w:lineRule="exact"/>
        <w:ind w:firstLine="640"/>
        <w:rPr>
          <w:rFonts w:ascii="仿宋_GB2312" w:hAnsi="仿宋_GB2312" w:eastAsia="仿宋_GB2312" w:cs="仿宋_GB2312"/>
          <w:b/>
          <w:bCs/>
          <w:color w:val="auto"/>
          <w:sz w:val="32"/>
          <w:szCs w:val="32"/>
          <w:shd w:val="clear" w:color="auto" w:fill="FFFFFF"/>
        </w:rPr>
      </w:pPr>
    </w:p>
    <w:p w14:paraId="15B40424">
      <w:pPr>
        <w:snapToGrid w:val="0"/>
        <w:spacing w:line="560" w:lineRule="exact"/>
        <w:ind w:firstLine="640"/>
        <w:rPr>
          <w:rFonts w:ascii="仿宋_GB2312" w:hAnsi="仿宋_GB2312" w:eastAsia="仿宋_GB2312" w:cs="仿宋_GB2312"/>
          <w:b/>
          <w:bCs/>
          <w:color w:val="auto"/>
          <w:sz w:val="32"/>
          <w:szCs w:val="32"/>
          <w:shd w:val="clear" w:color="auto" w:fill="FFFFFF"/>
        </w:rPr>
      </w:pPr>
    </w:p>
    <w:p w14:paraId="130C9779">
      <w:pPr>
        <w:snapToGrid w:val="0"/>
        <w:spacing w:line="560" w:lineRule="exact"/>
        <w:ind w:firstLine="640"/>
        <w:rPr>
          <w:rFonts w:ascii="仿宋_GB2312" w:hAnsi="仿宋_GB2312" w:eastAsia="仿宋_GB2312" w:cs="仿宋_GB2312"/>
          <w:b/>
          <w:bCs/>
          <w:color w:val="auto"/>
          <w:sz w:val="32"/>
          <w:szCs w:val="32"/>
          <w:shd w:val="clear" w:color="auto" w:fill="FFFFFF"/>
        </w:rPr>
      </w:pPr>
    </w:p>
    <w:p w14:paraId="2FE005B7">
      <w:pPr>
        <w:snapToGrid w:val="0"/>
        <w:spacing w:line="560" w:lineRule="exact"/>
        <w:ind w:firstLine="640"/>
        <w:rPr>
          <w:rFonts w:ascii="仿宋_GB2312" w:hAnsi="仿宋_GB2312" w:eastAsia="仿宋_GB2312" w:cs="仿宋_GB2312"/>
          <w:b/>
          <w:bCs/>
          <w:color w:val="auto"/>
          <w:sz w:val="32"/>
          <w:szCs w:val="32"/>
          <w:shd w:val="clear" w:color="auto" w:fill="FFFFFF"/>
        </w:rPr>
      </w:pPr>
    </w:p>
    <w:p w14:paraId="69A09C32">
      <w:pPr>
        <w:snapToGrid w:val="0"/>
        <w:spacing w:line="560" w:lineRule="exact"/>
        <w:ind w:firstLine="640"/>
        <w:rPr>
          <w:rFonts w:ascii="仿宋_GB2312" w:hAnsi="仿宋_GB2312" w:eastAsia="仿宋_GB2312" w:cs="仿宋_GB2312"/>
          <w:b/>
          <w:bCs/>
          <w:color w:val="auto"/>
          <w:sz w:val="32"/>
          <w:szCs w:val="32"/>
          <w:shd w:val="clear" w:color="auto" w:fill="FFFFFF"/>
        </w:rPr>
      </w:pPr>
    </w:p>
    <w:p w14:paraId="72A2A286">
      <w:pPr>
        <w:snapToGrid w:val="0"/>
        <w:spacing w:line="560" w:lineRule="exact"/>
        <w:ind w:firstLine="640"/>
        <w:rPr>
          <w:rFonts w:ascii="仿宋_GB2312" w:hAnsi="仿宋_GB2312" w:eastAsia="仿宋_GB2312" w:cs="仿宋_GB2312"/>
          <w:b/>
          <w:bCs/>
          <w:color w:val="auto"/>
          <w:sz w:val="32"/>
          <w:szCs w:val="32"/>
          <w:shd w:val="clear" w:color="auto" w:fill="FFFFFF"/>
        </w:rPr>
      </w:pPr>
    </w:p>
    <w:p w14:paraId="718818D3">
      <w:pPr>
        <w:snapToGrid w:val="0"/>
        <w:spacing w:line="560" w:lineRule="exact"/>
        <w:ind w:firstLine="640"/>
        <w:rPr>
          <w:rFonts w:ascii="仿宋_GB2312" w:hAnsi="仿宋_GB2312" w:eastAsia="仿宋_GB2312" w:cs="仿宋_GB2312"/>
          <w:b/>
          <w:bCs/>
          <w:color w:val="auto"/>
          <w:sz w:val="32"/>
          <w:szCs w:val="32"/>
          <w:shd w:val="clear" w:color="auto" w:fill="FFFFFF"/>
        </w:rPr>
      </w:pPr>
    </w:p>
    <w:p w14:paraId="09B84835">
      <w:pPr>
        <w:snapToGrid w:val="0"/>
        <w:spacing w:line="560" w:lineRule="exact"/>
        <w:ind w:firstLine="640"/>
        <w:rPr>
          <w:rFonts w:ascii="仿宋_GB2312" w:hAnsi="仿宋_GB2312" w:eastAsia="仿宋_GB2312" w:cs="仿宋_GB2312"/>
          <w:b/>
          <w:bCs/>
          <w:color w:val="auto"/>
          <w:sz w:val="32"/>
          <w:szCs w:val="32"/>
          <w:shd w:val="clear" w:color="auto" w:fill="FFFFFF"/>
        </w:rPr>
      </w:pPr>
    </w:p>
    <w:p w14:paraId="54476B62">
      <w:pPr>
        <w:snapToGrid w:val="0"/>
        <w:spacing w:line="560" w:lineRule="exact"/>
        <w:ind w:firstLine="640"/>
        <w:rPr>
          <w:rFonts w:ascii="仿宋_GB2312" w:hAnsi="仿宋_GB2312" w:eastAsia="仿宋_GB2312" w:cs="仿宋_GB2312"/>
          <w:b/>
          <w:bCs/>
          <w:color w:val="auto"/>
          <w:sz w:val="32"/>
          <w:szCs w:val="32"/>
          <w:shd w:val="clear" w:color="auto" w:fill="FFFFFF"/>
        </w:rPr>
      </w:pPr>
    </w:p>
    <w:p w14:paraId="60B8E84E">
      <w:pPr>
        <w:snapToGrid w:val="0"/>
        <w:spacing w:line="560" w:lineRule="exact"/>
        <w:ind w:firstLine="640"/>
        <w:rPr>
          <w:rFonts w:ascii="仿宋_GB2312" w:hAnsi="仿宋_GB2312" w:eastAsia="仿宋_GB2312" w:cs="仿宋_GB2312"/>
          <w:b/>
          <w:bCs/>
          <w:color w:val="auto"/>
          <w:sz w:val="32"/>
          <w:szCs w:val="32"/>
          <w:shd w:val="clear" w:color="auto" w:fill="FFFFFF"/>
        </w:rPr>
      </w:pPr>
    </w:p>
    <w:p w14:paraId="678559FE">
      <w:pPr>
        <w:snapToGrid w:val="0"/>
        <w:spacing w:line="560" w:lineRule="exact"/>
        <w:ind w:firstLine="640"/>
        <w:rPr>
          <w:rFonts w:ascii="仿宋_GB2312" w:hAnsi="仿宋_GB2312" w:eastAsia="仿宋_GB2312" w:cs="仿宋_GB2312"/>
          <w:b/>
          <w:bCs/>
          <w:color w:val="auto"/>
          <w:sz w:val="32"/>
          <w:szCs w:val="32"/>
          <w:shd w:val="clear" w:color="auto" w:fill="FFFFFF"/>
        </w:rPr>
      </w:pPr>
    </w:p>
    <w:p w14:paraId="2255244F">
      <w:pPr>
        <w:snapToGrid w:val="0"/>
        <w:spacing w:line="560" w:lineRule="exact"/>
        <w:rPr>
          <w:rFonts w:ascii="仿宋_GB2312" w:hAnsi="仿宋_GB2312" w:eastAsia="仿宋_GB2312" w:cs="仿宋_GB2312"/>
          <w:b/>
          <w:bCs/>
          <w:color w:val="auto"/>
          <w:sz w:val="32"/>
          <w:szCs w:val="32"/>
          <w:shd w:val="clear" w:color="auto" w:fill="FFFFFF"/>
        </w:rPr>
      </w:pPr>
    </w:p>
    <w:p w14:paraId="78BAE613">
      <w:pPr>
        <w:spacing w:after="40"/>
        <w:jc w:val="left"/>
        <w:rPr>
          <w:rFonts w:ascii="楷体" w:hAnsi="楷体" w:eastAsia="楷体"/>
          <w:color w:val="auto"/>
          <w:sz w:val="22"/>
        </w:rPr>
      </w:pPr>
    </w:p>
    <w:p w14:paraId="2231188D">
      <w:pPr>
        <w:pStyle w:val="12"/>
        <w:pageBreakBefore/>
        <w:rPr>
          <w:color w:val="auto"/>
        </w:rPr>
      </w:pPr>
      <w:bookmarkStart w:id="17" w:name="_Toc15712"/>
      <w:r>
        <w:rPr>
          <w:color w:val="auto"/>
        </w:rPr>
        <w:t>案例 03　面向城市精细化治理的多模态AI感知与智能运控应用案例</w:t>
      </w:r>
      <w:bookmarkEnd w:id="17"/>
    </w:p>
    <w:p w14:paraId="65884692">
      <w:pPr>
        <w:spacing w:after="40"/>
        <w:jc w:val="left"/>
        <w:rPr>
          <w:rFonts w:ascii="楷体" w:hAnsi="楷体" w:eastAsia="楷体"/>
          <w:color w:val="auto"/>
          <w:sz w:val="22"/>
        </w:rPr>
      </w:pPr>
      <w:r>
        <w:rPr>
          <w:rFonts w:ascii="楷体" w:hAnsi="楷体" w:eastAsia="楷体"/>
          <w:color w:val="auto"/>
          <w:sz w:val="22"/>
        </w:rPr>
        <w:t>申报单位：中山市南朗街道网格和大数据事务中心</w:t>
      </w:r>
    </w:p>
    <w:p w14:paraId="636B6927">
      <w:pPr>
        <w:snapToGrid w:val="0"/>
        <w:spacing w:line="560" w:lineRule="exact"/>
        <w:rPr>
          <w:rFonts w:hint="eastAsia" w:ascii="仿宋_GB2312" w:hAnsi="仿宋_GB2312" w:eastAsia="仿宋_GB2312" w:cs="仿宋_GB2312"/>
          <w:color w:val="auto"/>
          <w:sz w:val="32"/>
          <w:szCs w:val="32"/>
          <w:shd w:val="clear" w:color="auto" w:fill="FFFFFF"/>
        </w:rPr>
      </w:pPr>
    </w:p>
    <w:p w14:paraId="145B6057">
      <w:pPr>
        <w:snapToGrid w:val="0"/>
        <w:spacing w:line="560" w:lineRule="exact"/>
        <w:ind w:firstLine="640"/>
        <w:rPr>
          <w:rFonts w:hint="eastAsia" w:ascii="黑体" w:hAnsi="黑体" w:eastAsia="黑体" w:cs="黑体"/>
          <w:color w:val="auto"/>
          <w:sz w:val="32"/>
          <w:szCs w:val="32"/>
          <w:shd w:val="clear" w:color="auto" w:fill="FFFFFF"/>
        </w:rPr>
      </w:pPr>
      <w:r>
        <w:rPr>
          <w:rFonts w:hint="eastAsia" w:ascii="黑体" w:hAnsi="黑体" w:eastAsia="黑体" w:cs="黑体"/>
          <w:color w:val="auto"/>
          <w:sz w:val="32"/>
          <w:szCs w:val="32"/>
          <w:shd w:val="clear" w:color="auto" w:fill="FFFFFF"/>
        </w:rPr>
        <w:t>一、案例基本情况</w:t>
      </w:r>
    </w:p>
    <w:p w14:paraId="38EB6309">
      <w:pPr>
        <w:snapToGrid w:val="0"/>
        <w:spacing w:line="560" w:lineRule="exact"/>
        <w:ind w:firstLine="640"/>
        <w:rPr>
          <w:rFonts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（一）案例名称：面向城市精细化治理的多模态AI感知与智能运控应用案例。</w:t>
      </w:r>
    </w:p>
    <w:p w14:paraId="7EAE6876">
      <w:pPr>
        <w:snapToGrid w:val="0"/>
        <w:spacing w:line="560" w:lineRule="exact"/>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（二）人工智能技术应用方：中山市南朗街道网格和大数据事务中心</w:t>
      </w:r>
    </w:p>
    <w:p w14:paraId="2337150A">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（三）人工智能技术供给方：西湾智慧（广东）信息科技有限公司。</w:t>
      </w:r>
    </w:p>
    <w:p w14:paraId="724DC487">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西湾智慧（广东）信息科技有限公司是一家国有资本控股的混合所有制企业，聚焦智慧产城、数据要素、网络智能三大业务，深耕智慧城市、智慧园区、数据资产和低空经济领域。公司坚持“创新技术+成熟产品+标准运营”模式，技术人员占比75%，本科及以上占比90%，近三年研发投入超千万元，拥有市级重点实验室及技术中心，知识产权超百项。公司已形成智慧城市信息数字化管理系统、地空一体智能运控平台、“数智拓客”AI招商平台等核心产品，并获多项行业奖项。在人工智能赋能新型工业化方面，公司通过AI招商、无人机智能巡航、智慧园区运维、BIM融合管理等场景应用，提升招商决策、城市治理、应急响应、能源管控和园区运营效率，持续推动产业数字化、智能化转型。</w:t>
      </w:r>
    </w:p>
    <w:p w14:paraId="06E1A36B">
      <w:pPr>
        <w:snapToGrid w:val="0"/>
        <w:spacing w:line="560" w:lineRule="exact"/>
        <w:ind w:firstLine="640"/>
        <w:rPr>
          <w:rFonts w:hint="eastAsia" w:ascii="黑体" w:hAnsi="黑体" w:eastAsia="黑体" w:cs="黑体"/>
          <w:color w:val="auto"/>
          <w:sz w:val="32"/>
          <w:szCs w:val="32"/>
          <w:shd w:val="clear" w:color="auto" w:fill="FFFFFF"/>
        </w:rPr>
      </w:pPr>
      <w:r>
        <w:rPr>
          <w:rFonts w:hint="eastAsia" w:ascii="黑体" w:hAnsi="黑体" w:eastAsia="黑体" w:cs="黑体"/>
          <w:color w:val="auto"/>
          <w:sz w:val="32"/>
          <w:szCs w:val="32"/>
          <w:shd w:val="clear" w:color="auto" w:fill="FFFFFF"/>
        </w:rPr>
        <w:t>二、案例内容介绍</w:t>
      </w:r>
    </w:p>
    <w:p w14:paraId="6C79A65B">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本案例面向基层城市治理中人工巡查效率低、监管盲区多、事件响应慢、跨部门协同难等痛点，建设“空天地一体化”的多模态AI感知与智能运控平台。平台以无人机智能机场、自动航线、卫星遥感、地面视频和物联感知设备为数据入口，采用自研无人机航线规划智能体、端侧小模型实时识别、云端大模型语义增强、低空三维网格、Kafka+Flink流式处理、多源数据治理和事件闭环处置等技术，实现违建监测、林火预警、河道排污、耕地保护、工程监管、危化品巡检和应急响应等场景的自动发现、智能研判、快速派单与闭环管理。案例亮点在于把低空飞行、AI识别、数据治理、执法取证和跨部门协同融合为一个常态化运营体系，推动城市治理从“人工巡查、事后处置”转向“智能感知、主动预警、协同治理”。</w:t>
      </w:r>
    </w:p>
    <w:p w14:paraId="6378A216">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项目已在中山翠亨新区完成规模化落地，形成覆盖226平方公里的低空智能巡查体系，建成9座智能机场和288条全自动常态化航线，服务公安、应急、城管、环保、农业农村等26个部门。累计完成1500+架次常态化飞行，处置各类低空巡查事件4333宗，事件发现率提升80%，隐患整改率超过90%，事件平均响应时长由约6小时缩短至约2小时，超期处置率由35%下降至8%。通过“一次采集、多部门复用”，低空采集数据跨部门复用率达到100%，单位面积治理成本较传统人工巡查模式降低约40%，显著提升基层治理效率和数据要素价值。</w:t>
      </w:r>
    </w:p>
    <w:p w14:paraId="6AC73459">
      <w:pPr>
        <w:snapToGrid w:val="0"/>
        <w:spacing w:line="560" w:lineRule="exact"/>
        <w:ind w:firstLine="640"/>
        <w:rPr>
          <w:rFonts w:hint="eastAsia" w:ascii="黑体" w:hAnsi="黑体" w:eastAsia="黑体" w:cs="黑体"/>
          <w:color w:val="auto"/>
          <w:sz w:val="32"/>
          <w:szCs w:val="32"/>
          <w:shd w:val="clear" w:color="auto" w:fill="FFFFFF"/>
        </w:rPr>
      </w:pPr>
      <w:r>
        <w:rPr>
          <w:rFonts w:hint="eastAsia" w:ascii="黑体" w:hAnsi="黑体" w:eastAsia="黑体" w:cs="黑体"/>
          <w:color w:val="auto"/>
          <w:sz w:val="32"/>
          <w:szCs w:val="32"/>
          <w:shd w:val="clear" w:color="auto" w:fill="FFFFFF"/>
        </w:rPr>
        <w:t>三、案例所获得荣誉、复制推广情况等</w:t>
      </w:r>
    </w:p>
    <w:p w14:paraId="0043C7AD">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项目已获得多项荣誉与佐证支撑，包括2023年“创新中山”科学技术奖二等奖、2024年智慧城市先锋榜优秀案例、2024年广东省名优高新技术产品“地空一体智能巡查运营管理平台”、2025年新型城市基础设施建设优秀案例汇编、2025年广东软件风云录优秀行业应用解决方案、2025年“数据要素×”大赛广东分赛新锐力量奖等。项目拥有发明专利ZL202311292133.6《一种基于卫星影像与无人机巡查的地块违规监测系统》，并具备多项软件著作权、国产化达梦数据库兼容认证、商用密码应用安全性评估和信息系统安全等级保护备案等材料。项目已在佛山市顺德区完成异地复制落地，形成“1个低空运控中枢+3大核心能力+26个场景模块”的标准化框架，具备在粤港澳大湾区及全国低空经济试点城市推广价值。</w:t>
      </w:r>
    </w:p>
    <w:p w14:paraId="680C8EB7">
      <w:pPr>
        <w:snapToGrid w:val="0"/>
        <w:rPr>
          <w:color w:val="auto"/>
        </w:rPr>
      </w:pPr>
      <w:r>
        <w:rPr>
          <w:color w:val="auto"/>
        </w:rPr>
        <w:pict>
          <v:shape id="_x0000_i1035" o:spt="75" type="#_x0000_t75" style="height:232.35pt;width:413.85pt;" filled="f" o:preferrelative="t" stroked="f" coordsize="21600,21600">
            <v:path/>
            <v:fill on="f" focussize="0,0"/>
            <v:stroke on="f" joinstyle="miter"/>
            <v:imagedata r:id="rId42" o:title=""/>
            <o:lock v:ext="edit" aspectratio="t"/>
            <w10:wrap type="none"/>
            <w10:anchorlock/>
          </v:shape>
        </w:pict>
      </w:r>
    </w:p>
    <w:p w14:paraId="75A9482C">
      <w:pPr>
        <w:snapToGrid w:val="0"/>
        <w:rPr>
          <w:color w:val="auto"/>
        </w:rPr>
      </w:pPr>
    </w:p>
    <w:p w14:paraId="78DA2C26">
      <w:pPr>
        <w:snapToGrid w:val="0"/>
        <w:rPr>
          <w:color w:val="auto"/>
        </w:rPr>
      </w:pPr>
    </w:p>
    <w:p w14:paraId="392AD837">
      <w:pPr>
        <w:snapToGrid w:val="0"/>
        <w:rPr>
          <w:color w:val="auto"/>
        </w:rPr>
      </w:pPr>
    </w:p>
    <w:p w14:paraId="6C723C6B">
      <w:pPr>
        <w:snapToGrid w:val="0"/>
        <w:rPr>
          <w:color w:val="auto"/>
        </w:rPr>
      </w:pPr>
    </w:p>
    <w:p w14:paraId="33E651EA">
      <w:pPr>
        <w:snapToGrid w:val="0"/>
        <w:rPr>
          <w:color w:val="auto"/>
        </w:rPr>
      </w:pPr>
    </w:p>
    <w:p w14:paraId="6ADDFB1A">
      <w:pPr>
        <w:snapToGrid w:val="0"/>
        <w:rPr>
          <w:color w:val="auto"/>
        </w:rPr>
      </w:pPr>
    </w:p>
    <w:p w14:paraId="4B1E6891">
      <w:pPr>
        <w:spacing w:after="120"/>
        <w:jc w:val="left"/>
        <w:rPr>
          <w:rFonts w:ascii="楷体" w:hAnsi="楷体" w:eastAsia="楷体"/>
          <w:color w:val="auto"/>
        </w:rPr>
      </w:pPr>
    </w:p>
    <w:p w14:paraId="3AF8D39D">
      <w:pPr>
        <w:pStyle w:val="12"/>
        <w:pageBreakBefore/>
        <w:rPr>
          <w:color w:val="auto"/>
        </w:rPr>
      </w:pPr>
      <w:bookmarkStart w:id="18" w:name="_Toc20260"/>
      <w:r>
        <w:rPr>
          <w:color w:val="auto"/>
        </w:rPr>
        <w:t>案例 04　基于DeepSeek Harness的医院运营智能分析与决策支持平台</w:t>
      </w:r>
      <w:bookmarkEnd w:id="18"/>
    </w:p>
    <w:p w14:paraId="26882F63">
      <w:pPr>
        <w:spacing w:after="40"/>
        <w:jc w:val="left"/>
        <w:rPr>
          <w:rFonts w:ascii="楷体" w:hAnsi="楷体" w:eastAsia="楷体"/>
          <w:color w:val="auto"/>
          <w:sz w:val="22"/>
        </w:rPr>
      </w:pPr>
      <w:r>
        <w:rPr>
          <w:rFonts w:ascii="楷体" w:hAnsi="楷体" w:eastAsia="楷体"/>
          <w:color w:val="auto"/>
          <w:sz w:val="22"/>
        </w:rPr>
        <w:t>申报单位：中山市东升医院</w:t>
      </w:r>
    </w:p>
    <w:p w14:paraId="20680768">
      <w:pPr>
        <w:spacing w:after="160" w:line="560" w:lineRule="exact"/>
        <w:jc w:val="center"/>
        <w:rPr>
          <w:color w:val="auto"/>
        </w:rPr>
      </w:pPr>
    </w:p>
    <w:p w14:paraId="57845613">
      <w:pPr>
        <w:keepNext/>
        <w:spacing w:line="560" w:lineRule="exact"/>
        <w:ind w:firstLine="640" w:firstLineChars="200"/>
        <w:rPr>
          <w:color w:val="auto"/>
        </w:rPr>
      </w:pPr>
      <w:r>
        <w:rPr>
          <w:rFonts w:ascii="黑体" w:hAnsi="黑体" w:eastAsia="黑体"/>
          <w:color w:val="auto"/>
          <w:sz w:val="32"/>
        </w:rPr>
        <w:t>一、案例基本情况</w:t>
      </w:r>
    </w:p>
    <w:p w14:paraId="4F6F557D">
      <w:pPr>
        <w:spacing w:line="560" w:lineRule="exact"/>
        <w:ind w:firstLine="640"/>
        <w:rPr>
          <w:color w:val="auto"/>
        </w:rPr>
      </w:pPr>
      <w:r>
        <w:rPr>
          <w:rFonts w:ascii="楷体_GB2312" w:hAnsi="楷体_GB2312" w:eastAsia="楷体_GB2312"/>
          <w:b/>
          <w:color w:val="auto"/>
          <w:sz w:val="32"/>
        </w:rPr>
        <w:t>案例名称：</w:t>
      </w:r>
      <w:r>
        <w:rPr>
          <w:rFonts w:ascii="仿宋_GB2312" w:hAnsi="仿宋_GB2312" w:eastAsia="仿宋_GB2312"/>
          <w:color w:val="auto"/>
          <w:sz w:val="32"/>
        </w:rPr>
        <w:t>基于DeepSeek Harness的医院运营智能分析与决策支持平台</w:t>
      </w:r>
    </w:p>
    <w:p w14:paraId="77643AB6">
      <w:pPr>
        <w:spacing w:line="560" w:lineRule="exact"/>
        <w:ind w:firstLine="640"/>
        <w:rPr>
          <w:color w:val="auto"/>
        </w:rPr>
      </w:pPr>
      <w:r>
        <w:rPr>
          <w:rFonts w:ascii="楷体_GB2312" w:hAnsi="楷体_GB2312" w:eastAsia="楷体_GB2312"/>
          <w:b/>
          <w:color w:val="auto"/>
          <w:sz w:val="32"/>
        </w:rPr>
        <w:t>人工智能技术应用方：</w:t>
      </w:r>
      <w:r>
        <w:rPr>
          <w:rFonts w:ascii="仿宋_GB2312" w:hAnsi="仿宋_GB2312" w:eastAsia="仿宋_GB2312"/>
          <w:color w:val="auto"/>
          <w:sz w:val="32"/>
        </w:rPr>
        <w:t>中山市东升医院。</w:t>
      </w:r>
    </w:p>
    <w:p w14:paraId="2B9E3F1F">
      <w:pPr>
        <w:spacing w:line="560" w:lineRule="exact"/>
        <w:ind w:firstLine="640"/>
        <w:rPr>
          <w:color w:val="auto"/>
        </w:rPr>
      </w:pPr>
      <w:r>
        <w:rPr>
          <w:rFonts w:ascii="楷体_GB2312" w:hAnsi="楷体_GB2312" w:eastAsia="楷体_GB2312"/>
          <w:b/>
          <w:color w:val="auto"/>
          <w:sz w:val="32"/>
        </w:rPr>
        <w:t>应用单位简介：</w:t>
      </w:r>
      <w:r>
        <w:rPr>
          <w:rFonts w:ascii="仿宋_GB2312" w:hAnsi="仿宋_GB2312" w:eastAsia="仿宋_GB2312"/>
          <w:color w:val="auto"/>
          <w:sz w:val="32"/>
        </w:rPr>
        <w:t>中山市东升医院位于中山市小榄镇，是承担辖区医疗、急救、预防保健和康复服务的</w:t>
      </w:r>
      <w:r>
        <w:rPr>
          <w:rFonts w:hint="eastAsia" w:ascii="仿宋_GB2312" w:hAnsi="仿宋_GB2312" w:eastAsia="仿宋_GB2312"/>
          <w:color w:val="auto"/>
          <w:sz w:val="32"/>
        </w:rPr>
        <w:t>二甲</w:t>
      </w:r>
      <w:r>
        <w:rPr>
          <w:rFonts w:ascii="仿宋_GB2312" w:hAnsi="仿宋_GB2312" w:eastAsia="仿宋_GB2312"/>
          <w:color w:val="auto"/>
          <w:sz w:val="32"/>
        </w:rPr>
        <w:t>公立综合医院。医院持续推进数字化管理和精细化运营，围绕医疗质量、服务效率、医保支付和成本控制等需求，探索以人工智能提升数据利用能力和管理决策效率。</w:t>
      </w:r>
    </w:p>
    <w:p w14:paraId="04A40D77">
      <w:pPr>
        <w:spacing w:line="560" w:lineRule="exact"/>
        <w:ind w:firstLine="640"/>
        <w:rPr>
          <w:color w:val="auto"/>
        </w:rPr>
      </w:pPr>
      <w:r>
        <w:rPr>
          <w:rFonts w:ascii="楷体_GB2312" w:hAnsi="楷体_GB2312" w:eastAsia="楷体_GB2312"/>
          <w:b/>
          <w:color w:val="auto"/>
          <w:sz w:val="32"/>
        </w:rPr>
        <w:t>人工智能技术供给方：</w:t>
      </w:r>
      <w:r>
        <w:rPr>
          <w:rFonts w:ascii="仿宋_GB2312" w:hAnsi="仿宋_GB2312" w:eastAsia="仿宋_GB2312"/>
          <w:color w:val="auto"/>
          <w:sz w:val="32"/>
        </w:rPr>
        <w:t>中山市东升医院（自主研发）。</w:t>
      </w:r>
    </w:p>
    <w:p w14:paraId="7576EACB">
      <w:pPr>
        <w:keepNext/>
        <w:spacing w:before="120" w:line="560" w:lineRule="exact"/>
        <w:ind w:firstLine="640" w:firstLineChars="200"/>
        <w:rPr>
          <w:color w:val="auto"/>
        </w:rPr>
      </w:pPr>
      <w:r>
        <w:rPr>
          <w:rFonts w:ascii="黑体" w:hAnsi="黑体" w:eastAsia="黑体"/>
          <w:color w:val="auto"/>
          <w:sz w:val="32"/>
        </w:rPr>
        <w:t>二、案例内容介绍</w:t>
      </w:r>
    </w:p>
    <w:p w14:paraId="7C8F5502">
      <w:pPr>
        <w:spacing w:line="560" w:lineRule="exact"/>
        <w:ind w:firstLine="640"/>
        <w:rPr>
          <w:rFonts w:ascii="楷体_GB2312" w:hAnsi="楷体_GB2312" w:eastAsia="楷体_GB2312"/>
          <w:b/>
          <w:color w:val="auto"/>
          <w:sz w:val="32"/>
        </w:rPr>
      </w:pPr>
      <w:r>
        <w:rPr>
          <w:rFonts w:ascii="楷体_GB2312" w:hAnsi="楷体_GB2312" w:eastAsia="楷体_GB2312"/>
          <w:b/>
          <w:color w:val="auto"/>
          <w:sz w:val="32"/>
        </w:rPr>
        <w:t>（一）案例背景、关键技术、实现功能及亮点：</w:t>
      </w:r>
    </w:p>
    <w:p w14:paraId="154E36AE">
      <w:pPr>
        <w:spacing w:line="560" w:lineRule="exact"/>
        <w:ind w:firstLine="640"/>
        <w:rPr>
          <w:color w:val="auto"/>
        </w:rPr>
      </w:pPr>
      <w:r>
        <w:rPr>
          <w:rFonts w:ascii="仿宋_GB2312" w:hAnsi="仿宋_GB2312" w:eastAsia="仿宋_GB2312"/>
          <w:color w:val="auto"/>
          <w:sz w:val="32"/>
        </w:rPr>
        <w:t>医院</w:t>
      </w:r>
      <w:r>
        <w:rPr>
          <w:rFonts w:hint="eastAsia" w:ascii="仿宋_GB2312" w:hAnsi="仿宋_GB2312" w:eastAsia="仿宋_GB2312"/>
          <w:color w:val="auto"/>
          <w:sz w:val="32"/>
        </w:rPr>
        <w:t>传统数据统计和分析</w:t>
      </w:r>
      <w:r>
        <w:rPr>
          <w:rFonts w:ascii="仿宋_GB2312" w:hAnsi="仿宋_GB2312" w:eastAsia="仿宋_GB2312"/>
          <w:color w:val="auto"/>
          <w:sz w:val="32"/>
        </w:rPr>
        <w:t>依赖技术人员开发固定报表，临时问题和跨领域分析响应较慢</w:t>
      </w:r>
      <w:r>
        <w:rPr>
          <w:rFonts w:hint="eastAsia" w:ascii="仿宋_GB2312" w:hAnsi="仿宋_GB2312" w:eastAsia="仿宋_GB2312"/>
          <w:color w:val="auto"/>
          <w:sz w:val="32"/>
        </w:rPr>
        <w:t>，且分析质量依赖于管理人员水平</w:t>
      </w:r>
      <w:r>
        <w:rPr>
          <w:rFonts w:ascii="仿宋_GB2312" w:hAnsi="仿宋_GB2312" w:eastAsia="仿宋_GB2312"/>
          <w:color w:val="auto"/>
          <w:sz w:val="32"/>
        </w:rPr>
        <w:t>。</w:t>
      </w:r>
      <w:r>
        <w:rPr>
          <w:rFonts w:hint="eastAsia" w:ascii="仿宋_GB2312" w:hAnsi="仿宋_GB2312" w:eastAsia="仿宋_GB2312"/>
          <w:color w:val="auto"/>
          <w:sz w:val="32"/>
        </w:rPr>
        <w:t>本</w:t>
      </w:r>
      <w:r>
        <w:rPr>
          <w:rFonts w:ascii="仿宋_GB2312" w:hAnsi="仿宋_GB2312" w:eastAsia="仿宋_GB2312"/>
          <w:color w:val="auto"/>
          <w:sz w:val="32"/>
        </w:rPr>
        <w:t>项目自主构建DeepSeek Harness直连小型离线医院数据中心的智能分析架构</w:t>
      </w:r>
      <w:r>
        <w:rPr>
          <w:rFonts w:hint="eastAsia" w:ascii="仿宋_GB2312" w:hAnsi="仿宋_GB2312" w:eastAsia="仿宋_GB2312"/>
          <w:color w:val="auto"/>
          <w:sz w:val="32"/>
        </w:rPr>
        <w:t>，</w:t>
      </w:r>
      <w:r>
        <w:rPr>
          <w:rFonts w:ascii="仿宋_GB2312" w:hAnsi="仿宋_GB2312" w:eastAsia="仿宋_GB2312"/>
          <w:color w:val="auto"/>
          <w:sz w:val="32"/>
        </w:rPr>
        <w:t>数据中心汇集病案首页、门诊住院、诊断手术、费用、医保结算与DIP、药品耗材、科室人员等数据。Harness作为执行中枢，调用大模型理解</w:t>
      </w:r>
      <w:r>
        <w:rPr>
          <w:rFonts w:hint="eastAsia" w:ascii="仿宋_GB2312" w:hAnsi="仿宋_GB2312" w:eastAsia="仿宋_GB2312"/>
          <w:color w:val="auto"/>
          <w:sz w:val="32"/>
        </w:rPr>
        <w:t>统计和</w:t>
      </w:r>
      <w:r>
        <w:rPr>
          <w:rFonts w:ascii="仿宋_GB2312" w:hAnsi="仿宋_GB2312" w:eastAsia="仿宋_GB2312"/>
          <w:color w:val="auto"/>
          <w:sz w:val="32"/>
        </w:rPr>
        <w:t>管理问题，自动完成结构识别、表关系发现、跨表查询、统计计算、结果复核和报告生成；医疗运营</w:t>
      </w:r>
      <w:r>
        <w:rPr>
          <w:rFonts w:hint="eastAsia" w:ascii="仿宋_GB2312" w:hAnsi="仿宋_GB2312" w:eastAsia="仿宋_GB2312"/>
          <w:color w:val="auto"/>
          <w:sz w:val="32"/>
        </w:rPr>
        <w:t>等</w:t>
      </w:r>
      <w:r>
        <w:rPr>
          <w:rFonts w:ascii="仿宋_GB2312" w:hAnsi="仿宋_GB2312" w:eastAsia="仿宋_GB2312"/>
          <w:color w:val="auto"/>
          <w:sz w:val="32"/>
        </w:rPr>
        <w:t>Skill固化指标口径、分析路径、校验与输出规则。平台可按月生成统计报表，主动发现异常、下钻原因并提出运营建议。</w:t>
      </w:r>
      <w:r>
        <w:rPr>
          <w:rFonts w:hint="eastAsia" w:ascii="仿宋_GB2312" w:hAnsi="仿宋_GB2312" w:eastAsia="仿宋_GB2312"/>
          <w:color w:val="auto"/>
          <w:sz w:val="32"/>
        </w:rPr>
        <w:t>在数据安全方面，</w:t>
      </w:r>
      <w:r>
        <w:rPr>
          <w:rFonts w:ascii="仿宋_GB2312" w:hAnsi="仿宋_GB2312" w:eastAsia="仿宋_GB2312"/>
          <w:color w:val="auto"/>
          <w:sz w:val="32"/>
        </w:rPr>
        <w:t>源端数据已脱敏，分析采用只读连接、最小必要取数</w:t>
      </w:r>
      <w:r>
        <w:rPr>
          <w:rFonts w:hint="eastAsia" w:ascii="仿宋_GB2312" w:hAnsi="仿宋_GB2312" w:eastAsia="仿宋_GB2312"/>
          <w:color w:val="auto"/>
          <w:sz w:val="32"/>
        </w:rPr>
        <w:t>、</w:t>
      </w:r>
      <w:r>
        <w:rPr>
          <w:rFonts w:ascii="仿宋_GB2312" w:hAnsi="仿宋_GB2312" w:eastAsia="仿宋_GB2312"/>
          <w:color w:val="auto"/>
          <w:sz w:val="32"/>
        </w:rPr>
        <w:t>Skill</w:t>
      </w:r>
      <w:r>
        <w:rPr>
          <w:rFonts w:hint="eastAsia" w:ascii="仿宋_GB2312" w:hAnsi="仿宋_GB2312" w:eastAsia="仿宋_GB2312"/>
          <w:color w:val="auto"/>
          <w:sz w:val="32"/>
        </w:rPr>
        <w:t>和MCP</w:t>
      </w:r>
      <w:r>
        <w:rPr>
          <w:rFonts w:ascii="仿宋_GB2312" w:hAnsi="仿宋_GB2312" w:eastAsia="仿宋_GB2312"/>
          <w:color w:val="auto"/>
          <w:sz w:val="32"/>
        </w:rPr>
        <w:t>安全约束，结果保留来源路径与公式，可追溯、可复核。</w:t>
      </w:r>
    </w:p>
    <w:p w14:paraId="66211614">
      <w:pPr>
        <w:spacing w:line="560" w:lineRule="exact"/>
        <w:ind w:firstLine="640"/>
        <w:rPr>
          <w:rFonts w:ascii="楷体_GB2312" w:hAnsi="楷体_GB2312" w:eastAsia="楷体_GB2312"/>
          <w:b/>
          <w:color w:val="auto"/>
          <w:sz w:val="32"/>
        </w:rPr>
      </w:pPr>
      <w:r>
        <w:rPr>
          <w:rFonts w:ascii="楷体_GB2312" w:hAnsi="楷体_GB2312" w:eastAsia="楷体_GB2312"/>
          <w:b/>
          <w:color w:val="auto"/>
          <w:sz w:val="32"/>
        </w:rPr>
        <w:t>（二）具体应用成效：</w:t>
      </w:r>
    </w:p>
    <w:p w14:paraId="448F48D0">
      <w:pPr>
        <w:spacing w:line="560" w:lineRule="exact"/>
        <w:ind w:firstLine="640"/>
        <w:rPr>
          <w:color w:val="auto"/>
        </w:rPr>
      </w:pPr>
      <w:r>
        <w:rPr>
          <w:rFonts w:ascii="仿宋_GB2312" w:hAnsi="仿宋_GB2312" w:eastAsia="仿宋_GB2312"/>
          <w:color w:val="auto"/>
          <w:sz w:val="32"/>
        </w:rPr>
        <w:t>应用前，</w:t>
      </w:r>
      <w:r>
        <w:rPr>
          <w:rFonts w:hint="eastAsia" w:ascii="仿宋_GB2312" w:hAnsi="仿宋_GB2312" w:eastAsia="仿宋_GB2312"/>
          <w:color w:val="auto"/>
          <w:sz w:val="32"/>
        </w:rPr>
        <w:t>医院数据统计</w:t>
      </w:r>
      <w:r>
        <w:rPr>
          <w:rFonts w:ascii="仿宋_GB2312" w:hAnsi="仿宋_GB2312" w:eastAsia="仿宋_GB2312"/>
          <w:color w:val="auto"/>
          <w:sz w:val="32"/>
        </w:rPr>
        <w:t>通常需要人工查找数据表、编写查询并反复核对，临时分析依赖技术人员，固定报表难以继续下钻。应用后，管理人员可直接以自然语言提出问题，平台即时完成取数、计算、异常识别和</w:t>
      </w:r>
      <w:r>
        <w:rPr>
          <w:rFonts w:hint="eastAsia" w:ascii="仿宋_GB2312" w:hAnsi="仿宋_GB2312" w:eastAsia="仿宋_GB2312"/>
          <w:color w:val="auto"/>
          <w:sz w:val="32"/>
        </w:rPr>
        <w:t>统计报表</w:t>
      </w:r>
      <w:r>
        <w:rPr>
          <w:rFonts w:ascii="仿宋_GB2312" w:hAnsi="仿宋_GB2312" w:eastAsia="仿宋_GB2312"/>
          <w:color w:val="auto"/>
          <w:sz w:val="32"/>
        </w:rPr>
        <w:t>生成</w:t>
      </w:r>
      <w:r>
        <w:rPr>
          <w:rFonts w:hint="eastAsia" w:ascii="仿宋_GB2312" w:hAnsi="仿宋_GB2312" w:eastAsia="仿宋_GB2312"/>
          <w:color w:val="auto"/>
          <w:sz w:val="32"/>
        </w:rPr>
        <w:t>，同时根据统计结果准确发现医院质量、运营方面存在的问题，并给出管理建议。</w:t>
      </w:r>
      <w:r>
        <w:rPr>
          <w:rFonts w:ascii="仿宋_GB2312" w:hAnsi="仿宋_GB2312" w:eastAsia="仿宋_GB2312"/>
          <w:color w:val="auto"/>
          <w:sz w:val="32"/>
        </w:rPr>
        <w:t>目前已用于皮肤科、儿科、外一科、内一科、妇产科等住院运营分析，以及CMI、DIP盈亏、三四级手术、药品耗材联动等专题。平台能够从汇总指标下钻至病种、科室、医生和收费项目，查明业务量、病例结构、医保结算及药耗变化的具体原因，统一分析口径，提升数据响应速度和运营决策的针对性。</w:t>
      </w:r>
    </w:p>
    <w:p w14:paraId="57B3E718">
      <w:pPr>
        <w:keepNext/>
        <w:spacing w:before="120" w:line="560" w:lineRule="exact"/>
        <w:ind w:firstLine="640" w:firstLineChars="200"/>
        <w:rPr>
          <w:color w:val="auto"/>
        </w:rPr>
      </w:pPr>
      <w:r>
        <w:rPr>
          <w:rFonts w:ascii="黑体" w:hAnsi="黑体" w:eastAsia="黑体"/>
          <w:color w:val="auto"/>
          <w:sz w:val="32"/>
        </w:rPr>
        <w:t>三、所获荣誉及复制推广情况</w:t>
      </w:r>
    </w:p>
    <w:p w14:paraId="7AF8B52A">
      <w:pPr>
        <w:spacing w:line="560" w:lineRule="exact"/>
        <w:ind w:firstLine="640"/>
        <w:rPr>
          <w:color w:val="auto"/>
        </w:rPr>
      </w:pPr>
      <w:r>
        <w:rPr>
          <w:rFonts w:ascii="仿宋_GB2312" w:hAnsi="仿宋_GB2312" w:eastAsia="仿宋_GB2312"/>
          <w:color w:val="auto"/>
          <w:sz w:val="32"/>
        </w:rPr>
        <w:t>项目目前已在医院运营分析工作中持续应用和迭代，暂未申报外部荣誉。方案采用“DeepSeek Harness执行框架+脱敏离线数据中心+医疗运营Skill+指标口径库”的模块化结构，可结合医院现有数据条件逐步部署，无需重建大型数据平台。对具备HIS、医保、HRP等子领域数据中心的医疗机构，可通过统一数据字典</w:t>
      </w:r>
      <w:r>
        <w:rPr>
          <w:rFonts w:hint="eastAsia" w:ascii="仿宋_GB2312" w:hAnsi="仿宋_GB2312" w:eastAsia="仿宋_GB2312"/>
          <w:color w:val="auto"/>
          <w:sz w:val="32"/>
        </w:rPr>
        <w:t>或提供报表字典等方式</w:t>
      </w:r>
      <w:r>
        <w:rPr>
          <w:rFonts w:ascii="仿宋_GB2312" w:hAnsi="仿宋_GB2312" w:eastAsia="仿宋_GB2312"/>
          <w:color w:val="auto"/>
          <w:sz w:val="32"/>
        </w:rPr>
        <w:t>快速接入，适用于医院月度运营、科室分析、医保支付、病种管理和成本分析等场景，具有较好的复制推广价值。</w:t>
      </w:r>
    </w:p>
    <w:p w14:paraId="4A972494">
      <w:pPr>
        <w:keepNext/>
        <w:spacing w:before="120" w:line="560" w:lineRule="exact"/>
        <w:rPr>
          <w:color w:val="auto"/>
        </w:rPr>
      </w:pPr>
      <w:r>
        <w:rPr>
          <w:rFonts w:ascii="黑体" w:hAnsi="黑体" w:eastAsia="黑体"/>
          <w:color w:val="auto"/>
          <w:sz w:val="32"/>
        </w:rPr>
        <w:t>四、案例图片</w:t>
      </w:r>
    </w:p>
    <w:p w14:paraId="7C618634">
      <w:pPr>
        <w:keepLines/>
        <w:spacing w:before="80" w:after="40"/>
        <w:jc w:val="center"/>
        <w:rPr>
          <w:color w:val="auto"/>
        </w:rPr>
      </w:pPr>
      <w:r>
        <w:rPr>
          <w:rFonts w:hint="eastAsia"/>
          <w:color w:val="auto"/>
        </w:rPr>
        <w:drawing>
          <wp:inline distT="0" distB="0" distL="114300" distR="114300">
            <wp:extent cx="5266690" cy="2962910"/>
            <wp:effectExtent l="0" t="0" r="10160" b="8890"/>
            <wp:docPr id="12" name="图片 2" descr="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 descr="图1"/>
                    <pic:cNvPicPr>
                      <a:picLocks noChangeAspect="1"/>
                    </pic:cNvPicPr>
                  </pic:nvPicPr>
                  <pic:blipFill>
                    <a:blip r:embed="rId43"/>
                    <a:stretch>
                      <a:fillRect/>
                    </a:stretch>
                  </pic:blipFill>
                  <pic:spPr>
                    <a:xfrm>
                      <a:off x="0" y="0"/>
                      <a:ext cx="5266690" cy="2962910"/>
                    </a:xfrm>
                    <a:prstGeom prst="rect">
                      <a:avLst/>
                    </a:prstGeom>
                    <a:noFill/>
                    <a:ln>
                      <a:noFill/>
                    </a:ln>
                  </pic:spPr>
                </pic:pic>
              </a:graphicData>
            </a:graphic>
          </wp:inline>
        </w:drawing>
      </w:r>
    </w:p>
    <w:p w14:paraId="3312C476">
      <w:pPr>
        <w:spacing w:after="80" w:line="560" w:lineRule="exact"/>
        <w:jc w:val="center"/>
        <w:rPr>
          <w:color w:val="auto"/>
        </w:rPr>
      </w:pPr>
      <w:r>
        <w:rPr>
          <w:rFonts w:ascii="宋体" w:hAnsi="宋体" w:eastAsia="宋体"/>
          <w:color w:val="auto"/>
          <w:sz w:val="24"/>
        </w:rPr>
        <w:t>图1  DeepSeek Harness医院运营智能分析总体架构</w:t>
      </w:r>
    </w:p>
    <w:p w14:paraId="2C6DF938">
      <w:pPr>
        <w:keepLines/>
        <w:spacing w:before="80" w:after="40"/>
        <w:jc w:val="center"/>
        <w:rPr>
          <w:color w:val="auto"/>
        </w:rPr>
      </w:pPr>
      <w:r>
        <w:rPr>
          <w:rFonts w:hint="eastAsia"/>
          <w:color w:val="auto"/>
        </w:rPr>
        <w:drawing>
          <wp:inline distT="0" distB="0" distL="114300" distR="114300">
            <wp:extent cx="5241290" cy="2948940"/>
            <wp:effectExtent l="0" t="0" r="1270" b="7620"/>
            <wp:docPr id="13" name="图片 3" descr="妇产科问答-横版16x9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3" descr="妇产科问答-横版16x9 (2)"/>
                    <pic:cNvPicPr>
                      <a:picLocks noChangeAspect="1"/>
                    </pic:cNvPicPr>
                  </pic:nvPicPr>
                  <pic:blipFill>
                    <a:blip r:embed="rId44"/>
                    <a:stretch>
                      <a:fillRect/>
                    </a:stretch>
                  </pic:blipFill>
                  <pic:spPr>
                    <a:xfrm>
                      <a:off x="0" y="0"/>
                      <a:ext cx="5241290" cy="2948940"/>
                    </a:xfrm>
                    <a:prstGeom prst="rect">
                      <a:avLst/>
                    </a:prstGeom>
                    <a:noFill/>
                    <a:ln>
                      <a:noFill/>
                    </a:ln>
                  </pic:spPr>
                </pic:pic>
              </a:graphicData>
            </a:graphic>
          </wp:inline>
        </w:drawing>
      </w:r>
    </w:p>
    <w:p w14:paraId="133E49E6">
      <w:pPr>
        <w:spacing w:line="560" w:lineRule="exact"/>
        <w:jc w:val="center"/>
        <w:rPr>
          <w:color w:val="auto"/>
        </w:rPr>
      </w:pPr>
      <w:r>
        <w:rPr>
          <w:rFonts w:ascii="宋体" w:hAnsi="宋体" w:eastAsia="宋体"/>
          <w:color w:val="auto"/>
          <w:sz w:val="24"/>
        </w:rPr>
        <w:t>图2  医院运营智能分析示例</w:t>
      </w:r>
    </w:p>
    <w:p w14:paraId="52A0AEDE">
      <w:pPr>
        <w:spacing w:after="40"/>
        <w:jc w:val="left"/>
        <w:rPr>
          <w:rFonts w:ascii="楷体" w:hAnsi="楷体" w:eastAsia="楷体"/>
          <w:color w:val="auto"/>
          <w:sz w:val="22"/>
        </w:rPr>
      </w:pPr>
    </w:p>
    <w:p w14:paraId="7616D4E5">
      <w:pPr>
        <w:pStyle w:val="12"/>
        <w:pageBreakBefore/>
        <w:rPr>
          <w:color w:val="auto"/>
        </w:rPr>
      </w:pPr>
      <w:bookmarkStart w:id="19" w:name="_Toc2445"/>
      <w:r>
        <w:rPr>
          <w:color w:val="auto"/>
        </w:rPr>
        <w:t>案例 05　人工智能赋能医学影像阅片分析与诊断</w:t>
      </w:r>
      <w:bookmarkEnd w:id="19"/>
    </w:p>
    <w:p w14:paraId="0E14870A">
      <w:pPr>
        <w:spacing w:after="40"/>
        <w:jc w:val="left"/>
        <w:rPr>
          <w:rFonts w:ascii="楷体" w:hAnsi="楷体" w:eastAsia="楷体"/>
          <w:color w:val="auto"/>
          <w:sz w:val="22"/>
        </w:rPr>
      </w:pPr>
      <w:r>
        <w:rPr>
          <w:rFonts w:ascii="楷体" w:hAnsi="楷体" w:eastAsia="楷体"/>
          <w:color w:val="auto"/>
          <w:sz w:val="22"/>
        </w:rPr>
        <w:t>申报单位：中山市东升医院</w:t>
      </w:r>
    </w:p>
    <w:p w14:paraId="65B9F419">
      <w:pPr>
        <w:snapToGrid w:val="0"/>
        <w:spacing w:line="560" w:lineRule="exact"/>
        <w:ind w:firstLine="640"/>
        <w:rPr>
          <w:rFonts w:hint="eastAsia" w:ascii="黑体" w:hAnsi="黑体" w:eastAsia="黑体" w:cs="黑体"/>
          <w:color w:val="auto"/>
          <w:sz w:val="32"/>
          <w:szCs w:val="32"/>
          <w:shd w:val="clear" w:color="auto" w:fill="FFFFFF"/>
        </w:rPr>
      </w:pPr>
    </w:p>
    <w:p w14:paraId="737EDE76">
      <w:pPr>
        <w:snapToGrid w:val="0"/>
        <w:spacing w:line="560" w:lineRule="exact"/>
        <w:ind w:firstLine="640"/>
        <w:rPr>
          <w:rFonts w:hint="eastAsia" w:ascii="黑体" w:hAnsi="黑体" w:eastAsia="黑体" w:cs="黑体"/>
          <w:color w:val="auto"/>
          <w:sz w:val="32"/>
          <w:szCs w:val="32"/>
          <w:shd w:val="clear" w:color="auto" w:fill="FFFFFF"/>
        </w:rPr>
      </w:pPr>
      <w:r>
        <w:rPr>
          <w:rFonts w:hint="eastAsia" w:ascii="黑体" w:hAnsi="黑体" w:eastAsia="黑体" w:cs="黑体"/>
          <w:color w:val="auto"/>
          <w:sz w:val="32"/>
          <w:szCs w:val="32"/>
          <w:shd w:val="clear" w:color="auto" w:fill="FFFFFF"/>
        </w:rPr>
        <w:t>一、案例基本情况</w:t>
      </w:r>
    </w:p>
    <w:p w14:paraId="724CEB24">
      <w:pPr>
        <w:snapToGrid w:val="0"/>
        <w:spacing w:line="560" w:lineRule="exact"/>
        <w:ind w:firstLine="640" w:firstLineChars="200"/>
        <w:rPr>
          <w:rFonts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（一）案例名称：人工智能赋能医学影像阅片分析与诊断。</w:t>
      </w:r>
    </w:p>
    <w:p w14:paraId="36328D58">
      <w:pPr>
        <w:snapToGrid w:val="0"/>
        <w:spacing w:line="560" w:lineRule="exact"/>
        <w:ind w:firstLine="640" w:firstLineChars="200"/>
        <w:rPr>
          <w:rFonts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（二）人工智能技术应用方：中山市东升医院。</w:t>
      </w:r>
    </w:p>
    <w:p w14:paraId="00830B24">
      <w:pPr>
        <w:snapToGrid w:val="0"/>
        <w:spacing w:line="560" w:lineRule="exact"/>
        <w:ind w:firstLine="640"/>
        <w:rPr>
          <w:rFonts w:hint="eastAsia" w:ascii="黑体" w:hAnsi="黑体" w:eastAsia="黑体" w:cs="黑体"/>
          <w:color w:val="auto"/>
          <w:sz w:val="32"/>
          <w:szCs w:val="32"/>
          <w:shd w:val="clear" w:color="auto" w:fill="FFFFFF"/>
        </w:rPr>
      </w:pPr>
      <w:r>
        <w:rPr>
          <w:rFonts w:hint="eastAsia" w:ascii="黑体" w:hAnsi="黑体" w:eastAsia="黑体" w:cs="黑体"/>
          <w:color w:val="auto"/>
          <w:sz w:val="32"/>
          <w:szCs w:val="32"/>
          <w:shd w:val="clear" w:color="auto" w:fill="FFFFFF"/>
        </w:rPr>
        <w:t>二、案例内容介绍</w:t>
      </w:r>
    </w:p>
    <w:p w14:paraId="71575A18">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楷体_GB2312" w:hAnsi="楷体_GB2312" w:eastAsia="楷体_GB2312" w:cs="楷体_GB2312"/>
          <w:color w:val="auto"/>
          <w:sz w:val="32"/>
          <w:szCs w:val="32"/>
          <w:shd w:val="clear" w:color="auto" w:fill="FFFFFF"/>
        </w:rPr>
        <w:t>（一）包括案例背景、采用的人工智能关键技术、所实现的功能和亮点优势</w:t>
      </w:r>
      <w:r>
        <w:rPr>
          <w:rFonts w:hint="eastAsia" w:ascii="楷体_GB2312" w:hAnsi="楷体_GB2312" w:eastAsia="楷体_GB2312" w:cs="楷体_GB2312"/>
          <w:color w:val="auto"/>
          <w:sz w:val="32"/>
          <w:szCs w:val="32"/>
          <w:shd w:val="clear" w:color="auto" w:fill="FFFFFF"/>
        </w:rPr>
        <w:br w:type="textWrapping"/>
      </w:r>
      <w:r>
        <w:rPr>
          <w:rFonts w:hint="eastAsia" w:ascii="楷体_GB2312" w:hAnsi="楷体_GB2312" w:eastAsia="楷体_GB2312" w:cs="楷体_GB2312"/>
          <w:color w:val="auto"/>
          <w:sz w:val="32"/>
          <w:szCs w:val="32"/>
          <w:shd w:val="clear" w:color="auto" w:fill="FFFFFF"/>
        </w:rPr>
        <w:t xml:space="preserve">    1、案例背景。</w:t>
      </w:r>
      <w:r>
        <w:rPr>
          <w:rFonts w:hint="eastAsia" w:ascii="仿宋_GB2312" w:hAnsi="仿宋_GB2312" w:eastAsia="仿宋_GB2312" w:cs="仿宋_GB2312"/>
          <w:color w:val="auto"/>
          <w:sz w:val="32"/>
          <w:szCs w:val="32"/>
          <w:shd w:val="clear" w:color="auto" w:fill="FFFFFF"/>
        </w:rPr>
        <w:t>在医疗信息化与人工智能技术迅猛发展背景下，医学影像成为临床诊断核心依据，但行业存在显著瓶颈。医疗机构普遍面临影像医生资源紧张，基层医院人才缺口尤为突出；人工阅片受主观经验影响，质量参差、效率低，增加漏诊误诊风险，制约优质资源下沉。本项目依托人工智能与多模态医学影像融合技术，构建智能系统，破解上述痛点，为医院提供精准高效的影像服务，推动医疗高质量发展，促进优质医疗资源惠及更多患者。</w:t>
      </w:r>
    </w:p>
    <w:p w14:paraId="201034A8">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lang w:eastAsia="zh-CN"/>
        </w:rPr>
        <w:t>2.</w:t>
      </w:r>
      <w:r>
        <w:rPr>
          <w:rFonts w:hint="eastAsia" w:ascii="仿宋_GB2312" w:hAnsi="仿宋_GB2312" w:eastAsia="仿宋_GB2312" w:cs="仿宋_GB2312"/>
          <w:color w:val="auto"/>
          <w:sz w:val="32"/>
          <w:szCs w:val="32"/>
          <w:shd w:val="clear" w:color="auto" w:fill="FFFFFF"/>
        </w:rPr>
        <w:t>采用的人工智能关键技术。本案例以解决影像诊断难题为核心，依托AI与多模态技术构建辅助诊断与结构化报告系统。采用模块化设计兼顾扩展性与兼容性。技术架构分三层：一是数据层：对接影像设备与PACS系统，自动抓取13类影像，经标准化处理后用分布式存储保障安全高效访问；二是算法层：以深度学习等技术构建分析引擎，精准识别、分割病灶，生成结构化报告，动态迭代优化；三是应用层：提供智能标注等功能，衔接医生工作流，支持多终端访问，实现高效精准诊断。</w:t>
      </w:r>
    </w:p>
    <w:p w14:paraId="46BB2C0D">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lang w:eastAsia="zh-CN"/>
        </w:rPr>
        <w:t>3.</w:t>
      </w:r>
      <w:r>
        <w:rPr>
          <w:rFonts w:hint="eastAsia" w:ascii="仿宋_GB2312" w:hAnsi="仿宋_GB2312" w:eastAsia="仿宋_GB2312" w:cs="仿宋_GB2312"/>
          <w:color w:val="auto"/>
          <w:sz w:val="32"/>
          <w:szCs w:val="32"/>
          <w:shd w:val="clear" w:color="auto" w:fill="FFFFFF"/>
        </w:rPr>
        <w:t>解决的问题。一是效率低问题：放射科长期“人少片多”，医师人均年阅片超10万张，日均40例以上，疲劳性漏诊风险高。项目重构13类检查流程，CTA三维影像生成时间从20分钟缩至5分钟（提升75%），助力日均阅片量从40例升至60例，缓解阅片压力与周转效率问题。二是质量参差问题：人工阅片受经验、疲劳影响，诊断一致性符合率仅85%，胸部CT骨折误诊率15%，肺结节漏诊率更高。项目通过标准化报告与算法优化，将一致性符合率提至95%，骨折误诊率降至4%，肺结节漏诊率</w:t>
      </w:r>
      <w:r>
        <w:rPr>
          <w:rFonts w:hint="eastAsia" w:ascii="仿宋_GB2312" w:hAnsi="仿宋_GB2312" w:eastAsia="仿宋_GB2312" w:cs="仿宋_GB2312"/>
          <w:color w:val="auto"/>
          <w:sz w:val="32"/>
          <w:szCs w:val="32"/>
          <w:shd w:val="clear" w:color="auto" w:fill="FFFFFF"/>
          <w:lang w:eastAsia="zh-CN"/>
        </w:rPr>
        <w:t>降至</w:t>
      </w:r>
      <w:r>
        <w:rPr>
          <w:rFonts w:hint="eastAsia" w:ascii="仿宋_GB2312" w:hAnsi="仿宋_GB2312" w:eastAsia="仿宋_GB2312" w:cs="仿宋_GB2312"/>
          <w:color w:val="auto"/>
          <w:sz w:val="32"/>
          <w:szCs w:val="32"/>
          <w:shd w:val="clear" w:color="auto" w:fill="FFFFFF"/>
        </w:rPr>
        <w:t>60%，解决诊断质量不稳问题。三是适配性不足问题：基层影像诊断能力薄弱制约分级诊疗，80%医疗资源集中在城市，基层因设备与医师限制难开展复杂诊断，患者“向上转诊”率高。项目以模块化设计适配基层，突破“重高端轻基层”瓶颈。</w:t>
      </w:r>
    </w:p>
    <w:p w14:paraId="09F8F009">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lang w:eastAsia="zh-CN"/>
        </w:rPr>
        <w:t>4.</w:t>
      </w:r>
      <w:r>
        <w:rPr>
          <w:rFonts w:hint="eastAsia" w:ascii="仿宋_GB2312" w:hAnsi="仿宋_GB2312" w:eastAsia="仿宋_GB2312" w:cs="仿宋_GB2312"/>
          <w:color w:val="auto"/>
          <w:sz w:val="32"/>
          <w:szCs w:val="32"/>
          <w:shd w:val="clear" w:color="auto" w:fill="FFFFFF"/>
        </w:rPr>
        <w:t>亮点优势。项目以多模态医学影像融合技术为核心，整合深度学习算法、医学图像分割识别模型及自然语言处理技术，构建覆盖肺部、脑部等高发疾病部位的智能分析引擎，实现从图像识别到结构化报告生成的一体化闭环。创新点包括：一是突破单一影像类型限制，支持骨折CT、肺结节CT、胸部CT等13种常见影像处理，针对不同部位病灶优化算法（如肺结节密度量化模型、CTA血管精准分割算法），适应性远超传统系统；二是采用动态迭代机制，2024年5月至2025年7月持续扩充高质量标注数据1.5万余例，解决同类系统“上线即固化”痛点。</w:t>
      </w:r>
    </w:p>
    <w:p w14:paraId="64B0D8F3">
      <w:pPr>
        <w:snapToGrid w:val="0"/>
        <w:spacing w:line="560" w:lineRule="exact"/>
        <w:ind w:firstLine="640"/>
        <w:rPr>
          <w:rFonts w:hint="eastAsia" w:ascii="楷体_GB2312" w:hAnsi="楷体_GB2312" w:eastAsia="楷体_GB2312" w:cs="楷体_GB2312"/>
          <w:color w:val="auto"/>
          <w:sz w:val="32"/>
          <w:szCs w:val="32"/>
          <w:shd w:val="clear" w:color="auto" w:fill="FFFFFF"/>
        </w:rPr>
      </w:pPr>
      <w:r>
        <w:rPr>
          <w:rFonts w:hint="eastAsia" w:ascii="楷体_GB2312" w:hAnsi="楷体_GB2312" w:eastAsia="楷体_GB2312" w:cs="楷体_GB2312"/>
          <w:color w:val="auto"/>
          <w:sz w:val="32"/>
          <w:szCs w:val="32"/>
          <w:shd w:val="clear" w:color="auto" w:fill="FFFFFF"/>
        </w:rPr>
        <w:t>（二）具体应用成效。</w:t>
      </w:r>
    </w:p>
    <w:p w14:paraId="5E438EDF">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lang w:eastAsia="zh-CN"/>
        </w:rPr>
        <w:t>1.</w:t>
      </w:r>
      <w:r>
        <w:rPr>
          <w:rFonts w:hint="eastAsia" w:ascii="仿宋_GB2312" w:hAnsi="仿宋_GB2312" w:eastAsia="仿宋_GB2312" w:cs="仿宋_GB2312"/>
          <w:color w:val="auto"/>
          <w:sz w:val="32"/>
          <w:szCs w:val="32"/>
          <w:shd w:val="clear" w:color="auto" w:fill="FFFFFF"/>
        </w:rPr>
        <w:t>社会效益</w:t>
      </w:r>
    </w:p>
    <w:p w14:paraId="1F89496B">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（1）提升诊疗质量，保障患者生命健康​</w:t>
      </w:r>
    </w:p>
    <w:p w14:paraId="3D218010">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项目通过精准诊断改善患者预后。诊断一致性符合率从85%升至95%，减少治疗延误；Ⅰ期肺癌检出率提高20%，意味着可多发现早期患者，提升其5年生存率；CT骨折误诊率从15%降至4%，降低医疗风险；急诊场景中，脑卒中、创伤患者CT处理时间缩至5分钟，争取“黄金救治窗口”。​</w:t>
      </w:r>
    </w:p>
    <w:p w14:paraId="6AD58800">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（2）促进医疗公平，推动资源下沉​</w:t>
      </w:r>
    </w:p>
    <w:p w14:paraId="56D9A494">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项目突破“重高端轻基层”瓶颈，使基层医院获得与三甲医院同质的诊断能力。在医院试点期间，诊断一致性符合率从85%提升至95%，患者在基层即可享受优质诊疗，效缓解“看病难”。​（3）助力行业升级，完善医疗体系​</w:t>
      </w:r>
    </w:p>
    <w:p w14:paraId="25EEF129">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项目为医疗影像智能化提供了可复制的标准范式，推动行业从“技术驱动”转向“临床驱动”</w:t>
      </w:r>
      <w:r>
        <w:rPr>
          <w:rFonts w:hint="eastAsia" w:ascii="仿宋_GB2312" w:hAnsi="仿宋_GB2312" w:eastAsia="仿宋_GB2312" w:cs="仿宋_GB2312"/>
          <w:color w:val="auto"/>
          <w:sz w:val="32"/>
          <w:szCs w:val="32"/>
          <w:shd w:val="clear" w:color="auto" w:fill="FFFFFF"/>
          <w:lang w:eastAsia="zh-CN"/>
        </w:rPr>
        <w:t>；以</w:t>
      </w:r>
      <w:r>
        <w:rPr>
          <w:rFonts w:hint="eastAsia" w:ascii="仿宋_GB2312" w:hAnsi="仿宋_GB2312" w:eastAsia="仿宋_GB2312" w:cs="仿宋_GB2312"/>
          <w:color w:val="auto"/>
          <w:sz w:val="32"/>
          <w:szCs w:val="32"/>
          <w:shd w:val="clear" w:color="auto" w:fill="FFFFFF"/>
        </w:rPr>
        <w:t>结构化报告标准化促进医疗服务规范化。累计1.5万余人次的智能阅片数据，为医学科研提供了宝贵资源</w:t>
      </w:r>
      <w:r>
        <w:rPr>
          <w:rFonts w:hint="eastAsia" w:ascii="仿宋_GB2312" w:hAnsi="仿宋_GB2312" w:eastAsia="仿宋_GB2312"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rPr>
        <w:t>助力医疗体系高质量发展。</w:t>
      </w:r>
    </w:p>
    <w:p w14:paraId="57E86038">
      <w:pPr>
        <w:snapToGrid w:val="0"/>
        <w:spacing w:line="560" w:lineRule="exact"/>
        <w:ind w:firstLine="640"/>
        <w:rPr>
          <w:rFonts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lang w:eastAsia="zh-CN"/>
        </w:rPr>
        <w:t>2.</w:t>
      </w:r>
      <w:r>
        <w:rPr>
          <w:rFonts w:hint="eastAsia" w:ascii="仿宋_GB2312" w:hAnsi="仿宋_GB2312" w:eastAsia="仿宋_GB2312" w:cs="仿宋_GB2312"/>
          <w:color w:val="auto"/>
          <w:sz w:val="32"/>
          <w:szCs w:val="32"/>
          <w:shd w:val="clear" w:color="auto" w:fill="FFFFFF"/>
        </w:rPr>
        <w:t>经济效益</w:t>
      </w:r>
    </w:p>
    <w:p w14:paraId="70351569">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1）提效：13类检查全流程智能化改造，CTA三维影像生成时间从20分钟压缩至5分钟（效率提升75%），肺结节筛查30秒定位，放射科日均阅片量从40例增至60例（增幅50%），急诊报告出具时间缩短60%以上，为脑卒中、创伤等急症患者争取救治时间。</w:t>
      </w:r>
    </w:p>
    <w:p w14:paraId="66276C4F">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2）增质：结构化报告取代人工记录，诊断一致性符合率从85%升至95%，肺结节早筛灵敏度优化使Ⅰ期肺癌检出率提高20%，漏诊率降低60%；CT骨折误诊率从15%降至4%（-70%），减少治疗偏差风险，Ⅰ期肺癌5年生存率提升。</w:t>
      </w:r>
    </w:p>
    <w:p w14:paraId="7E71029C">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（3）降本：放射科日均阅片量提升50%，相当于减少1-2名辅助人员，按二甲医院医师年均薪酬20万元计，单院年省人力成本</w:t>
      </w:r>
      <w:r>
        <w:rPr>
          <w:rFonts w:hint="eastAsia" w:ascii="仿宋_GB2312" w:hAnsi="仿宋_GB2312" w:eastAsia="仿宋_GB2312" w:cs="仿宋_GB2312"/>
          <w:color w:val="auto"/>
          <w:sz w:val="32"/>
          <w:szCs w:val="32"/>
          <w:shd w:val="clear" w:color="auto" w:fill="FFFFFF"/>
          <w:lang w:eastAsia="zh-CN"/>
        </w:rPr>
        <w:t>20万—30万</w:t>
      </w:r>
      <w:r>
        <w:rPr>
          <w:rFonts w:hint="eastAsia" w:ascii="仿宋_GB2312" w:hAnsi="仿宋_GB2312" w:eastAsia="仿宋_GB2312" w:cs="仿宋_GB2312"/>
          <w:color w:val="auto"/>
          <w:sz w:val="32"/>
          <w:szCs w:val="32"/>
          <w:shd w:val="clear" w:color="auto" w:fill="FFFFFF"/>
        </w:rPr>
        <w:t>元。</w:t>
      </w:r>
    </w:p>
    <w:p w14:paraId="4647301F">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w:t>
      </w:r>
    </w:p>
    <w:p w14:paraId="7D9885A6">
      <w:pPr>
        <w:snapToGrid w:val="0"/>
        <w:jc w:val="left"/>
        <w:rPr>
          <w:rFonts w:hint="eastAsia" w:ascii="仿宋_GB2312" w:hAnsi="仿宋_GB2312" w:eastAsia="仿宋_GB2312" w:cs="仿宋_GB2312"/>
          <w:b/>
          <w:bCs/>
          <w:color w:val="auto"/>
          <w:sz w:val="32"/>
          <w:szCs w:val="32"/>
          <w:shd w:val="clear" w:color="auto" w:fill="FFFFFF"/>
        </w:rPr>
      </w:pPr>
      <w:r>
        <w:rPr>
          <w:rFonts w:hint="eastAsia" w:ascii="仿宋_GB2312" w:hAnsi="仿宋_GB2312" w:eastAsia="仿宋_GB2312" w:cs="仿宋_GB2312"/>
          <w:b/>
          <w:bCs/>
          <w:color w:val="auto"/>
          <w:sz w:val="32"/>
          <w:szCs w:val="32"/>
          <w:shd w:val="clear" w:color="auto" w:fill="FFFFFF"/>
        </w:rPr>
        <w:pict>
          <v:shape id="_x0000_i1036" o:spt="75" alt="wps" type="#_x0000_t75" style="height:261.4pt;width:430.7pt;" filled="f" o:preferrelative="t" stroked="f" coordsize="21600,21600">
            <v:path/>
            <v:fill on="f" focussize="0,0"/>
            <v:stroke on="f"/>
            <v:imagedata r:id="rId45" o:title=""/>
            <o:lock v:ext="edit" aspectratio="t"/>
            <w10:wrap type="none"/>
            <w10:anchorlock/>
          </v:shape>
        </w:pict>
      </w:r>
    </w:p>
    <w:p w14:paraId="627AF8F3">
      <w:pPr>
        <w:snapToGrid w:val="0"/>
        <w:jc w:val="center"/>
        <w:rPr>
          <w:rFonts w:hint="eastAsia" w:ascii="仿宋_GB2312" w:hAnsi="仿宋_GB2312" w:eastAsia="仿宋_GB2312" w:cs="仿宋_GB2312"/>
          <w:b/>
          <w:bCs/>
          <w:color w:val="auto"/>
          <w:sz w:val="32"/>
          <w:szCs w:val="32"/>
          <w:shd w:val="clear" w:color="auto" w:fill="FFFFFF"/>
        </w:rPr>
      </w:pPr>
      <w:r>
        <w:rPr>
          <w:rFonts w:hint="eastAsia" w:ascii="仿宋_GB2312" w:hAnsi="仿宋_GB2312" w:eastAsia="仿宋_GB2312" w:cs="仿宋_GB2312"/>
          <w:b/>
          <w:bCs/>
          <w:color w:val="auto"/>
          <w:sz w:val="32"/>
          <w:szCs w:val="32"/>
          <w:shd w:val="clear" w:color="auto" w:fill="FFFFFF"/>
        </w:rPr>
        <w:t>【肺动脉 CT】</w:t>
      </w:r>
    </w:p>
    <w:p w14:paraId="31EEAC12">
      <w:pPr>
        <w:snapToGrid w:val="0"/>
        <w:jc w:val="center"/>
        <w:rPr>
          <w:rFonts w:ascii="仿宋_GB2312" w:hAnsi="仿宋_GB2312" w:eastAsia="仿宋_GB2312" w:cs="仿宋_GB2312"/>
          <w:b/>
          <w:bCs/>
          <w:color w:val="auto"/>
          <w:sz w:val="32"/>
          <w:szCs w:val="32"/>
          <w:shd w:val="clear" w:color="auto" w:fill="FFFFFF"/>
        </w:rPr>
      </w:pPr>
    </w:p>
    <w:p w14:paraId="1D8A1551">
      <w:pPr>
        <w:snapToGrid w:val="0"/>
        <w:jc w:val="left"/>
        <w:rPr>
          <w:rFonts w:hint="eastAsia" w:ascii="仿宋_GB2312" w:hAnsi="仿宋_GB2312" w:eastAsia="仿宋_GB2312" w:cs="仿宋_GB2312"/>
          <w:b/>
          <w:bCs/>
          <w:color w:val="auto"/>
          <w:sz w:val="32"/>
          <w:szCs w:val="32"/>
          <w:shd w:val="clear" w:color="auto" w:fill="FFFFFF"/>
        </w:rPr>
      </w:pPr>
    </w:p>
    <w:p w14:paraId="68001EF1">
      <w:pPr>
        <w:snapToGrid w:val="0"/>
        <w:jc w:val="center"/>
        <w:rPr>
          <w:rFonts w:ascii="仿宋_GB2312" w:hAnsi="仿宋_GB2312" w:eastAsia="仿宋_GB2312" w:cs="仿宋_GB2312"/>
          <w:b/>
          <w:bCs/>
          <w:color w:val="auto"/>
          <w:sz w:val="32"/>
          <w:szCs w:val="32"/>
          <w:shd w:val="clear" w:color="auto" w:fill="FFFFFF"/>
        </w:rPr>
      </w:pPr>
    </w:p>
    <w:p w14:paraId="54E768DD">
      <w:pPr>
        <w:spacing w:after="40"/>
        <w:jc w:val="left"/>
        <w:rPr>
          <w:rFonts w:ascii="楷体" w:hAnsi="楷体" w:eastAsia="楷体"/>
          <w:color w:val="auto"/>
          <w:sz w:val="22"/>
        </w:rPr>
      </w:pPr>
    </w:p>
    <w:p w14:paraId="0AAC4DA4">
      <w:pPr>
        <w:pStyle w:val="12"/>
        <w:pageBreakBefore/>
        <w:rPr>
          <w:color w:val="auto"/>
        </w:rPr>
      </w:pPr>
      <w:bookmarkStart w:id="20" w:name="_Toc15977"/>
      <w:r>
        <w:rPr>
          <w:color w:val="auto"/>
        </w:rPr>
        <w:t>案例 06　AI赋能智慧运行——北部公用#4焚烧炉AI自动燃烧系统应用案例</w:t>
      </w:r>
      <w:bookmarkEnd w:id="20"/>
    </w:p>
    <w:p w14:paraId="521BECC0">
      <w:pPr>
        <w:spacing w:after="40"/>
        <w:jc w:val="left"/>
        <w:rPr>
          <w:rFonts w:ascii="楷体" w:hAnsi="楷体" w:eastAsia="楷体"/>
          <w:color w:val="auto"/>
          <w:sz w:val="22"/>
        </w:rPr>
      </w:pPr>
      <w:r>
        <w:rPr>
          <w:rFonts w:ascii="楷体" w:hAnsi="楷体" w:eastAsia="楷体"/>
          <w:color w:val="auto"/>
          <w:sz w:val="22"/>
        </w:rPr>
        <w:t>申报单位：中山市北部公用环保能源有限公司</w:t>
      </w:r>
    </w:p>
    <w:p w14:paraId="437C5117">
      <w:pPr>
        <w:snapToGrid w:val="0"/>
        <w:spacing w:line="560" w:lineRule="exact"/>
        <w:rPr>
          <w:rFonts w:hint="eastAsia" w:ascii="仿宋_GB2312" w:hAnsi="仿宋_GB2312" w:eastAsia="仿宋_GB2312" w:cs="仿宋_GB2312"/>
          <w:color w:val="auto"/>
          <w:sz w:val="32"/>
          <w:szCs w:val="32"/>
          <w:shd w:val="clear" w:color="auto" w:fill="FFFFFF"/>
        </w:rPr>
      </w:pPr>
    </w:p>
    <w:p w14:paraId="7C4CE8D2">
      <w:pPr>
        <w:snapToGrid w:val="0"/>
        <w:spacing w:line="560" w:lineRule="exact"/>
        <w:ind w:firstLine="640"/>
        <w:rPr>
          <w:rFonts w:hint="eastAsia" w:ascii="黑体" w:hAnsi="黑体" w:eastAsia="黑体" w:cs="黑体"/>
          <w:color w:val="auto"/>
          <w:sz w:val="32"/>
          <w:szCs w:val="32"/>
          <w:shd w:val="clear" w:color="auto" w:fill="FFFFFF"/>
        </w:rPr>
      </w:pPr>
      <w:r>
        <w:rPr>
          <w:rFonts w:hint="eastAsia" w:ascii="黑体" w:hAnsi="黑体" w:eastAsia="黑体" w:cs="黑体"/>
          <w:color w:val="auto"/>
          <w:sz w:val="32"/>
          <w:szCs w:val="32"/>
          <w:shd w:val="clear" w:color="auto" w:fill="FFFFFF"/>
        </w:rPr>
        <w:t>一、案例基本情况</w:t>
      </w:r>
    </w:p>
    <w:p w14:paraId="2E44E359">
      <w:pPr>
        <w:snapToGrid w:val="0"/>
        <w:spacing w:line="560" w:lineRule="exact"/>
        <w:ind w:firstLine="640"/>
        <w:rPr>
          <w:rFonts w:hint="eastAsia" w:ascii="仿宋_GB2312" w:hAnsi="仿宋_GB2312" w:eastAsia="仿宋_GB2312" w:cs="仿宋_GB2312"/>
          <w:color w:val="auto"/>
          <w:sz w:val="32"/>
          <w:szCs w:val="32"/>
          <w:shd w:val="clear" w:color="auto" w:fill="FFFFFF"/>
          <w:lang w:eastAsia="zh"/>
        </w:rPr>
      </w:pPr>
      <w:r>
        <w:rPr>
          <w:rFonts w:hint="eastAsia" w:ascii="仿宋_GB2312" w:hAnsi="仿宋_GB2312" w:eastAsia="仿宋_GB2312" w:cs="仿宋_GB2312"/>
          <w:color w:val="auto"/>
          <w:sz w:val="32"/>
          <w:szCs w:val="32"/>
          <w:shd w:val="clear" w:color="auto" w:fill="FFFFFF"/>
        </w:rPr>
        <w:t>（一）案例名称：AI赋能智慧运行—— 北部公用#4 焚烧炉AI自动燃烧系统应用案例</w:t>
      </w:r>
      <w:r>
        <w:rPr>
          <w:rFonts w:hint="eastAsia" w:ascii="仿宋_GB2312" w:hAnsi="仿宋_GB2312" w:eastAsia="仿宋_GB2312" w:cs="仿宋_GB2312"/>
          <w:color w:val="auto"/>
          <w:sz w:val="32"/>
          <w:szCs w:val="32"/>
          <w:shd w:val="clear" w:color="auto" w:fill="FFFFFF"/>
          <w:lang w:eastAsia="zh"/>
        </w:rPr>
        <w:t>。</w:t>
      </w:r>
    </w:p>
    <w:p w14:paraId="714708D3">
      <w:pPr>
        <w:snapToGrid w:val="0"/>
        <w:spacing w:line="560" w:lineRule="exact"/>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（二）人工智能技术应用方：中山市北部公用环保能源有限公司。</w:t>
      </w:r>
    </w:p>
    <w:p w14:paraId="6DF78918">
      <w:pPr>
        <w:snapToGrid w:val="0"/>
        <w:spacing w:line="560" w:lineRule="exact"/>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应用企业简介：</w:t>
      </w:r>
    </w:p>
    <w:p w14:paraId="4DCE61F4">
      <w:pPr>
        <w:snapToGrid w:val="0"/>
        <w:spacing w:line="560" w:lineRule="exact"/>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中山市北部公用环保能源有限公司聚焦生活垃圾焚烧处理业务，承担区域生活垃圾无害化处置工作，致力于推进环保基础设施数字化、智能化升级，打造智慧环保工厂。公司重点围绕垃圾焚烧生产运行痛点开展智能化改造，通过引入人工智能技术破解传统焚烧炉依赖人工经验操作、工况波动大、人力负荷高等行业难题。本次在#4焚烧炉落地AI自动燃烧系统，实现垃圾焚烧环节智能调控，推动生产模式由人工经验操作向AI自主调控转型，提升焚烧设施运行稳定性与环保管控水平，为环保行业数字化转型提供实践样本。</w:t>
      </w:r>
    </w:p>
    <w:p w14:paraId="48D2F2E0">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（三）人工智能技术供给方：阿里云计算有限公司。</w:t>
      </w:r>
    </w:p>
    <w:p w14:paraId="0376D35A">
      <w:pPr>
        <w:snapToGrid w:val="0"/>
        <w:spacing w:line="560" w:lineRule="exact"/>
        <w:ind w:firstLine="640"/>
        <w:rPr>
          <w:rFonts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b/>
          <w:bCs/>
          <w:color w:val="auto"/>
          <w:sz w:val="32"/>
          <w:szCs w:val="32"/>
          <w:shd w:val="clear" w:color="auto" w:fill="FFFFFF"/>
        </w:rPr>
        <w:t>供给企业简介：</w:t>
      </w:r>
    </w:p>
    <w:p w14:paraId="30789025">
      <w:pPr>
        <w:snapToGrid w:val="0"/>
        <w:spacing w:line="560" w:lineRule="exact"/>
        <w:ind w:firstLine="640" w:firstLineChars="200"/>
        <w:rPr>
          <w:rFonts w:hint="eastAsia" w:ascii="仿宋_GB2312" w:hAnsi="黑体" w:eastAsia="仿宋_GB2312" w:cs="黑体"/>
          <w:color w:val="auto"/>
          <w:sz w:val="32"/>
          <w:szCs w:val="32"/>
          <w:shd w:val="clear" w:color="auto" w:fill="FFFFFF"/>
        </w:rPr>
      </w:pPr>
      <w:r>
        <w:rPr>
          <w:rFonts w:hint="eastAsia" w:ascii="仿宋_GB2312" w:hAnsi="黑体" w:eastAsia="仿宋_GB2312" w:cs="黑体"/>
          <w:color w:val="auto"/>
          <w:sz w:val="32"/>
          <w:szCs w:val="32"/>
          <w:shd w:val="clear" w:color="auto" w:fill="FFFFFF"/>
        </w:rPr>
        <w:t>阿里云计算有限公司是国内领先的云计算与人工智能技术服务商，具备成熟的大数据采集、AI 深度学习算法研发能力，面向工业、环保、制造等多行业输出智能化解决方案。依托海量数据处理与算法建模能力，可针对工业复杂工况，打造适配行业场景的智能控制系统。本次针对垃圾焚烧炉工况复杂、垃圾热值波动大的行业特点，定制开发AI自动燃烧系统，实现炉内多维度运行数据实时分析、关键参数自动调节，助力传统工业设备实现智能化升级，赋能环保行业降本增效、绿色发展。</w:t>
      </w:r>
    </w:p>
    <w:p w14:paraId="2EA899DD">
      <w:pPr>
        <w:snapToGrid w:val="0"/>
        <w:spacing w:line="560" w:lineRule="exact"/>
        <w:ind w:firstLine="640"/>
        <w:rPr>
          <w:rFonts w:hint="eastAsia" w:ascii="黑体" w:hAnsi="黑体" w:eastAsia="黑体" w:cs="黑体"/>
          <w:color w:val="auto"/>
          <w:sz w:val="32"/>
          <w:szCs w:val="32"/>
          <w:shd w:val="clear" w:color="auto" w:fill="FFFFFF"/>
        </w:rPr>
      </w:pPr>
      <w:r>
        <w:rPr>
          <w:rFonts w:hint="eastAsia" w:ascii="黑体" w:hAnsi="黑体" w:eastAsia="黑体" w:cs="黑体"/>
          <w:color w:val="auto"/>
          <w:sz w:val="32"/>
          <w:szCs w:val="32"/>
          <w:shd w:val="clear" w:color="auto" w:fill="FFFFFF"/>
        </w:rPr>
        <w:t>二、案例内容介绍</w:t>
      </w:r>
    </w:p>
    <w:p w14:paraId="46601EFC">
      <w:pPr>
        <w:snapToGrid w:val="0"/>
        <w:spacing w:line="560" w:lineRule="exact"/>
        <w:ind w:firstLine="640"/>
        <w:rPr>
          <w:rFonts w:ascii="楷体_GB2312" w:hAnsi="楷体_GB2312" w:eastAsia="楷体_GB2312" w:cs="楷体_GB2312"/>
          <w:color w:val="auto"/>
          <w:sz w:val="32"/>
          <w:szCs w:val="32"/>
          <w:shd w:val="clear" w:color="auto" w:fill="FFFFFF"/>
        </w:rPr>
      </w:pPr>
      <w:r>
        <w:rPr>
          <w:rFonts w:hint="eastAsia" w:ascii="楷体_GB2312" w:hAnsi="楷体_GB2312" w:eastAsia="楷体_GB2312" w:cs="楷体_GB2312"/>
          <w:color w:val="auto"/>
          <w:sz w:val="32"/>
          <w:szCs w:val="32"/>
          <w:shd w:val="clear" w:color="auto" w:fill="FFFFFF"/>
        </w:rPr>
        <w:t>（一）包括案例背景、采用的人工智能关键技术、所实现的功能和亮点优势</w:t>
      </w:r>
    </w:p>
    <w:p w14:paraId="2C8D6679">
      <w:pPr>
        <w:snapToGrid w:val="0"/>
        <w:spacing w:line="560" w:lineRule="exact"/>
        <w:ind w:firstLine="640"/>
        <w:rPr>
          <w:rFonts w:hint="eastAsia" w:ascii="仿宋_GB2312" w:hAnsi="楷体_GB2312" w:eastAsia="仿宋_GB2312" w:cs="楷体_GB2312"/>
          <w:color w:val="auto"/>
          <w:sz w:val="32"/>
          <w:szCs w:val="32"/>
          <w:shd w:val="clear" w:color="auto" w:fill="FFFFFF"/>
        </w:rPr>
      </w:pPr>
      <w:r>
        <w:rPr>
          <w:rFonts w:hint="eastAsia" w:ascii="仿宋_GB2312" w:hAnsi="楷体_GB2312" w:eastAsia="仿宋_GB2312" w:cs="楷体_GB2312"/>
          <w:color w:val="auto"/>
          <w:sz w:val="32"/>
          <w:szCs w:val="32"/>
          <w:shd w:val="clear" w:color="auto" w:fill="FFFFFF"/>
        </w:rPr>
        <w:t>传统垃圾焚烧控制高度依靠操作人员经验手动调节，受垃圾成分、热值多变等影响，炉内工况波动大，人员工作负荷高，容易出现人为调节滞后、判断偏差，影响焚烧设备稳定运行。</w:t>
      </w:r>
    </w:p>
    <w:p w14:paraId="0DD21D5B">
      <w:pPr>
        <w:snapToGrid w:val="0"/>
        <w:spacing w:line="560" w:lineRule="exact"/>
        <w:ind w:firstLine="640"/>
        <w:rPr>
          <w:rFonts w:hint="eastAsia" w:ascii="仿宋_GB2312" w:hAnsi="楷体_GB2312" w:eastAsia="仿宋_GB2312" w:cs="楷体_GB2312"/>
          <w:color w:val="auto"/>
          <w:sz w:val="32"/>
          <w:szCs w:val="32"/>
          <w:shd w:val="clear" w:color="auto" w:fill="FFFFFF"/>
        </w:rPr>
      </w:pPr>
      <w:r>
        <w:rPr>
          <w:rFonts w:hint="eastAsia" w:ascii="仿宋_GB2312" w:hAnsi="楷体_GB2312" w:eastAsia="仿宋_GB2312" w:cs="楷体_GB2312"/>
          <w:color w:val="auto"/>
          <w:sz w:val="32"/>
          <w:szCs w:val="32"/>
          <w:shd w:val="clear" w:color="auto" w:fill="FFFFFF"/>
        </w:rPr>
        <w:t>本案例#4焚烧炉引入AI自动燃烧系统，运用深度学习算法、多源数据实时采集分析技术，采集炉内温度、压力、烟气成分、垃圾热值等海量运行数据，AI算法智能研判工况，自动调节助燃空气、垃圾投料量等核心参数。系统实现焚烧炉自主运行控制，无需高频人工干预，保障燃烧过程持续处于最优状态，亮点在于适配垃圾焚烧复杂多变工况，把AI技术落地工业环保场景，兼顾设备安全稳定运行与环保排放管控需求。</w:t>
      </w:r>
    </w:p>
    <w:p w14:paraId="06746E6B">
      <w:pPr>
        <w:snapToGrid w:val="0"/>
        <w:spacing w:line="560" w:lineRule="exact"/>
        <w:ind w:firstLine="640"/>
        <w:rPr>
          <w:rFonts w:hint="eastAsia" w:ascii="楷体_GB2312" w:hAnsi="楷体_GB2312" w:eastAsia="楷体_GB2312" w:cs="楷体_GB2312"/>
          <w:color w:val="auto"/>
          <w:sz w:val="32"/>
          <w:szCs w:val="32"/>
          <w:shd w:val="clear" w:color="auto" w:fill="FFFFFF"/>
        </w:rPr>
      </w:pPr>
      <w:r>
        <w:rPr>
          <w:rFonts w:hint="eastAsia" w:ascii="楷体_GB2312" w:hAnsi="楷体_GB2312" w:eastAsia="楷体_GB2312" w:cs="楷体_GB2312"/>
          <w:color w:val="auto"/>
          <w:sz w:val="32"/>
          <w:szCs w:val="32"/>
          <w:shd w:val="clear" w:color="auto" w:fill="FFFFFF"/>
        </w:rPr>
        <w:t>（二）具体应用成效。</w:t>
      </w:r>
    </w:p>
    <w:p w14:paraId="57A41CC0">
      <w:pPr>
        <w:snapToGrid w:val="0"/>
        <w:spacing w:line="560" w:lineRule="exact"/>
        <w:ind w:firstLine="640"/>
        <w:rPr>
          <w:rFonts w:hint="eastAsia" w:ascii="仿宋_GB2312" w:hAnsi="仿宋_GB2312" w:eastAsia="仿宋_GB2312" w:cs="仿宋_GB2312"/>
          <w:color w:val="auto"/>
          <w:sz w:val="32"/>
          <w:szCs w:val="32"/>
          <w:highlight w:val="yellow"/>
          <w:shd w:val="clear" w:color="auto" w:fill="FFFFFF"/>
        </w:rPr>
      </w:pPr>
      <w:r>
        <w:rPr>
          <w:rFonts w:hint="eastAsia" w:ascii="仿宋_GB2312" w:hAnsi="仿宋_GB2312" w:eastAsia="仿宋_GB2312" w:cs="仿宋_GB2312"/>
          <w:color w:val="auto"/>
          <w:sz w:val="32"/>
          <w:szCs w:val="32"/>
          <w:shd w:val="clear" w:color="auto" w:fill="FFFFFF"/>
        </w:rPr>
        <w:t>北部公用积极响应集团“五新公用”建设号召，以新质生产力为核心抓手，聚焦AI智慧焚烧核心技术，加快前沿科研成果落地转化。北部公用AI智慧燃烧技改项目实施期间，克服现场作业空间狭小、工况环境恶劣、工期紧张、多专业交叉作业等多重困难，顺利完成项目建设。项目投用后，AI自动化投入率稳定保持95%以上，一线员工操作强度降低 80%，主蒸汽稳定性提升10%，每年可为公司创造百万元以上经济效益。</w:t>
      </w:r>
    </w:p>
    <w:p w14:paraId="09928F76">
      <w:pPr>
        <w:snapToGrid w:val="0"/>
        <w:spacing w:line="560" w:lineRule="exact"/>
        <w:ind w:firstLine="640"/>
        <w:rPr>
          <w:rFonts w:hint="eastAsia" w:ascii="黑体" w:hAnsi="黑体" w:eastAsia="黑体" w:cs="黑体"/>
          <w:color w:val="auto"/>
          <w:sz w:val="32"/>
          <w:szCs w:val="32"/>
          <w:shd w:val="clear" w:color="auto" w:fill="FFFFFF"/>
        </w:rPr>
      </w:pPr>
      <w:r>
        <w:rPr>
          <w:rFonts w:hint="eastAsia" w:ascii="黑体" w:hAnsi="黑体" w:eastAsia="黑体" w:cs="黑体"/>
          <w:color w:val="auto"/>
          <w:sz w:val="32"/>
          <w:szCs w:val="32"/>
          <w:shd w:val="clear" w:color="auto" w:fill="FFFFFF"/>
        </w:rPr>
        <w:t>三、案例所获得荣誉、复制推广情况等</w:t>
      </w:r>
    </w:p>
    <w:p w14:paraId="68BC6BC6">
      <w:pPr>
        <w:snapToGrid w:val="0"/>
        <w:spacing w:line="560" w:lineRule="exact"/>
        <w:ind w:firstLine="640"/>
        <w:rPr>
          <w:rFonts w:ascii="仿宋_GB2312" w:hAnsi="仿宋_GB2312" w:eastAsia="仿宋_GB2312" w:cs="仿宋_GB2312"/>
          <w:color w:val="auto"/>
          <w:sz w:val="32"/>
          <w:szCs w:val="32"/>
          <w:shd w:val="clear" w:color="auto" w:fill="FFFFFF"/>
        </w:rPr>
      </w:pPr>
      <w:r>
        <w:rPr>
          <w:rFonts w:ascii="仿宋_GB2312" w:hAnsi="仿宋_GB2312" w:eastAsia="仿宋_GB2312" w:cs="仿宋_GB2312"/>
          <w:color w:val="auto"/>
          <w:sz w:val="32"/>
          <w:szCs w:val="32"/>
          <w:shd w:val="clear" w:color="auto" w:fill="FFFFFF"/>
        </w:rPr>
        <w:t>本项目是中山市北部公用环保能源有限公司</w:t>
      </w:r>
      <w:r>
        <w:rPr>
          <w:rFonts w:hint="eastAsia" w:ascii="仿宋_GB2312" w:hAnsi="仿宋_GB2312" w:eastAsia="仿宋_GB2312" w:cs="仿宋_GB2312"/>
          <w:color w:val="auto"/>
          <w:sz w:val="32"/>
          <w:szCs w:val="32"/>
          <w:shd w:val="clear" w:color="auto" w:fill="FFFFFF"/>
        </w:rPr>
        <w:t>推进数字化转型、建设“</w:t>
      </w:r>
      <w:r>
        <w:rPr>
          <w:rFonts w:ascii="仿宋_GB2312" w:hAnsi="仿宋_GB2312" w:eastAsia="仿宋_GB2312" w:cs="仿宋_GB2312"/>
          <w:color w:val="auto"/>
          <w:sz w:val="32"/>
          <w:szCs w:val="32"/>
          <w:shd w:val="clear" w:color="auto" w:fill="FFFFFF"/>
        </w:rPr>
        <w:t>智慧工厂</w:t>
      </w:r>
      <w:r>
        <w:rPr>
          <w:rFonts w:hint="eastAsia" w:ascii="仿宋_GB2312" w:hAnsi="仿宋_GB2312" w:eastAsia="仿宋_GB2312" w:cs="仿宋_GB2312"/>
          <w:color w:val="auto"/>
          <w:sz w:val="32"/>
          <w:szCs w:val="32"/>
          <w:shd w:val="clear" w:color="auto" w:fill="FFFFFF"/>
        </w:rPr>
        <w:t>”的重要实践，系统</w:t>
      </w:r>
      <w:r>
        <w:rPr>
          <w:rFonts w:ascii="仿宋_GB2312" w:hAnsi="仿宋_GB2312" w:eastAsia="仿宋_GB2312" w:cs="仿宋_GB2312"/>
          <w:color w:val="auto"/>
          <w:sz w:val="32"/>
          <w:szCs w:val="32"/>
          <w:shd w:val="clear" w:color="auto" w:fill="FFFFFF"/>
        </w:rPr>
        <w:t>验证</w:t>
      </w:r>
      <w:r>
        <w:rPr>
          <w:rFonts w:hint="eastAsia" w:ascii="仿宋_GB2312" w:hAnsi="仿宋_GB2312" w:eastAsia="仿宋_GB2312" w:cs="仿宋_GB2312"/>
          <w:color w:val="auto"/>
          <w:sz w:val="32"/>
          <w:szCs w:val="32"/>
          <w:shd w:val="clear" w:color="auto" w:fill="FFFFFF"/>
        </w:rPr>
        <w:t>了</w:t>
      </w:r>
      <w:r>
        <w:rPr>
          <w:rFonts w:ascii="仿宋_GB2312" w:hAnsi="仿宋_GB2312" w:eastAsia="仿宋_GB2312" w:cs="仿宋_GB2312"/>
          <w:color w:val="auto"/>
          <w:sz w:val="32"/>
          <w:szCs w:val="32"/>
          <w:shd w:val="clear" w:color="auto" w:fill="FFFFFF"/>
        </w:rPr>
        <w:t>人工智能技术在垃圾焚烧工业场景的实用性与可靠性。项目形成</w:t>
      </w:r>
      <w:r>
        <w:rPr>
          <w:rFonts w:hint="eastAsia" w:ascii="仿宋_GB2312" w:hAnsi="仿宋_GB2312" w:eastAsia="仿宋_GB2312" w:cs="仿宋_GB2312"/>
          <w:color w:val="auto"/>
          <w:sz w:val="32"/>
          <w:szCs w:val="32"/>
          <w:shd w:val="clear" w:color="auto" w:fill="FFFFFF"/>
        </w:rPr>
        <w:t>了</w:t>
      </w:r>
      <w:r>
        <w:rPr>
          <w:rFonts w:ascii="仿宋_GB2312" w:hAnsi="仿宋_GB2312" w:eastAsia="仿宋_GB2312" w:cs="仿宋_GB2312"/>
          <w:color w:val="auto"/>
          <w:sz w:val="32"/>
          <w:szCs w:val="32"/>
          <w:shd w:val="clear" w:color="auto" w:fill="FFFFFF"/>
        </w:rPr>
        <w:t>可复制的实施经验，可推广至企业其余焚烧炉生产单元，同时可为同行业垃圾焚烧设施智能化升级提供参考借鉴。</w:t>
      </w:r>
    </w:p>
    <w:p w14:paraId="1AA45148">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ascii="仿宋_GB2312" w:hAnsi="仿宋_GB2312" w:eastAsia="仿宋_GB2312" w:cs="仿宋_GB2312"/>
          <w:color w:val="auto"/>
          <w:sz w:val="32"/>
          <w:szCs w:val="32"/>
          <w:shd w:val="clear" w:color="auto" w:fill="FFFFFF"/>
        </w:rPr>
        <w:t>目前暂未获得专项荣誉，后续计划持续打磨该AI应用模式，深化人工智能与环保基础设施融合，进一步挖掘AI在固废处理行业的应用价值，打造现代化公用事业智能化标杆。</w:t>
      </w:r>
    </w:p>
    <w:p w14:paraId="5512C837">
      <w:pPr>
        <w:snapToGrid w:val="0"/>
        <w:spacing w:line="560" w:lineRule="exact"/>
        <w:ind w:firstLine="640"/>
        <w:rPr>
          <w:rFonts w:ascii="仿宋_GB2312" w:hAnsi="仿宋_GB2312" w:eastAsia="仿宋_GB2312" w:cs="仿宋_GB2312"/>
          <w:b/>
          <w:bCs/>
          <w:color w:val="auto"/>
          <w:sz w:val="32"/>
          <w:szCs w:val="32"/>
          <w:shd w:val="clear" w:color="auto" w:fill="FFFFFF"/>
        </w:rPr>
      </w:pPr>
    </w:p>
    <w:p w14:paraId="7DC32C46">
      <w:pPr>
        <w:snapToGrid w:val="0"/>
        <w:ind w:firstLine="641"/>
        <w:rPr>
          <w:color w:val="auto"/>
        </w:rPr>
      </w:pPr>
      <w:r>
        <w:rPr>
          <w:color w:val="auto"/>
        </w:rPr>
        <w:drawing>
          <wp:inline distT="0" distB="0" distL="114300" distR="114300">
            <wp:extent cx="4973955" cy="3726815"/>
            <wp:effectExtent l="0" t="0" r="9525" b="6985"/>
            <wp:docPr id="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6"/>
                    <pic:cNvPicPr>
                      <a:picLocks noChangeAspect="1"/>
                    </pic:cNvPicPr>
                  </pic:nvPicPr>
                  <pic:blipFill>
                    <a:blip r:embed="rId46"/>
                    <a:stretch>
                      <a:fillRect/>
                    </a:stretch>
                  </pic:blipFill>
                  <pic:spPr>
                    <a:xfrm>
                      <a:off x="0" y="0"/>
                      <a:ext cx="4973955" cy="3726815"/>
                    </a:xfrm>
                    <a:prstGeom prst="rect">
                      <a:avLst/>
                    </a:prstGeom>
                    <a:noFill/>
                    <a:ln>
                      <a:noFill/>
                    </a:ln>
                  </pic:spPr>
                </pic:pic>
              </a:graphicData>
            </a:graphic>
          </wp:inline>
        </w:drawing>
      </w:r>
    </w:p>
    <w:p w14:paraId="36B63D55">
      <w:pPr>
        <w:snapToGrid w:val="0"/>
        <w:ind w:firstLine="641"/>
        <w:rPr>
          <w:color w:val="auto"/>
        </w:rPr>
      </w:pPr>
    </w:p>
    <w:p w14:paraId="1CE61364">
      <w:pPr>
        <w:snapToGrid w:val="0"/>
        <w:ind w:firstLine="641"/>
        <w:rPr>
          <w:rFonts w:hint="eastAsia" w:ascii="仿宋_GB2312" w:hAnsi="仿宋_GB2312" w:eastAsia="仿宋_GB2312" w:cs="仿宋_GB2312"/>
          <w:b/>
          <w:bCs/>
          <w:color w:val="auto"/>
          <w:sz w:val="32"/>
          <w:szCs w:val="32"/>
          <w:shd w:val="clear" w:color="auto" w:fill="FFFFFF"/>
        </w:rPr>
      </w:pPr>
      <w:r>
        <w:rPr>
          <w:color w:val="auto"/>
        </w:rPr>
        <w:pict>
          <v:shape id="_x0000_i1037" o:spt="75" type="#_x0000_t75" style="height:212.95pt;width:378.45pt;" filled="f" o:preferrelative="t" stroked="f" coordsize="21600,21600">
            <v:path/>
            <v:fill on="f" focussize="0,0"/>
            <v:stroke on="f"/>
            <v:imagedata r:id="rId47" o:title=""/>
            <o:lock v:ext="edit" aspectratio="t"/>
            <w10:wrap type="none"/>
            <w10:anchorlock/>
          </v:shape>
        </w:pict>
      </w:r>
    </w:p>
    <w:p w14:paraId="2E4A6188">
      <w:pPr>
        <w:spacing w:after="40"/>
        <w:jc w:val="left"/>
        <w:rPr>
          <w:rFonts w:ascii="楷体" w:hAnsi="楷体" w:eastAsia="楷体"/>
          <w:color w:val="auto"/>
          <w:sz w:val="22"/>
        </w:rPr>
      </w:pPr>
    </w:p>
    <w:p w14:paraId="7D32C2FC">
      <w:pPr>
        <w:pStyle w:val="12"/>
        <w:pageBreakBefore/>
        <w:rPr>
          <w:color w:val="auto"/>
        </w:rPr>
      </w:pPr>
      <w:bookmarkStart w:id="21" w:name="_Toc6656"/>
      <w:r>
        <w:rPr>
          <w:color w:val="auto"/>
        </w:rPr>
        <w:t>案例 07　香山·小天——气象业务大模型智能体平台</w:t>
      </w:r>
      <w:bookmarkEnd w:id="21"/>
    </w:p>
    <w:p w14:paraId="3D098A43">
      <w:pPr>
        <w:spacing w:after="40"/>
        <w:jc w:val="left"/>
        <w:rPr>
          <w:rFonts w:ascii="楷体" w:hAnsi="楷体" w:eastAsia="楷体"/>
          <w:color w:val="auto"/>
          <w:sz w:val="22"/>
        </w:rPr>
      </w:pPr>
      <w:r>
        <w:rPr>
          <w:rFonts w:ascii="楷体" w:hAnsi="楷体" w:eastAsia="楷体"/>
          <w:color w:val="auto"/>
          <w:sz w:val="22"/>
        </w:rPr>
        <w:t>申报单位：中山市气象局</w:t>
      </w:r>
    </w:p>
    <w:p w14:paraId="52210F06">
      <w:pPr>
        <w:snapToGrid w:val="0"/>
        <w:spacing w:line="560" w:lineRule="exact"/>
        <w:rPr>
          <w:rFonts w:hint="eastAsia" w:ascii="仿宋_GB2312" w:hAnsi="仿宋_GB2312" w:eastAsia="仿宋_GB2312" w:cs="仿宋_GB2312"/>
          <w:color w:val="auto"/>
          <w:sz w:val="32"/>
          <w:szCs w:val="32"/>
          <w:shd w:val="clear" w:color="auto" w:fill="FFFFFF"/>
        </w:rPr>
      </w:pPr>
    </w:p>
    <w:p w14:paraId="2BCD2285">
      <w:pPr>
        <w:snapToGrid w:val="0"/>
        <w:spacing w:line="560" w:lineRule="exact"/>
        <w:ind w:firstLine="640"/>
        <w:rPr>
          <w:rFonts w:hint="eastAsia" w:ascii="黑体" w:hAnsi="黑体" w:eastAsia="黑体" w:cs="黑体"/>
          <w:color w:val="auto"/>
          <w:sz w:val="32"/>
          <w:szCs w:val="32"/>
          <w:shd w:val="clear" w:color="auto" w:fill="FFFFFF"/>
        </w:rPr>
      </w:pPr>
      <w:r>
        <w:rPr>
          <w:rFonts w:hint="eastAsia" w:ascii="黑体" w:hAnsi="黑体" w:eastAsia="黑体" w:cs="黑体"/>
          <w:color w:val="auto"/>
          <w:sz w:val="32"/>
          <w:szCs w:val="32"/>
          <w:shd w:val="clear" w:color="auto" w:fill="FFFFFF"/>
        </w:rPr>
        <w:t>一、案例基本情况</w:t>
      </w:r>
    </w:p>
    <w:p w14:paraId="55519C34">
      <w:pPr>
        <w:snapToGrid w:val="0"/>
        <w:spacing w:line="560" w:lineRule="exact"/>
        <w:ind w:firstLine="640"/>
        <w:rPr>
          <w:rFonts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（一）案例名称：香山·小天——气象业务大模型智能体平台。</w:t>
      </w:r>
    </w:p>
    <w:p w14:paraId="17946862">
      <w:pPr>
        <w:snapToGrid w:val="0"/>
        <w:spacing w:line="560" w:lineRule="exact"/>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（二）人工智能技术应用方：中山市气象局。</w:t>
      </w:r>
    </w:p>
    <w:p w14:paraId="7DC41AEF">
      <w:pPr>
        <w:snapToGrid w:val="0"/>
        <w:spacing w:line="560" w:lineRule="exact"/>
        <w:rPr>
          <w:rFonts w:hint="eastAsia" w:ascii="黑体" w:hAnsi="黑体" w:eastAsia="黑体" w:cs="黑体"/>
          <w:color w:val="auto"/>
          <w:sz w:val="32"/>
          <w:szCs w:val="32"/>
          <w:shd w:val="clear" w:color="auto" w:fill="FFFFFF"/>
        </w:rPr>
      </w:pPr>
    </w:p>
    <w:p w14:paraId="71F84B65">
      <w:pPr>
        <w:snapToGrid w:val="0"/>
        <w:spacing w:line="560" w:lineRule="exact"/>
        <w:ind w:firstLine="640"/>
        <w:rPr>
          <w:rFonts w:hint="eastAsia" w:ascii="黑体" w:hAnsi="黑体" w:eastAsia="黑体" w:cs="黑体"/>
          <w:color w:val="auto"/>
          <w:sz w:val="32"/>
          <w:szCs w:val="32"/>
          <w:shd w:val="clear" w:color="auto" w:fill="FFFFFF"/>
        </w:rPr>
      </w:pPr>
      <w:r>
        <w:rPr>
          <w:rFonts w:hint="eastAsia" w:ascii="黑体" w:hAnsi="黑体" w:eastAsia="黑体" w:cs="黑体"/>
          <w:color w:val="auto"/>
          <w:sz w:val="32"/>
          <w:szCs w:val="32"/>
          <w:shd w:val="clear" w:color="auto" w:fill="FFFFFF"/>
        </w:rPr>
        <w:t>二、案例内容介绍</w:t>
      </w:r>
    </w:p>
    <w:p w14:paraId="2B55D0F9">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（一）</w:t>
      </w:r>
      <w:r>
        <w:rPr>
          <w:rFonts w:hint="eastAsia" w:ascii="楷体_GB2312" w:hAnsi="楷体_GB2312" w:eastAsia="楷体_GB2312" w:cs="楷体_GB2312"/>
          <w:color w:val="auto"/>
          <w:sz w:val="32"/>
          <w:szCs w:val="32"/>
          <w:shd w:val="clear" w:color="auto" w:fill="FFFFFF"/>
        </w:rPr>
        <w:t>包括案例背景、采用的人工智能关键技术、所实现的功能和亮点优势</w:t>
      </w:r>
    </w:p>
    <w:p w14:paraId="0458098D">
      <w:pPr>
        <w:snapToGrid w:val="0"/>
        <w:spacing w:line="560" w:lineRule="exact"/>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本方案是面向气象与政务值班场景研发的大模型智能体平台，已于2026年9月投产试运行。基于开源智能体框架（opencode）与DeepSeek大模型，通过MCP协议封装19类气象业务工具，将预警监控、历史天气资料库、预报工具集等业务系统与MSSQL气象业务库、全市自动站实况、EC/GFS数值预报、多年气候统计等多源数据整合为“一个逻辑数据库”。业务人员经中文门户用自然语言下达指令，即可完成数据查询、统计绘图、表格导出和公文自动生成，产出文件凭24小时时效签名链接免密下载，形成“对话即业务”的智能值班新模式。</w:t>
      </w:r>
    </w:p>
    <w:p w14:paraId="29EA4508">
      <w:pPr>
        <w:snapToGrid w:val="0"/>
        <w:spacing w:line="560" w:lineRule="exact"/>
        <w:ind w:firstLine="640"/>
        <w:rPr>
          <w:rFonts w:hint="eastAsia" w:ascii="楷体_GB2312" w:hAnsi="楷体_GB2312" w:eastAsia="楷体_GB2312" w:cs="楷体_GB2312"/>
          <w:color w:val="auto"/>
          <w:sz w:val="32"/>
          <w:szCs w:val="32"/>
          <w:shd w:val="clear" w:color="auto" w:fill="FFFFFF"/>
          <w:lang w:val="en-US" w:eastAsia="zh-CN"/>
        </w:rPr>
      </w:pPr>
      <w:r>
        <w:rPr>
          <w:rFonts w:hint="eastAsia" w:ascii="楷体_GB2312" w:hAnsi="楷体_GB2312" w:eastAsia="楷体_GB2312" w:cs="楷体_GB2312"/>
          <w:color w:val="auto"/>
          <w:sz w:val="32"/>
          <w:szCs w:val="32"/>
          <w:shd w:val="clear" w:color="auto" w:fill="FFFFFF"/>
        </w:rPr>
        <w:t>（二）</w:t>
      </w:r>
      <w:r>
        <w:rPr>
          <w:rFonts w:hint="eastAsia" w:ascii="楷体_GB2312" w:hAnsi="楷体_GB2312" w:eastAsia="楷体_GB2312" w:cs="楷体_GB2312"/>
          <w:color w:val="auto"/>
          <w:sz w:val="32"/>
          <w:szCs w:val="32"/>
          <w:shd w:val="clear" w:color="auto" w:fill="FFFFFF"/>
          <w:lang w:val="en-US" w:eastAsia="zh-CN"/>
        </w:rPr>
        <w:t>具体应用成效</w:t>
      </w:r>
    </w:p>
    <w:p w14:paraId="6E76FCDF">
      <w:pPr>
        <w:snapToGrid w:val="0"/>
        <w:spacing w:line="560" w:lineRule="exact"/>
        <w:ind w:firstLine="640" w:firstLineChars="200"/>
        <w:rPr>
          <w:rFonts w:ascii="楷体_GB2312" w:hAnsi="楷体_GB2312" w:eastAsia="楷体_GB2312" w:cs="楷体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该智能体投产后，极</w:t>
      </w:r>
      <w:r>
        <w:rPr>
          <w:rFonts w:hint="eastAsia" w:ascii="仿宋_GB2312" w:hAnsi="仿宋_GB2312" w:eastAsia="仿宋_GB2312" w:cs="仿宋_GB2312"/>
          <w:color w:val="auto"/>
          <w:sz w:val="32"/>
          <w:szCs w:val="32"/>
          <w:shd w:val="clear" w:color="auto" w:fill="FFFFFF"/>
          <w:lang w:eastAsia="zh-CN"/>
        </w:rPr>
        <w:t>大地</w:t>
      </w:r>
      <w:r>
        <w:rPr>
          <w:rFonts w:hint="eastAsia" w:ascii="仿宋_GB2312" w:hAnsi="仿宋_GB2312" w:eastAsia="仿宋_GB2312" w:cs="仿宋_GB2312"/>
          <w:color w:val="auto"/>
          <w:sz w:val="32"/>
          <w:szCs w:val="32"/>
          <w:shd w:val="clear" w:color="auto" w:fill="FFFFFF"/>
        </w:rPr>
        <w:t>减轻了一线预报员的工作负担，让业务人员有更多的时间聚焦更复杂的天气过程分析。相比应用前，值班人员每天处理重复报告文本类工作的时间减少了90%，文字类错误率下降至0%。数据查询，信息发布效率极大提高。业务工作漏报率下降至0%。</w:t>
      </w:r>
    </w:p>
    <w:p w14:paraId="6FEA573D">
      <w:pPr>
        <w:snapToGrid w:val="0"/>
        <w:rPr>
          <w:rFonts w:hint="eastAsia" w:ascii="仿宋_GB2312" w:hAnsi="仿宋_GB2312" w:eastAsia="仿宋_GB2312" w:cs="仿宋_GB2312"/>
          <w:b/>
          <w:bCs/>
          <w:color w:val="auto"/>
          <w:sz w:val="32"/>
          <w:szCs w:val="32"/>
          <w:shd w:val="clear" w:color="auto" w:fill="FFFFFF"/>
        </w:rPr>
      </w:pPr>
      <w:r>
        <w:rPr>
          <w:rFonts w:hint="eastAsia" w:ascii="仿宋_GB2312" w:hAnsi="仿宋_GB2312" w:eastAsia="仿宋_GB2312" w:cs="仿宋_GB2312"/>
          <w:b/>
          <w:bCs/>
          <w:color w:val="auto"/>
          <w:sz w:val="32"/>
          <w:szCs w:val="32"/>
          <w:shd w:val="clear" w:color="auto" w:fill="FFFFFF"/>
        </w:rPr>
        <w:pict>
          <v:shape id="_x0000_i1038" o:spt="75" alt="小天系统界面" type="#_x0000_t75" style="height:199.05pt;width:413.85pt;" filled="f" o:preferrelative="t" stroked="f" coordsize="21600,21600">
            <v:path/>
            <v:fill on="f" focussize="0,0"/>
            <v:stroke on="f" joinstyle="miter"/>
            <v:imagedata r:id="rId48" o:title="小天系统界面"/>
            <o:lock v:ext="edit" aspectratio="t"/>
            <w10:wrap type="none"/>
            <w10:anchorlock/>
          </v:shape>
        </w:pict>
      </w:r>
    </w:p>
    <w:p w14:paraId="7494DD89">
      <w:pPr>
        <w:snapToGrid w:val="0"/>
        <w:spacing w:line="560" w:lineRule="exact"/>
        <w:ind w:firstLine="640" w:firstLineChars="200"/>
        <w:jc w:val="center"/>
        <w:rPr>
          <w:rFonts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系统界面截图</w:t>
      </w:r>
    </w:p>
    <w:p w14:paraId="09660DD7">
      <w:pPr>
        <w:snapToGrid w:val="0"/>
        <w:rPr>
          <w:rFonts w:ascii="仿宋_GB2312" w:hAnsi="仿宋_GB2312" w:eastAsia="仿宋_GB2312" w:cs="仿宋_GB2312"/>
          <w:b/>
          <w:bCs/>
          <w:color w:val="auto"/>
          <w:sz w:val="32"/>
          <w:szCs w:val="32"/>
          <w:shd w:val="clear" w:color="auto" w:fill="FFFFFF"/>
        </w:rPr>
      </w:pPr>
      <w:r>
        <w:rPr>
          <w:rFonts w:ascii="仿宋_GB2312" w:hAnsi="仿宋_GB2312" w:eastAsia="仿宋_GB2312" w:cs="仿宋_GB2312"/>
          <w:b/>
          <w:bCs/>
          <w:color w:val="auto"/>
          <w:sz w:val="32"/>
          <w:szCs w:val="32"/>
          <w:shd w:val="clear" w:color="auto" w:fill="FFFFFF"/>
        </w:rPr>
        <w:pict>
          <v:shape id="_x0000_i1039" o:spt="75" alt="香山小天-平台总体架构图" type="#_x0000_t75" style="height:234.15pt;width:414.45pt;" filled="f" o:preferrelative="t" stroked="f" coordsize="21600,21600">
            <v:path/>
            <v:fill on="f" focussize="0,0"/>
            <v:stroke on="f" joinstyle="miter"/>
            <v:imagedata r:id="rId49" o:title="香山小天-平台总体架构图"/>
            <o:lock v:ext="edit" aspectratio="t"/>
            <w10:wrap type="none"/>
            <w10:anchorlock/>
          </v:shape>
        </w:pict>
      </w:r>
    </w:p>
    <w:p w14:paraId="5FCAEBFD">
      <w:pPr>
        <w:snapToGrid w:val="0"/>
        <w:spacing w:line="560" w:lineRule="exact"/>
        <w:ind w:firstLine="640" w:firstLineChars="200"/>
        <w:jc w:val="center"/>
        <w:rPr>
          <w:rFonts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技术框架图</w:t>
      </w:r>
    </w:p>
    <w:p w14:paraId="3F611BD0">
      <w:pPr>
        <w:snapToGrid w:val="0"/>
        <w:rPr>
          <w:rFonts w:ascii="仿宋_GB2312" w:hAnsi="仿宋_GB2312" w:eastAsia="仿宋_GB2312" w:cs="仿宋_GB2312"/>
          <w:b/>
          <w:bCs/>
          <w:color w:val="auto"/>
          <w:sz w:val="32"/>
          <w:szCs w:val="32"/>
          <w:shd w:val="clear" w:color="auto" w:fill="FFFFFF"/>
        </w:rPr>
      </w:pPr>
    </w:p>
    <w:p w14:paraId="62F45A27">
      <w:pPr>
        <w:spacing w:after="40"/>
        <w:jc w:val="left"/>
        <w:rPr>
          <w:rFonts w:ascii="楷体" w:hAnsi="楷体" w:eastAsia="楷体"/>
          <w:color w:val="auto"/>
          <w:sz w:val="22"/>
        </w:rPr>
      </w:pPr>
    </w:p>
    <w:p w14:paraId="168A6262">
      <w:pPr>
        <w:pStyle w:val="12"/>
        <w:pageBreakBefore/>
        <w:rPr>
          <w:color w:val="auto"/>
        </w:rPr>
      </w:pPr>
      <w:bookmarkStart w:id="22" w:name="_Toc25959"/>
      <w:r>
        <w:rPr>
          <w:color w:val="auto"/>
        </w:rPr>
        <w:t>案例 08　智能</w:t>
      </w:r>
      <w:r>
        <w:rPr>
          <w:rFonts w:hint="eastAsia"/>
          <w:color w:val="auto"/>
          <w:lang w:eastAsia="zh-CN"/>
        </w:rPr>
        <w:t>座席</w:t>
      </w:r>
      <w:r>
        <w:rPr>
          <w:color w:val="auto"/>
        </w:rPr>
        <w:t>辅助+智能派单一体化</w:t>
      </w:r>
      <w:bookmarkEnd w:id="22"/>
    </w:p>
    <w:p w14:paraId="5C175ADD">
      <w:pPr>
        <w:spacing w:after="40"/>
        <w:jc w:val="left"/>
        <w:rPr>
          <w:rFonts w:ascii="方正小标宋简体" w:hAnsi="方正小标宋简体" w:eastAsia="方正小标宋简体" w:cs="方正小标宋简体"/>
          <w:color w:val="auto"/>
          <w:sz w:val="44"/>
          <w:szCs w:val="44"/>
          <w:shd w:val="clear" w:color="auto" w:fill="FFFFFF"/>
        </w:rPr>
      </w:pPr>
      <w:r>
        <w:rPr>
          <w:rFonts w:ascii="楷体" w:hAnsi="楷体" w:eastAsia="楷体"/>
          <w:color w:val="auto"/>
          <w:sz w:val="22"/>
        </w:rPr>
        <w:t>申报单位：中山市政务服务中心</w:t>
      </w:r>
    </w:p>
    <w:p w14:paraId="54E1B1A8">
      <w:pPr>
        <w:snapToGrid w:val="0"/>
        <w:spacing w:line="560" w:lineRule="exact"/>
        <w:rPr>
          <w:rFonts w:hint="eastAsia" w:ascii="仿宋_GB2312" w:hAnsi="仿宋_GB2312" w:eastAsia="仿宋_GB2312" w:cs="仿宋_GB2312"/>
          <w:color w:val="auto"/>
          <w:sz w:val="32"/>
          <w:szCs w:val="32"/>
          <w:shd w:val="clear" w:color="auto" w:fill="FFFFFF"/>
        </w:rPr>
      </w:pPr>
    </w:p>
    <w:p w14:paraId="2F19DEE4">
      <w:pPr>
        <w:snapToGrid w:val="0"/>
        <w:spacing w:line="560" w:lineRule="exact"/>
        <w:ind w:firstLine="640"/>
        <w:rPr>
          <w:rFonts w:hint="eastAsia" w:ascii="黑体" w:hAnsi="黑体" w:eastAsia="黑体" w:cs="黑体"/>
          <w:color w:val="auto"/>
          <w:sz w:val="32"/>
          <w:szCs w:val="32"/>
          <w:shd w:val="clear" w:color="auto" w:fill="FFFFFF"/>
        </w:rPr>
      </w:pPr>
      <w:r>
        <w:rPr>
          <w:rFonts w:hint="eastAsia" w:ascii="黑体" w:hAnsi="黑体" w:eastAsia="黑体" w:cs="黑体"/>
          <w:color w:val="auto"/>
          <w:sz w:val="32"/>
          <w:szCs w:val="32"/>
          <w:shd w:val="clear" w:color="auto" w:fill="FFFFFF"/>
        </w:rPr>
        <w:t>一、案例基本情况</w:t>
      </w:r>
    </w:p>
    <w:p w14:paraId="02D330B8">
      <w:pPr>
        <w:snapToGrid w:val="0"/>
        <w:spacing w:line="560" w:lineRule="exact"/>
        <w:ind w:firstLine="640"/>
        <w:rPr>
          <w:rFonts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（一）案例名称：</w:t>
      </w:r>
      <w:r>
        <w:rPr>
          <w:rFonts w:hint="eastAsia" w:ascii="仿宋_GB2312" w:hAnsi="仿宋_GB2312" w:eastAsia="仿宋_GB2312" w:cs="仿宋_GB2312"/>
          <w:snapToGrid w:val="0"/>
          <w:color w:val="auto"/>
          <w:spacing w:val="6"/>
          <w:kern w:val="32"/>
          <w:sz w:val="32"/>
          <w:szCs w:val="32"/>
          <w:lang w:bidi="zh-CN"/>
        </w:rPr>
        <w:t>智能座席辅助+智能派单一体化</w:t>
      </w:r>
      <w:r>
        <w:rPr>
          <w:rFonts w:hint="eastAsia" w:ascii="仿宋_GB2312" w:hAnsi="仿宋_GB2312" w:eastAsia="仿宋_GB2312" w:cs="仿宋_GB2312"/>
          <w:color w:val="auto"/>
          <w:sz w:val="32"/>
          <w:szCs w:val="32"/>
          <w:shd w:val="clear" w:color="auto" w:fill="FFFFFF"/>
        </w:rPr>
        <w:t>。</w:t>
      </w:r>
    </w:p>
    <w:p w14:paraId="796C14FA">
      <w:pPr>
        <w:snapToGrid w:val="0"/>
        <w:spacing w:line="560" w:lineRule="exact"/>
        <w:ind w:firstLine="640"/>
        <w:rPr>
          <w:rFonts w:hint="eastAsia" w:ascii="仿宋_GB2312" w:hAnsi="仿宋_GB2312" w:eastAsia="仿宋_GB2312" w:cs="仿宋_GB2312"/>
          <w:b/>
          <w:bCs/>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（二）人工智能技术应用方：中山市政务服务中心。</w:t>
      </w:r>
    </w:p>
    <w:p w14:paraId="138B486D">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（三）人工智能技术供给方：</w:t>
      </w:r>
      <w:r>
        <w:rPr>
          <w:rFonts w:hint="eastAsia" w:ascii="仿宋_GB2312" w:hAnsi="仿宋_GB2312" w:eastAsia="仿宋_GB2312" w:cs="仿宋_GB2312"/>
          <w:snapToGrid w:val="0"/>
          <w:color w:val="auto"/>
          <w:spacing w:val="6"/>
          <w:kern w:val="32"/>
          <w:sz w:val="32"/>
          <w:szCs w:val="32"/>
          <w:lang w:bidi="zh-CN"/>
        </w:rPr>
        <w:t>中国电信股份有限公司中山分公司</w:t>
      </w:r>
      <w:r>
        <w:rPr>
          <w:rFonts w:hint="eastAsia" w:ascii="仿宋_GB2312" w:hAnsi="仿宋_GB2312" w:eastAsia="仿宋_GB2312" w:cs="仿宋_GB2312"/>
          <w:color w:val="auto"/>
          <w:sz w:val="32"/>
          <w:szCs w:val="32"/>
          <w:shd w:val="clear" w:color="auto" w:fill="FFFFFF"/>
        </w:rPr>
        <w:t>。</w:t>
      </w:r>
    </w:p>
    <w:p w14:paraId="658C57E0">
      <w:pPr>
        <w:snapToGrid w:val="0"/>
        <w:spacing w:line="560" w:lineRule="exact"/>
        <w:ind w:firstLine="640"/>
        <w:rPr>
          <w:rFonts w:hint="eastAsia" w:ascii="黑体" w:hAnsi="黑体" w:eastAsia="黑体" w:cs="黑体"/>
          <w:color w:val="auto"/>
          <w:sz w:val="32"/>
          <w:szCs w:val="32"/>
          <w:shd w:val="clear" w:color="auto" w:fill="FFFFFF"/>
        </w:rPr>
      </w:pPr>
      <w:r>
        <w:rPr>
          <w:rFonts w:hint="eastAsia" w:ascii="仿宋_GB2312" w:hAnsi="仿宋_GB2312" w:eastAsia="仿宋_GB2312" w:cs="仿宋_GB2312"/>
          <w:snapToGrid w:val="0"/>
          <w:color w:val="auto"/>
          <w:spacing w:val="6"/>
          <w:kern w:val="32"/>
          <w:sz w:val="32"/>
          <w:szCs w:val="32"/>
          <w:lang w:bidi="zh-CN"/>
        </w:rPr>
        <w:t>供给企业简介：中国电信股份有限公司中山分公司作为数字中山建设的核心参与者，深耕政务信息化领域十余年，累计承接各类政务数字化项目超200个，涵盖便民热线优化、社会治理智能化、政务数据共享等核心场景。公司依托国家级AI实验室研发实力，自主攻克多模态语音识别、语义意图理解、智能派单算法等关键技术，形成“硬件部署+软件研发+运维支撑”全链条服务能力。在方言识别、政务场景适配等领域拥有多项专利技术，是中山市数字政府建设的核心技术合作伙伴与运营商。</w:t>
      </w:r>
    </w:p>
    <w:p w14:paraId="68AEF023">
      <w:pPr>
        <w:snapToGrid w:val="0"/>
        <w:spacing w:line="560" w:lineRule="exact"/>
        <w:ind w:firstLine="640"/>
        <w:rPr>
          <w:rFonts w:hint="eastAsia" w:ascii="黑体" w:hAnsi="黑体" w:eastAsia="黑体" w:cs="黑体"/>
          <w:color w:val="auto"/>
          <w:sz w:val="32"/>
          <w:szCs w:val="32"/>
          <w:shd w:val="clear" w:color="auto" w:fill="FFFFFF"/>
        </w:rPr>
      </w:pPr>
      <w:r>
        <w:rPr>
          <w:rFonts w:hint="eastAsia" w:ascii="黑体" w:hAnsi="黑体" w:eastAsia="黑体" w:cs="黑体"/>
          <w:color w:val="auto"/>
          <w:sz w:val="32"/>
          <w:szCs w:val="32"/>
          <w:shd w:val="clear" w:color="auto" w:fill="FFFFFF"/>
        </w:rPr>
        <w:t>二、案例内容介绍</w:t>
      </w:r>
    </w:p>
    <w:p w14:paraId="5D1687BD">
      <w:pPr>
        <w:snapToGrid w:val="0"/>
        <w:spacing w:line="560" w:lineRule="exact"/>
        <w:ind w:firstLine="640"/>
        <w:rPr>
          <w:rFonts w:hint="eastAsia" w:ascii="楷体_GB2312" w:hAnsi="楷体_GB2312" w:eastAsia="楷体_GB2312" w:cs="楷体_GB2312"/>
          <w:color w:val="auto"/>
          <w:sz w:val="32"/>
          <w:szCs w:val="32"/>
          <w:shd w:val="clear" w:color="auto" w:fill="FFFFFF"/>
        </w:rPr>
      </w:pPr>
      <w:r>
        <w:rPr>
          <w:rFonts w:hint="eastAsia" w:ascii="楷体_GB2312" w:hAnsi="楷体_GB2312" w:eastAsia="楷体_GB2312" w:cs="楷体_GB2312"/>
          <w:color w:val="auto"/>
          <w:sz w:val="32"/>
          <w:szCs w:val="32"/>
          <w:shd w:val="clear" w:color="auto" w:fill="FFFFFF"/>
        </w:rPr>
        <w:t>（一）案例背景、采用的人工智能关键技术、所实现的功能和亮点优势</w:t>
      </w:r>
    </w:p>
    <w:p w14:paraId="717D0D42">
      <w:pPr>
        <w:widowControl/>
        <w:overflowPunct w:val="0"/>
        <w:autoSpaceDE w:val="0"/>
        <w:autoSpaceDN w:val="0"/>
        <w:adjustRightInd w:val="0"/>
        <w:snapToGrid w:val="0"/>
        <w:spacing w:line="574" w:lineRule="exact"/>
        <w:ind w:firstLine="664" w:firstLineChars="200"/>
        <w:rPr>
          <w:rFonts w:hint="eastAsia" w:ascii="仿宋_GB2312" w:hAnsi="仿宋_GB2312" w:eastAsia="仿宋_GB2312" w:cs="仿宋_GB2312"/>
          <w:snapToGrid w:val="0"/>
          <w:color w:val="auto"/>
          <w:spacing w:val="6"/>
          <w:kern w:val="32"/>
          <w:sz w:val="32"/>
          <w:szCs w:val="32"/>
          <w:lang w:bidi="zh-CN"/>
        </w:rPr>
      </w:pPr>
      <w:r>
        <w:rPr>
          <w:rFonts w:hint="eastAsia" w:ascii="仿宋_GB2312" w:hAnsi="仿宋_GB2312" w:eastAsia="仿宋_GB2312" w:cs="仿宋_GB2312"/>
          <w:snapToGrid w:val="0"/>
          <w:color w:val="auto"/>
          <w:spacing w:val="6"/>
          <w:kern w:val="32"/>
          <w:sz w:val="32"/>
          <w:szCs w:val="32"/>
          <w:lang w:bidi="zh-CN"/>
        </w:rPr>
        <w:t>为破解中山市政务服务中心运行堵点，中山市政务服务和数据管理局牵头，历经6个月需求调研、技术研发、场景测试与上线迭代，成功部署智能座席辅助+智能派单一体化系统。项目以自建ASR引擎为基础，融合NLP语义理解、智能标签体系、动态派单算法等核心技术，对标深圳“民意速办”改革先进经验，完成中山12345热线事项清单全量梳理与标准化重构，实现从“人工受理”到“智能赋能”的跨越式转型。</w:t>
      </w:r>
    </w:p>
    <w:p w14:paraId="3D526FF7">
      <w:pPr>
        <w:snapToGrid w:val="0"/>
        <w:spacing w:line="560" w:lineRule="exact"/>
        <w:ind w:firstLine="640"/>
        <w:rPr>
          <w:rFonts w:hint="eastAsia" w:ascii="楷体_GB2312" w:hAnsi="楷体_GB2312" w:eastAsia="楷体_GB2312" w:cs="楷体_GB2312"/>
          <w:color w:val="auto"/>
          <w:sz w:val="32"/>
          <w:szCs w:val="32"/>
          <w:shd w:val="clear" w:color="auto" w:fill="FFFFFF"/>
        </w:rPr>
      </w:pPr>
      <w:r>
        <w:rPr>
          <w:rFonts w:hint="eastAsia" w:ascii="楷体_GB2312" w:hAnsi="楷体_GB2312" w:eastAsia="楷体_GB2312" w:cs="楷体_GB2312"/>
          <w:color w:val="auto"/>
          <w:sz w:val="32"/>
          <w:szCs w:val="32"/>
          <w:shd w:val="clear" w:color="auto" w:fill="FFFFFF"/>
        </w:rPr>
        <w:t>（二）具体应用成效</w:t>
      </w:r>
    </w:p>
    <w:p w14:paraId="276113DE">
      <w:pPr>
        <w:overflowPunct w:val="0"/>
        <w:autoSpaceDE w:val="0"/>
        <w:autoSpaceDN w:val="0"/>
        <w:adjustRightInd w:val="0"/>
        <w:snapToGrid w:val="0"/>
        <w:spacing w:line="574" w:lineRule="exact"/>
        <w:ind w:firstLine="664" w:firstLineChars="200"/>
        <w:rPr>
          <w:rFonts w:hint="eastAsia" w:ascii="仿宋_GB2312" w:hAnsi="仿宋_GB2312" w:eastAsia="仿宋_GB2312" w:cs="仿宋_GB2312"/>
          <w:snapToGrid w:val="0"/>
          <w:color w:val="auto"/>
          <w:spacing w:val="6"/>
          <w:kern w:val="32"/>
          <w:sz w:val="32"/>
          <w:szCs w:val="32"/>
          <w:lang w:bidi="zh-CN"/>
        </w:rPr>
      </w:pPr>
      <w:r>
        <w:rPr>
          <w:rFonts w:hint="eastAsia" w:ascii="仿宋_GB2312" w:hAnsi="仿宋_GB2312" w:eastAsia="仿宋_GB2312" w:cs="仿宋_GB2312"/>
          <w:snapToGrid w:val="0"/>
          <w:color w:val="auto"/>
          <w:spacing w:val="6"/>
          <w:kern w:val="32"/>
          <w:sz w:val="32"/>
          <w:szCs w:val="32"/>
          <w:lang w:bidi="zh-CN"/>
        </w:rPr>
        <w:t>1.话务处理效率大幅提升。一是平均通话时长（AHT）显著缩短，从项目前的168秒缩短至148秒，降幅达12%，高峰时段话务拥堵情况彻底缓解，热线整体承载能力提升20%；二是工单录入效率翻倍：AI自动提取要素并回填，单条工单录入时间从4分钟缩短至3分钟，效率提升25%，话务员可专注于市民诉求沟通，无需再花费大量时间记录整理；</w:t>
      </w:r>
    </w:p>
    <w:p w14:paraId="10F42F42">
      <w:pPr>
        <w:overflowPunct w:val="0"/>
        <w:autoSpaceDE w:val="0"/>
        <w:autoSpaceDN w:val="0"/>
        <w:adjustRightInd w:val="0"/>
        <w:snapToGrid w:val="0"/>
        <w:spacing w:line="574" w:lineRule="exact"/>
        <w:rPr>
          <w:rFonts w:hint="eastAsia" w:ascii="仿宋_GB2312" w:hAnsi="仿宋_GB2312" w:eastAsia="仿宋_GB2312" w:cs="仿宋_GB2312"/>
          <w:snapToGrid w:val="0"/>
          <w:color w:val="auto"/>
          <w:spacing w:val="6"/>
          <w:kern w:val="32"/>
          <w:sz w:val="32"/>
          <w:szCs w:val="32"/>
          <w:lang w:bidi="zh-CN"/>
        </w:rPr>
      </w:pPr>
      <w:r>
        <w:rPr>
          <w:rFonts w:hint="eastAsia" w:ascii="仿宋_GB2312" w:hAnsi="仿宋_GB2312" w:eastAsia="仿宋_GB2312" w:cs="仿宋_GB2312"/>
          <w:snapToGrid w:val="0"/>
          <w:color w:val="auto"/>
          <w:spacing w:val="6"/>
          <w:kern w:val="32"/>
          <w:sz w:val="32"/>
          <w:szCs w:val="32"/>
          <w:lang w:bidi="zh-CN"/>
        </w:rPr>
        <w:t>三是话务员工作负荷降低：人均每日受理诉求量70通提升至90通，增幅达28%，且因AI辅助应答、自动生成小结，话务员工作压力明显减轻，岗位满意度提升45%。</w:t>
      </w:r>
    </w:p>
    <w:p w14:paraId="1F40C0C7">
      <w:pPr>
        <w:overflowPunct w:val="0"/>
        <w:autoSpaceDE w:val="0"/>
        <w:autoSpaceDN w:val="0"/>
        <w:adjustRightInd w:val="0"/>
        <w:snapToGrid w:val="0"/>
        <w:spacing w:line="574" w:lineRule="exact"/>
        <w:ind w:firstLine="664" w:firstLineChars="200"/>
        <w:rPr>
          <w:rFonts w:hint="eastAsia" w:ascii="仿宋_GB2312" w:hAnsi="仿宋_GB2312" w:eastAsia="仿宋_GB2312" w:cs="仿宋_GB2312"/>
          <w:snapToGrid w:val="0"/>
          <w:color w:val="auto"/>
          <w:spacing w:val="6"/>
          <w:kern w:val="32"/>
          <w:sz w:val="32"/>
          <w:szCs w:val="32"/>
          <w:lang w:bidi="zh-CN"/>
        </w:rPr>
      </w:pPr>
      <w:r>
        <w:rPr>
          <w:rFonts w:hint="eastAsia" w:ascii="仿宋_GB2312" w:hAnsi="仿宋_GB2312" w:eastAsia="仿宋_GB2312" w:cs="仿宋_GB2312"/>
          <w:snapToGrid w:val="0"/>
          <w:color w:val="auto"/>
          <w:spacing w:val="6"/>
          <w:kern w:val="32"/>
          <w:sz w:val="32"/>
          <w:szCs w:val="32"/>
          <w:lang w:bidi="zh-CN"/>
        </w:rPr>
        <w:t>2.服务规范性与准确性显著提高。一是应答标准化率达100%：AI实时推送统一应答口径，实现“同一诉求同一答复”，市民对政务服务应答规范性的满意度达99%；二是诉求要素准确率大幅提升：核心要素提取准确率达92%，工单数据完整性、准确性显著提升，为后续办理提供可靠支撑；三是政策引用精准度提升：AI匹配政策条款，避免因政策理解偏差导致的办理失误，提升政府公信力。</w:t>
      </w:r>
    </w:p>
    <w:p w14:paraId="203A5675">
      <w:pPr>
        <w:overflowPunct w:val="0"/>
        <w:autoSpaceDE w:val="0"/>
        <w:autoSpaceDN w:val="0"/>
        <w:adjustRightInd w:val="0"/>
        <w:snapToGrid w:val="0"/>
        <w:spacing w:line="574" w:lineRule="exact"/>
        <w:ind w:firstLine="664" w:firstLineChars="200"/>
        <w:rPr>
          <w:rFonts w:hint="eastAsia" w:ascii="仿宋_GB2312" w:hAnsi="仿宋_GB2312" w:eastAsia="仿宋_GB2312" w:cs="仿宋_GB2312"/>
          <w:snapToGrid w:val="0"/>
          <w:color w:val="auto"/>
          <w:spacing w:val="6"/>
          <w:kern w:val="32"/>
          <w:sz w:val="32"/>
          <w:szCs w:val="32"/>
          <w:lang w:bidi="zh-CN"/>
        </w:rPr>
      </w:pPr>
      <w:r>
        <w:rPr>
          <w:rFonts w:hint="eastAsia" w:ascii="仿宋_GB2312" w:hAnsi="仿宋_GB2312" w:eastAsia="仿宋_GB2312" w:cs="仿宋_GB2312"/>
          <w:snapToGrid w:val="0"/>
          <w:color w:val="auto"/>
          <w:spacing w:val="6"/>
          <w:kern w:val="32"/>
          <w:sz w:val="32"/>
          <w:szCs w:val="32"/>
          <w:lang w:bidi="zh-CN"/>
        </w:rPr>
        <w:t>3.派单速度与精准度双提升。一是派单响应速度达行业领先。实现诉求工单“15分钟内派发”，较传统人工派单（平均耗时700分钟）提速45.6倍；二是派单精准度稳步提升。整体工单首次分派准确率从85%提升至93%，疑难工单首次分派准确率从50%提升至70%。三是跨部门协同效率提升。跨部门诉求协同派单成功率达95%，有效解决跨部门推诿扯皮问题。</w:t>
      </w:r>
    </w:p>
    <w:p w14:paraId="4DAD56EF">
      <w:pPr>
        <w:overflowPunct w:val="0"/>
        <w:autoSpaceDE w:val="0"/>
        <w:autoSpaceDN w:val="0"/>
        <w:adjustRightInd w:val="0"/>
        <w:snapToGrid w:val="0"/>
        <w:spacing w:line="574" w:lineRule="exact"/>
        <w:ind w:firstLine="420" w:firstLineChars="200"/>
        <w:rPr>
          <w:rFonts w:hint="eastAsia" w:ascii="仿宋_GB2312" w:hAnsi="仿宋_GB2312" w:eastAsia="仿宋_GB2312" w:cs="仿宋_GB2312"/>
          <w:snapToGrid w:val="0"/>
          <w:color w:val="auto"/>
          <w:spacing w:val="6"/>
          <w:kern w:val="32"/>
          <w:sz w:val="32"/>
          <w:szCs w:val="32"/>
          <w:lang w:bidi="zh-CN"/>
        </w:rPr>
      </w:pPr>
      <w:r>
        <w:rPr>
          <w:color w:val="auto"/>
        </w:rPr>
        <w:pict>
          <v:shape id="_x0000_s1038" o:spid="_x0000_s1038" o:spt="75" type="#_x0000_t75" style="position:absolute;left:0pt;margin-left:3.3pt;margin-top:23.4pt;height:214.65pt;width:415.25pt;z-index:-251645952;mso-width-relative:page;mso-height-relative:page;" filled="f" o:preferrelative="t" stroked="f" coordsize="21600,21600">
            <v:path/>
            <v:fill on="f" focussize="0,0"/>
            <v:stroke on="f" joinstyle="miter"/>
            <v:imagedata r:id="rId50" o:title=""/>
            <o:lock v:ext="edit" aspectratio="t"/>
          </v:shape>
        </w:pict>
      </w:r>
    </w:p>
    <w:p w14:paraId="71D7442E">
      <w:pPr>
        <w:overflowPunct w:val="0"/>
        <w:autoSpaceDE w:val="0"/>
        <w:autoSpaceDN w:val="0"/>
        <w:adjustRightInd w:val="0"/>
        <w:snapToGrid w:val="0"/>
        <w:spacing w:line="574" w:lineRule="exact"/>
        <w:ind w:firstLine="420" w:firstLineChars="200"/>
        <w:rPr>
          <w:rFonts w:ascii="仿宋_GB2312" w:hAnsi="仿宋_GB2312" w:eastAsia="仿宋_GB2312" w:cs="仿宋_GB2312"/>
          <w:snapToGrid w:val="0"/>
          <w:color w:val="auto"/>
          <w:spacing w:val="6"/>
          <w:kern w:val="32"/>
          <w:sz w:val="32"/>
          <w:szCs w:val="32"/>
          <w:lang w:bidi="zh-CN"/>
        </w:rPr>
      </w:pPr>
      <w:r>
        <w:rPr>
          <w:color w:val="auto"/>
        </w:rPr>
        <w:pict>
          <v:shape id="_x0000_s1039" o:spid="_x0000_s1039" o:spt="75" type="#_x0000_t75" style="position:absolute;left:0pt;margin-left:3.25pt;margin-top:230.25pt;height:239.75pt;width:415.3pt;mso-wrap-distance-bottom:0pt;mso-wrap-distance-top:0pt;z-index:251671552;mso-width-relative:page;mso-height-relative:page;" filled="f" o:preferrelative="t" stroked="f" coordsize="21600,21600">
            <v:path/>
            <v:fill on="f" focussize="0,0"/>
            <v:stroke on="f" joinstyle="miter"/>
            <v:imagedata r:id="rId51" o:title=""/>
            <o:lock v:ext="edit" aspectratio="t"/>
            <w10:wrap type="topAndBottom"/>
          </v:shape>
        </w:pict>
      </w:r>
    </w:p>
    <w:p w14:paraId="3DB11C6C">
      <w:pPr>
        <w:spacing w:after="120"/>
        <w:jc w:val="left"/>
        <w:rPr>
          <w:rFonts w:ascii="楷体" w:hAnsi="楷体" w:eastAsia="楷体"/>
          <w:color w:val="auto"/>
        </w:rPr>
      </w:pPr>
    </w:p>
    <w:p w14:paraId="739769D4">
      <w:pPr>
        <w:pStyle w:val="12"/>
        <w:pageBreakBefore/>
        <w:rPr>
          <w:color w:val="auto"/>
        </w:rPr>
      </w:pPr>
      <w:bookmarkStart w:id="23" w:name="_Toc17051"/>
      <w:r>
        <w:rPr>
          <w:color w:val="auto"/>
        </w:rPr>
        <w:t>案例 09　虚拟仿真与人工智能技术在中职幼儿保育专业技能竞赛及实训的创新应用</w:t>
      </w:r>
      <w:bookmarkEnd w:id="23"/>
    </w:p>
    <w:p w14:paraId="42405511">
      <w:pPr>
        <w:spacing w:after="40"/>
        <w:jc w:val="left"/>
        <w:rPr>
          <w:rFonts w:ascii="方正小标宋简体" w:hAnsi="方正小标宋简体" w:eastAsia="方正小标宋简体" w:cs="方正小标宋简体"/>
          <w:color w:val="auto"/>
          <w:sz w:val="44"/>
          <w:szCs w:val="44"/>
          <w:shd w:val="clear" w:color="auto" w:fill="FFFFFF"/>
        </w:rPr>
      </w:pPr>
      <w:r>
        <w:rPr>
          <w:rFonts w:ascii="楷体" w:hAnsi="楷体" w:eastAsia="楷体"/>
          <w:color w:val="auto"/>
          <w:sz w:val="22"/>
        </w:rPr>
        <w:t>申报单位：中山市中等专业学校</w:t>
      </w:r>
    </w:p>
    <w:p w14:paraId="6A75C794">
      <w:pPr>
        <w:snapToGrid w:val="0"/>
        <w:spacing w:line="560" w:lineRule="exact"/>
        <w:rPr>
          <w:rFonts w:hint="eastAsia" w:ascii="仿宋_GB2312" w:hAnsi="仿宋_GB2312" w:eastAsia="仿宋_GB2312" w:cs="仿宋_GB2312"/>
          <w:color w:val="auto"/>
          <w:sz w:val="32"/>
          <w:szCs w:val="32"/>
          <w:shd w:val="clear" w:color="auto" w:fill="FFFFFF"/>
        </w:rPr>
      </w:pPr>
    </w:p>
    <w:p w14:paraId="596B5A4C">
      <w:pPr>
        <w:snapToGrid w:val="0"/>
        <w:spacing w:line="560" w:lineRule="exact"/>
        <w:ind w:firstLine="640"/>
        <w:rPr>
          <w:rFonts w:hint="eastAsia" w:ascii="黑体" w:hAnsi="黑体" w:eastAsia="黑体" w:cs="黑体"/>
          <w:color w:val="auto"/>
          <w:sz w:val="32"/>
          <w:szCs w:val="32"/>
          <w:shd w:val="clear" w:color="auto" w:fill="FFFFFF"/>
        </w:rPr>
      </w:pPr>
      <w:r>
        <w:rPr>
          <w:rFonts w:hint="eastAsia" w:ascii="黑体" w:hAnsi="黑体" w:eastAsia="黑体" w:cs="黑体"/>
          <w:color w:val="auto"/>
          <w:sz w:val="32"/>
          <w:szCs w:val="32"/>
          <w:shd w:val="clear" w:color="auto" w:fill="FFFFFF"/>
        </w:rPr>
        <w:t>一、案例基本情况</w:t>
      </w:r>
    </w:p>
    <w:p w14:paraId="18A70539">
      <w:pPr>
        <w:overflowPunct w:val="0"/>
        <w:autoSpaceDE w:val="0"/>
        <w:autoSpaceDN w:val="0"/>
        <w:adjustRightInd w:val="0"/>
        <w:snapToGrid w:val="0"/>
        <w:spacing w:line="574" w:lineRule="exact"/>
        <w:ind w:firstLine="664" w:firstLineChars="200"/>
        <w:rPr>
          <w:rFonts w:hint="eastAsia" w:ascii="仿宋_GB2312" w:hAnsi="仿宋_GB2312" w:eastAsia="仿宋_GB2312" w:cs="仿宋_GB2312"/>
          <w:snapToGrid w:val="0"/>
          <w:color w:val="auto"/>
          <w:spacing w:val="6"/>
          <w:kern w:val="32"/>
          <w:sz w:val="32"/>
          <w:szCs w:val="32"/>
          <w:lang w:bidi="zh-CN"/>
        </w:rPr>
      </w:pPr>
      <w:r>
        <w:rPr>
          <w:rFonts w:hint="eastAsia" w:ascii="仿宋_GB2312" w:hAnsi="仿宋_GB2312" w:eastAsia="仿宋_GB2312" w:cs="仿宋_GB2312"/>
          <w:snapToGrid w:val="0"/>
          <w:color w:val="auto"/>
          <w:spacing w:val="6"/>
          <w:kern w:val="32"/>
          <w:sz w:val="32"/>
          <w:szCs w:val="32"/>
          <w:lang w:bidi="zh-CN"/>
        </w:rPr>
        <w:t xml:space="preserve">（一）案例名称：虚拟仿真与人工智能技术在中职幼儿保育专业技能竞赛及实训的创新应用。 </w:t>
      </w:r>
    </w:p>
    <w:p w14:paraId="39739D2E">
      <w:pPr>
        <w:overflowPunct w:val="0"/>
        <w:autoSpaceDE w:val="0"/>
        <w:autoSpaceDN w:val="0"/>
        <w:adjustRightInd w:val="0"/>
        <w:snapToGrid w:val="0"/>
        <w:spacing w:line="574" w:lineRule="exact"/>
        <w:ind w:firstLine="664" w:firstLineChars="200"/>
        <w:rPr>
          <w:rFonts w:hint="eastAsia" w:ascii="仿宋_GB2312" w:hAnsi="仿宋_GB2312" w:eastAsia="仿宋_GB2312" w:cs="仿宋_GB2312"/>
          <w:snapToGrid w:val="0"/>
          <w:color w:val="auto"/>
          <w:spacing w:val="6"/>
          <w:kern w:val="32"/>
          <w:sz w:val="32"/>
          <w:szCs w:val="32"/>
          <w:lang w:bidi="zh-CN"/>
        </w:rPr>
      </w:pPr>
      <w:r>
        <w:rPr>
          <w:rFonts w:hint="eastAsia" w:ascii="仿宋_GB2312" w:hAnsi="仿宋_GB2312" w:eastAsia="仿宋_GB2312" w:cs="仿宋_GB2312"/>
          <w:snapToGrid w:val="0"/>
          <w:color w:val="auto"/>
          <w:spacing w:val="6"/>
          <w:kern w:val="32"/>
          <w:sz w:val="32"/>
          <w:szCs w:val="32"/>
          <w:lang w:bidi="zh-CN"/>
        </w:rPr>
        <w:t>（二）人工智能技术应用方：中山市中等专业学校学前教育教研室</w:t>
      </w:r>
    </w:p>
    <w:p w14:paraId="02E1511F">
      <w:pPr>
        <w:overflowPunct w:val="0"/>
        <w:autoSpaceDE w:val="0"/>
        <w:autoSpaceDN w:val="0"/>
        <w:adjustRightInd w:val="0"/>
        <w:snapToGrid w:val="0"/>
        <w:spacing w:line="574" w:lineRule="exact"/>
        <w:ind w:firstLine="664" w:firstLineChars="200"/>
        <w:rPr>
          <w:rFonts w:hint="eastAsia" w:ascii="仿宋_GB2312" w:hAnsi="仿宋_GB2312" w:eastAsia="仿宋_GB2312" w:cs="仿宋_GB2312"/>
          <w:snapToGrid w:val="0"/>
          <w:color w:val="auto"/>
          <w:spacing w:val="6"/>
          <w:kern w:val="32"/>
          <w:sz w:val="32"/>
          <w:szCs w:val="32"/>
          <w:lang w:bidi="zh-CN"/>
        </w:rPr>
      </w:pPr>
      <w:r>
        <w:rPr>
          <w:rFonts w:hint="eastAsia" w:ascii="仿宋_GB2312" w:hAnsi="仿宋_GB2312" w:eastAsia="仿宋_GB2312" w:cs="仿宋_GB2312"/>
          <w:snapToGrid w:val="0"/>
          <w:color w:val="auto"/>
          <w:spacing w:val="6"/>
          <w:kern w:val="32"/>
          <w:sz w:val="32"/>
          <w:szCs w:val="32"/>
          <w:lang w:bidi="zh-CN"/>
        </w:rPr>
        <w:t>应用企业简介：</w:t>
      </w:r>
    </w:p>
    <w:p w14:paraId="387178B6">
      <w:pPr>
        <w:overflowPunct w:val="0"/>
        <w:autoSpaceDE w:val="0"/>
        <w:autoSpaceDN w:val="0"/>
        <w:adjustRightInd w:val="0"/>
        <w:snapToGrid w:val="0"/>
        <w:spacing w:line="574" w:lineRule="exact"/>
        <w:ind w:firstLine="664" w:firstLineChars="200"/>
        <w:rPr>
          <w:rFonts w:hint="eastAsia" w:ascii="仿宋_GB2312" w:hAnsi="仿宋_GB2312" w:eastAsia="仿宋_GB2312" w:cs="仿宋_GB2312"/>
          <w:snapToGrid w:val="0"/>
          <w:color w:val="auto"/>
          <w:spacing w:val="6"/>
          <w:kern w:val="32"/>
          <w:sz w:val="32"/>
          <w:szCs w:val="32"/>
          <w:lang w:bidi="zh-CN"/>
        </w:rPr>
      </w:pPr>
      <w:r>
        <w:rPr>
          <w:rFonts w:hint="eastAsia" w:ascii="仿宋_GB2312" w:hAnsi="仿宋_GB2312" w:eastAsia="仿宋_GB2312" w:cs="仿宋_GB2312"/>
          <w:snapToGrid w:val="0"/>
          <w:color w:val="auto"/>
          <w:spacing w:val="6"/>
          <w:kern w:val="32"/>
          <w:sz w:val="32"/>
          <w:szCs w:val="32"/>
          <w:lang w:bidi="zh-CN"/>
        </w:rPr>
        <w:t>中山市中等专业学校创办于1994年，1996通过省级重点中专评估，2000年成为国家级重点中专学校，2013年通过首批国家中等职业教育改革发展示范创建学校验收，是一所集学历教育、职业培训、成人教育、技能鉴定、技术服务为一体的现代化、综合性的中职学校。中山中专学前教育专业创办于1985年，是学校特色专业和中山市重点专业，是广东省教育厅第一批学前教育专业点予以备案的学校，是中山市唯一具备办学资格的学校。中山中专的学前教育专业的办学理念和教育质量得到社会的广泛认可，自开办以来招生规模稳定上升，学生稳定率高，毕业生供不应求，就业率100%。</w:t>
      </w:r>
    </w:p>
    <w:p w14:paraId="2E5532E1">
      <w:pPr>
        <w:overflowPunct w:val="0"/>
        <w:autoSpaceDE w:val="0"/>
        <w:autoSpaceDN w:val="0"/>
        <w:adjustRightInd w:val="0"/>
        <w:snapToGrid w:val="0"/>
        <w:spacing w:line="574" w:lineRule="exact"/>
        <w:ind w:firstLine="664" w:firstLineChars="200"/>
        <w:rPr>
          <w:rFonts w:hint="eastAsia" w:ascii="仿宋_GB2312" w:hAnsi="仿宋_GB2312" w:eastAsia="仿宋_GB2312" w:cs="仿宋_GB2312"/>
          <w:snapToGrid w:val="0"/>
          <w:color w:val="auto"/>
          <w:spacing w:val="6"/>
          <w:kern w:val="32"/>
          <w:sz w:val="32"/>
          <w:szCs w:val="32"/>
          <w:lang w:bidi="zh-CN"/>
        </w:rPr>
      </w:pPr>
      <w:r>
        <w:rPr>
          <w:rFonts w:hint="eastAsia" w:ascii="仿宋_GB2312" w:hAnsi="仿宋_GB2312" w:eastAsia="仿宋_GB2312" w:cs="仿宋_GB2312"/>
          <w:snapToGrid w:val="0"/>
          <w:color w:val="auto"/>
          <w:spacing w:val="6"/>
          <w:kern w:val="32"/>
          <w:sz w:val="32"/>
          <w:szCs w:val="32"/>
          <w:lang w:bidi="zh-CN"/>
        </w:rPr>
        <w:t>（三）人工智能技术供给方：北京师源教育科技有限公司</w:t>
      </w:r>
    </w:p>
    <w:p w14:paraId="088813E8">
      <w:pPr>
        <w:overflowPunct w:val="0"/>
        <w:autoSpaceDE w:val="0"/>
        <w:autoSpaceDN w:val="0"/>
        <w:adjustRightInd w:val="0"/>
        <w:snapToGrid w:val="0"/>
        <w:spacing w:line="574" w:lineRule="exact"/>
        <w:ind w:firstLine="664" w:firstLineChars="200"/>
        <w:rPr>
          <w:rFonts w:hint="eastAsia" w:ascii="仿宋_GB2312" w:hAnsi="仿宋_GB2312" w:eastAsia="仿宋_GB2312" w:cs="仿宋_GB2312"/>
          <w:snapToGrid w:val="0"/>
          <w:color w:val="auto"/>
          <w:spacing w:val="6"/>
          <w:kern w:val="32"/>
          <w:sz w:val="32"/>
          <w:szCs w:val="32"/>
          <w:lang w:bidi="zh-CN"/>
        </w:rPr>
      </w:pPr>
      <w:r>
        <w:rPr>
          <w:rFonts w:hint="eastAsia" w:ascii="仿宋_GB2312" w:hAnsi="仿宋_GB2312" w:eastAsia="仿宋_GB2312" w:cs="仿宋_GB2312"/>
          <w:snapToGrid w:val="0"/>
          <w:color w:val="auto"/>
          <w:spacing w:val="6"/>
          <w:kern w:val="32"/>
          <w:sz w:val="32"/>
          <w:szCs w:val="32"/>
          <w:lang w:bidi="zh-CN"/>
        </w:rPr>
        <w:t>供给企业简介：</w:t>
      </w:r>
    </w:p>
    <w:p w14:paraId="6A2D9494">
      <w:pPr>
        <w:overflowPunct w:val="0"/>
        <w:autoSpaceDE w:val="0"/>
        <w:autoSpaceDN w:val="0"/>
        <w:adjustRightInd w:val="0"/>
        <w:snapToGrid w:val="0"/>
        <w:spacing w:line="574" w:lineRule="exact"/>
        <w:ind w:firstLine="664" w:firstLineChars="200"/>
        <w:rPr>
          <w:rFonts w:hint="eastAsia" w:ascii="仿宋_GB2312" w:hAnsi="仿宋_GB2312" w:eastAsia="仿宋_GB2312" w:cs="仿宋_GB2312"/>
          <w:snapToGrid w:val="0"/>
          <w:color w:val="auto"/>
          <w:spacing w:val="6"/>
          <w:kern w:val="32"/>
          <w:sz w:val="32"/>
          <w:szCs w:val="32"/>
          <w:lang w:bidi="zh-CN"/>
        </w:rPr>
      </w:pPr>
      <w:r>
        <w:rPr>
          <w:rFonts w:hint="eastAsia" w:ascii="仿宋_GB2312" w:hAnsi="仿宋_GB2312" w:eastAsia="仿宋_GB2312" w:cs="仿宋_GB2312"/>
          <w:snapToGrid w:val="0"/>
          <w:color w:val="auto"/>
          <w:spacing w:val="6"/>
          <w:kern w:val="32"/>
          <w:sz w:val="32"/>
          <w:szCs w:val="32"/>
          <w:lang w:bidi="zh-CN"/>
        </w:rPr>
        <w:t>北京师源教育科技有限公司是一家专注于学前教育领域教育信息化产品研发的高科技企业。公司致力于将虚拟仿真、人工智能、大数据等前沿技术与学前教育深度融合，开发出多款适用于职业院校、托幼机构的教学与竞赛辅助平台。公司产品已在全国多所中职、高职院校及托幼机构中广泛应用，助力提升学前教育专业人才培养质量。</w:t>
      </w:r>
    </w:p>
    <w:p w14:paraId="245F9ED7">
      <w:pPr>
        <w:snapToGrid w:val="0"/>
        <w:spacing w:line="560" w:lineRule="exact"/>
        <w:ind w:firstLine="640"/>
        <w:rPr>
          <w:rFonts w:hint="eastAsia" w:ascii="黑体" w:hAnsi="黑体" w:eastAsia="黑体" w:cs="黑体"/>
          <w:color w:val="auto"/>
          <w:sz w:val="32"/>
          <w:szCs w:val="32"/>
          <w:shd w:val="clear" w:color="auto" w:fill="FFFFFF"/>
        </w:rPr>
      </w:pPr>
      <w:r>
        <w:rPr>
          <w:rFonts w:hint="eastAsia" w:ascii="黑体" w:hAnsi="黑体" w:eastAsia="黑体" w:cs="黑体"/>
          <w:color w:val="auto"/>
          <w:sz w:val="32"/>
          <w:szCs w:val="32"/>
          <w:shd w:val="clear" w:color="auto" w:fill="FFFFFF"/>
        </w:rPr>
        <w:t>二、案例内容介绍</w:t>
      </w:r>
    </w:p>
    <w:p w14:paraId="5CC2EADF">
      <w:pPr>
        <w:snapToGrid w:val="0"/>
        <w:spacing w:line="560" w:lineRule="exact"/>
        <w:ind w:firstLine="640"/>
        <w:rPr>
          <w:rFonts w:hint="eastAsia" w:ascii="楷体_GB2312" w:hAnsi="楷体_GB2312" w:eastAsia="楷体_GB2312" w:cs="楷体_GB2312"/>
          <w:color w:val="auto"/>
          <w:sz w:val="32"/>
          <w:szCs w:val="32"/>
          <w:shd w:val="clear" w:color="auto" w:fill="FFFFFF"/>
        </w:rPr>
      </w:pPr>
      <w:r>
        <w:rPr>
          <w:rFonts w:hint="eastAsia" w:ascii="楷体_GB2312" w:hAnsi="楷体_GB2312" w:eastAsia="楷体_GB2312" w:cs="楷体_GB2312"/>
          <w:color w:val="auto"/>
          <w:sz w:val="32"/>
          <w:szCs w:val="32"/>
          <w:shd w:val="clear" w:color="auto" w:fill="FFFFFF"/>
        </w:rPr>
        <w:t>（一）包括案例背景、采用的人工智能关键技术、所实现的功能和亮点优势</w:t>
      </w:r>
    </w:p>
    <w:p w14:paraId="55F81007">
      <w:pPr>
        <w:overflowPunct w:val="0"/>
        <w:autoSpaceDE w:val="0"/>
        <w:autoSpaceDN w:val="0"/>
        <w:adjustRightInd w:val="0"/>
        <w:snapToGrid w:val="0"/>
        <w:spacing w:line="574" w:lineRule="exact"/>
        <w:ind w:firstLine="664" w:firstLineChars="200"/>
        <w:rPr>
          <w:rFonts w:hint="eastAsia" w:ascii="仿宋_GB2312" w:hAnsi="仿宋_GB2312" w:eastAsia="仿宋_GB2312" w:cs="仿宋_GB2312"/>
          <w:snapToGrid w:val="0"/>
          <w:color w:val="auto"/>
          <w:spacing w:val="6"/>
          <w:kern w:val="32"/>
          <w:sz w:val="32"/>
          <w:szCs w:val="32"/>
          <w:lang w:bidi="zh-CN"/>
        </w:rPr>
      </w:pPr>
      <w:r>
        <w:rPr>
          <w:rFonts w:hint="eastAsia" w:ascii="仿宋_GB2312" w:hAnsi="仿宋_GB2312" w:eastAsia="仿宋_GB2312" w:cs="仿宋_GB2312"/>
          <w:snapToGrid w:val="0"/>
          <w:color w:val="auto"/>
          <w:spacing w:val="6"/>
          <w:kern w:val="32"/>
          <w:sz w:val="32"/>
          <w:szCs w:val="32"/>
          <w:lang w:bidi="zh-CN"/>
        </w:rPr>
        <w:t>随着学前教育专业人才培养标准的不断提升，传统教学模式难以满足技能大赛及实际岗位能力培养的需求。本案例围绕“中职幼儿保育专业技能大赛”及“幼儿园教育环境创设”等实训课程，构建了基于Unity3D引擎、SpringBoot、Vue等主流技术的虚拟仿真教学与实训平台。平台采用人工智能技术实现智能组卷、错题分析、个性化推荐、模拟评分等功能，支持PC端与VR设备（如PICO眼镜）交互操作。平台涵盖职业素养测评、保育技能实操、教育活动设计、托幼机构环境创设等四大模块，提供微课讲解、专家点评、3D模拟考场、随机/统一考试、成绩图表分析等功能。亮点在于高度还原竞赛流程与真实工作场景，支持沉浸式、交互式学习，提升学生实操能力与大赛适应能力。</w:t>
      </w:r>
    </w:p>
    <w:p w14:paraId="6F998F00">
      <w:pPr>
        <w:snapToGrid w:val="0"/>
        <w:spacing w:line="560" w:lineRule="exact"/>
        <w:ind w:firstLine="640"/>
        <w:rPr>
          <w:rFonts w:hint="eastAsia" w:ascii="楷体_GB2312" w:hAnsi="楷体_GB2312" w:eastAsia="楷体_GB2312" w:cs="楷体_GB2312"/>
          <w:color w:val="auto"/>
          <w:sz w:val="32"/>
          <w:szCs w:val="32"/>
          <w:shd w:val="clear" w:color="auto" w:fill="FFFFFF"/>
        </w:rPr>
      </w:pPr>
      <w:r>
        <w:rPr>
          <w:rFonts w:hint="eastAsia" w:ascii="楷体_GB2312" w:hAnsi="楷体_GB2312" w:eastAsia="楷体_GB2312" w:cs="楷体_GB2312"/>
          <w:color w:val="auto"/>
          <w:sz w:val="32"/>
          <w:szCs w:val="32"/>
          <w:shd w:val="clear" w:color="auto" w:fill="FFFFFF"/>
        </w:rPr>
        <w:t>（二）具体应用成效。</w:t>
      </w:r>
    </w:p>
    <w:p w14:paraId="6044BD89">
      <w:pPr>
        <w:overflowPunct w:val="0"/>
        <w:autoSpaceDE w:val="0"/>
        <w:autoSpaceDN w:val="0"/>
        <w:adjustRightInd w:val="0"/>
        <w:snapToGrid w:val="0"/>
        <w:spacing w:line="574" w:lineRule="exact"/>
        <w:ind w:firstLine="664" w:firstLineChars="200"/>
        <w:rPr>
          <w:rFonts w:hint="eastAsia" w:ascii="仿宋_GB2312" w:hAnsi="仿宋_GB2312" w:eastAsia="仿宋_GB2312" w:cs="仿宋_GB2312"/>
          <w:snapToGrid w:val="0"/>
          <w:color w:val="auto"/>
          <w:spacing w:val="6"/>
          <w:kern w:val="32"/>
          <w:sz w:val="32"/>
          <w:szCs w:val="32"/>
          <w:lang w:bidi="zh-CN"/>
        </w:rPr>
      </w:pPr>
      <w:r>
        <w:rPr>
          <w:rFonts w:hint="eastAsia" w:ascii="仿宋_GB2312" w:hAnsi="仿宋_GB2312" w:eastAsia="仿宋_GB2312" w:cs="仿宋_GB2312"/>
          <w:snapToGrid w:val="0"/>
          <w:color w:val="auto"/>
          <w:spacing w:val="6"/>
          <w:kern w:val="32"/>
          <w:sz w:val="32"/>
          <w:szCs w:val="32"/>
          <w:lang w:bidi="zh-CN"/>
        </w:rPr>
        <w:t>平台投入使用后，实训课程与竞赛训练实现全流程数字化。在《幼儿园教育环境创设》课程中，学生利用虚拟仿真模块进行区域布置、玩教具摆放等操作，从原先“纸上设计”变为“3D实操”。在保育技能大赛备赛中，平台内置近三年省赛真题与模拟题，支持智能组卷与随机抽题，学生人均练习次数从每日2次增至4次。通过AI错题分析，系统自动生成每位学生的薄弱知识点报告，教师据此开展分组强化训练，使学生在“幼儿意外伤害处理”“餐前消毒”等高频失分项上的正确率大幅提升。2023年省赛前，平台模拟考场功能被用于4轮全真演练，参赛学生赛场失误率降低40%。近两年，本校在幼儿保育赛项中连续获省一等奖，并培养出7名“保教技术能手”。</w:t>
      </w:r>
    </w:p>
    <w:p w14:paraId="6B682D16">
      <w:pPr>
        <w:snapToGrid w:val="0"/>
        <w:spacing w:line="560" w:lineRule="exact"/>
        <w:ind w:firstLine="640"/>
        <w:rPr>
          <w:rFonts w:hint="eastAsia" w:ascii="黑体" w:hAnsi="黑体" w:eastAsia="黑体" w:cs="黑体"/>
          <w:color w:val="auto"/>
          <w:sz w:val="32"/>
          <w:szCs w:val="32"/>
          <w:shd w:val="clear" w:color="auto" w:fill="FFFFFF"/>
        </w:rPr>
      </w:pPr>
      <w:r>
        <w:rPr>
          <w:rFonts w:hint="eastAsia" w:ascii="黑体" w:hAnsi="黑体" w:eastAsia="黑体" w:cs="黑体"/>
          <w:color w:val="auto"/>
          <w:sz w:val="32"/>
          <w:szCs w:val="32"/>
          <w:shd w:val="clear" w:color="auto" w:fill="FFFFFF"/>
        </w:rPr>
        <w:t>三、案例所获得荣誉、复制推广情况等</w:t>
      </w:r>
    </w:p>
    <w:p w14:paraId="16E3BD6B">
      <w:pPr>
        <w:overflowPunct w:val="0"/>
        <w:autoSpaceDE w:val="0"/>
        <w:autoSpaceDN w:val="0"/>
        <w:adjustRightInd w:val="0"/>
        <w:snapToGrid w:val="0"/>
        <w:spacing w:line="574" w:lineRule="exact"/>
        <w:ind w:firstLine="664" w:firstLineChars="200"/>
        <w:rPr>
          <w:rFonts w:hint="eastAsia" w:ascii="仿宋_GB2312" w:hAnsi="仿宋_GB2312" w:eastAsia="仿宋_GB2312" w:cs="仿宋_GB2312"/>
          <w:snapToGrid w:val="0"/>
          <w:color w:val="auto"/>
          <w:spacing w:val="6"/>
          <w:kern w:val="32"/>
          <w:sz w:val="32"/>
          <w:szCs w:val="32"/>
          <w:lang w:bidi="zh-CN"/>
        </w:rPr>
      </w:pPr>
      <w:r>
        <w:rPr>
          <w:rFonts w:hint="eastAsia" w:ascii="仿宋_GB2312" w:hAnsi="仿宋_GB2312" w:eastAsia="仿宋_GB2312" w:cs="仿宋_GB2312"/>
          <w:snapToGrid w:val="0"/>
          <w:color w:val="auto"/>
          <w:spacing w:val="6"/>
          <w:kern w:val="32"/>
          <w:sz w:val="32"/>
          <w:szCs w:val="32"/>
          <w:lang w:bidi="zh-CN"/>
        </w:rPr>
        <w:t>平台已在我校幼儿保育专业3个年级、12个班级的《幼儿园教育环境创设》《保育技能综合实训》等课程及母婴照护、婴幼儿保育赛项中常态化使用，覆盖学生600余人。依托平台，我校连续三年获广东省婴幼儿托育赛项一等奖，母婴照护赛项获省一、二等奖，金砖国家婴儿回应性照护赛项三等奖。团队成员撰写的论文《数智时代视域下中职婴幼儿托育专业新质课堂的构建探索》获中山市职教论文三等奖。建立“竞赛梯队+日常实训”双轨培养模式，连续三年包揽省赛婴幼儿保育第一名。通过市级教研活动、公开课向市内4所中职学校分享经验，并接待3批次兄弟院校来访交流，形成了可复制推广的校内应用模式。</w:t>
      </w:r>
    </w:p>
    <w:p w14:paraId="5BC3F1B6">
      <w:pPr>
        <w:snapToGrid w:val="0"/>
        <w:spacing w:line="560" w:lineRule="exact"/>
        <w:ind w:firstLine="640"/>
        <w:rPr>
          <w:rFonts w:hint="eastAsia" w:ascii="仿宋_GB2312" w:hAnsi="仿宋_GB2312" w:eastAsia="仿宋_GB2312" w:cs="仿宋_GB2312"/>
          <w:b/>
          <w:bCs/>
          <w:color w:val="auto"/>
          <w:sz w:val="32"/>
          <w:szCs w:val="32"/>
          <w:shd w:val="clear" w:color="auto" w:fill="FFFFFF"/>
        </w:rPr>
      </w:pPr>
    </w:p>
    <w:p w14:paraId="0B7ACEA7">
      <w:pPr>
        <w:snapToGrid w:val="0"/>
        <w:spacing w:line="560" w:lineRule="exact"/>
        <w:ind w:firstLine="640"/>
        <w:rPr>
          <w:rFonts w:hint="eastAsia" w:ascii="仿宋_GB2312" w:hAnsi="仿宋_GB2312" w:eastAsia="仿宋_GB2312" w:cs="仿宋_GB2312"/>
          <w:b/>
          <w:bCs/>
          <w:color w:val="auto"/>
          <w:sz w:val="32"/>
          <w:szCs w:val="32"/>
          <w:shd w:val="clear" w:color="auto" w:fill="FFFFFF"/>
        </w:rPr>
      </w:pPr>
    </w:p>
    <w:p w14:paraId="7E127CBC">
      <w:pPr>
        <w:snapToGrid w:val="0"/>
        <w:spacing w:line="560" w:lineRule="exact"/>
        <w:ind w:firstLine="640"/>
        <w:rPr>
          <w:rFonts w:hint="eastAsia" w:ascii="仿宋_GB2312" w:hAnsi="仿宋_GB2312" w:eastAsia="仿宋_GB2312" w:cs="仿宋_GB2312"/>
          <w:b/>
          <w:bCs/>
          <w:color w:val="auto"/>
          <w:sz w:val="32"/>
          <w:szCs w:val="32"/>
          <w:shd w:val="clear" w:color="auto" w:fill="FFFFFF"/>
        </w:rPr>
      </w:pPr>
      <w:r>
        <w:rPr>
          <w:rFonts w:hint="eastAsia" w:ascii="仿宋_GB2312" w:hAnsi="仿宋_GB2312" w:eastAsia="仿宋_GB2312" w:cs="仿宋_GB2312"/>
          <w:b/>
          <w:bCs/>
          <w:color w:val="auto"/>
          <w:sz w:val="32"/>
          <w:szCs w:val="32"/>
          <w:shd w:val="clear" w:color="auto" w:fill="FFFFFF"/>
        </w:rPr>
        <w:pict>
          <v:shape id="_x0000_s1040" o:spid="_x0000_s1040" o:spt="75" alt="1002dd0aae209ee3f56eb568de7a9106" type="#_x0000_t75" style="position:absolute;left:0pt;margin-left:-6.15pt;margin-top:5.15pt;height:255.1pt;width:438.5pt;z-index:251672576;mso-width-relative:page;mso-height-relative:page;" filled="f" o:preferrelative="t" stroked="f" coordsize="21600,21600">
            <v:path/>
            <v:fill on="f" focussize="0,0"/>
            <v:stroke on="f" joinstyle="miter"/>
            <v:imagedata r:id="rId52" croptop="-54f" cropright="-150f" o:title="1002dd0aae209ee3f56eb568de7a9106"/>
            <o:lock v:ext="edit" aspectratio="t"/>
          </v:shape>
        </w:pict>
      </w:r>
    </w:p>
    <w:p w14:paraId="307B0D02">
      <w:pPr>
        <w:snapToGrid w:val="0"/>
        <w:spacing w:line="560" w:lineRule="exact"/>
        <w:ind w:firstLine="640"/>
        <w:rPr>
          <w:rFonts w:hint="eastAsia" w:ascii="仿宋_GB2312" w:hAnsi="仿宋_GB2312" w:eastAsia="仿宋_GB2312" w:cs="仿宋_GB2312"/>
          <w:b/>
          <w:bCs/>
          <w:color w:val="auto"/>
          <w:sz w:val="32"/>
          <w:szCs w:val="32"/>
          <w:shd w:val="clear" w:color="auto" w:fill="FFFFFF"/>
        </w:rPr>
      </w:pPr>
    </w:p>
    <w:p w14:paraId="2219C7FC">
      <w:pPr>
        <w:snapToGrid w:val="0"/>
        <w:spacing w:line="560" w:lineRule="exact"/>
        <w:ind w:firstLine="640"/>
        <w:rPr>
          <w:rFonts w:hint="eastAsia" w:ascii="仿宋_GB2312" w:hAnsi="仿宋_GB2312" w:eastAsia="仿宋_GB2312" w:cs="仿宋_GB2312"/>
          <w:b/>
          <w:bCs/>
          <w:color w:val="auto"/>
          <w:sz w:val="32"/>
          <w:szCs w:val="32"/>
          <w:shd w:val="clear" w:color="auto" w:fill="FFFFFF"/>
        </w:rPr>
      </w:pPr>
    </w:p>
    <w:p w14:paraId="01F4341A">
      <w:pPr>
        <w:snapToGrid w:val="0"/>
        <w:spacing w:line="560" w:lineRule="exact"/>
        <w:rPr>
          <w:rFonts w:hint="eastAsia" w:ascii="仿宋_GB2312" w:hAnsi="仿宋_GB2312" w:eastAsia="仿宋_GB2312" w:cs="仿宋_GB2312"/>
          <w:b/>
          <w:bCs/>
          <w:color w:val="auto"/>
          <w:sz w:val="32"/>
          <w:szCs w:val="32"/>
          <w:shd w:val="clear" w:color="auto" w:fill="FFFFFF"/>
        </w:rPr>
      </w:pPr>
    </w:p>
    <w:p w14:paraId="2DBE0A87">
      <w:pPr>
        <w:snapToGrid w:val="0"/>
        <w:spacing w:line="560" w:lineRule="exact"/>
        <w:ind w:firstLine="640"/>
        <w:rPr>
          <w:rFonts w:ascii="仿宋_GB2312" w:hAnsi="仿宋_GB2312" w:eastAsia="仿宋_GB2312" w:cs="仿宋_GB2312"/>
          <w:b/>
          <w:bCs/>
          <w:color w:val="auto"/>
          <w:sz w:val="32"/>
          <w:szCs w:val="32"/>
          <w:shd w:val="clear" w:color="auto" w:fill="FFFFFF"/>
        </w:rPr>
      </w:pPr>
      <w:r>
        <w:rPr>
          <w:rFonts w:ascii="仿宋_GB2312" w:hAnsi="仿宋_GB2312" w:eastAsia="仿宋_GB2312" w:cs="仿宋_GB2312"/>
          <w:b/>
          <w:bCs/>
          <w:color w:val="auto"/>
          <w:sz w:val="32"/>
          <w:szCs w:val="32"/>
          <w:shd w:val="clear" w:color="auto" w:fill="FFFFFF"/>
        </w:rPr>
        <w:pict>
          <v:shape id="_x0000_s1042" o:spid="_x0000_s1042" o:spt="75" alt="微信图片_20260508165032_3272_20" type="#_x0000_t75" style="position:absolute;left:0pt;margin-left:9.5pt;margin-top:24.6pt;height:361.2pt;width:414.75pt;z-index:251673600;mso-width-relative:page;mso-height-relative:page;" filled="f" o:preferrelative="t" stroked="f" coordsize="21600,21600">
            <v:path/>
            <v:fill on="f" focussize="0,0"/>
            <v:stroke on="f" joinstyle="miter"/>
            <v:imagedata r:id="rId53" o:title="微信图片_20260508165032_3272_20"/>
            <o:lock v:ext="edit" aspectratio="t"/>
          </v:shape>
        </w:pict>
      </w:r>
    </w:p>
    <w:p w14:paraId="1E247E2A">
      <w:pPr>
        <w:snapToGrid w:val="0"/>
        <w:spacing w:line="560" w:lineRule="exact"/>
        <w:ind w:firstLine="640"/>
        <w:rPr>
          <w:rFonts w:ascii="仿宋_GB2312" w:hAnsi="仿宋_GB2312" w:eastAsia="仿宋_GB2312" w:cs="仿宋_GB2312"/>
          <w:b/>
          <w:bCs/>
          <w:color w:val="auto"/>
          <w:sz w:val="32"/>
          <w:szCs w:val="32"/>
          <w:shd w:val="clear" w:color="auto" w:fill="FFFFFF"/>
        </w:rPr>
      </w:pPr>
    </w:p>
    <w:p w14:paraId="19203DF3">
      <w:pPr>
        <w:spacing w:after="40"/>
        <w:jc w:val="left"/>
        <w:rPr>
          <w:rFonts w:ascii="楷体" w:hAnsi="楷体" w:eastAsia="楷体"/>
          <w:color w:val="auto"/>
          <w:sz w:val="22"/>
        </w:rPr>
      </w:pPr>
    </w:p>
    <w:p w14:paraId="20FE0B7F">
      <w:pPr>
        <w:pStyle w:val="12"/>
        <w:pageBreakBefore/>
        <w:rPr>
          <w:color w:val="auto"/>
        </w:rPr>
      </w:pPr>
      <w:bookmarkStart w:id="24" w:name="_Toc7930"/>
      <w:r>
        <w:rPr>
          <w:color w:val="auto"/>
        </w:rPr>
        <w:t>案例 10　驿小递——社区末端低成本ROS智能配送机器人解决方案</w:t>
      </w:r>
      <w:bookmarkEnd w:id="24"/>
    </w:p>
    <w:p w14:paraId="57D64047">
      <w:pPr>
        <w:spacing w:after="40"/>
        <w:jc w:val="left"/>
        <w:rPr>
          <w:rFonts w:ascii="楷体" w:hAnsi="楷体" w:eastAsia="楷体"/>
          <w:color w:val="auto"/>
          <w:sz w:val="22"/>
        </w:rPr>
      </w:pPr>
      <w:r>
        <w:rPr>
          <w:rFonts w:ascii="楷体" w:hAnsi="楷体" w:eastAsia="楷体"/>
          <w:color w:val="auto"/>
          <w:sz w:val="22"/>
        </w:rPr>
        <w:t>申报单位：中山市火炬科学技术学校</w:t>
      </w:r>
    </w:p>
    <w:p w14:paraId="674ED666">
      <w:pPr>
        <w:snapToGrid w:val="0"/>
        <w:spacing w:line="560" w:lineRule="exact"/>
        <w:rPr>
          <w:rFonts w:hint="eastAsia" w:ascii="仿宋_GB2312" w:hAnsi="仿宋_GB2312" w:eastAsia="仿宋_GB2312" w:cs="仿宋_GB2312"/>
          <w:color w:val="auto"/>
          <w:sz w:val="32"/>
          <w:szCs w:val="32"/>
          <w:shd w:val="clear" w:color="auto" w:fill="FFFFFF"/>
        </w:rPr>
      </w:pPr>
    </w:p>
    <w:p w14:paraId="2E9C9776">
      <w:pPr>
        <w:snapToGrid w:val="0"/>
        <w:spacing w:line="560" w:lineRule="exact"/>
        <w:ind w:firstLine="640"/>
        <w:rPr>
          <w:rFonts w:hint="eastAsia" w:ascii="黑体" w:hAnsi="黑体" w:eastAsia="黑体" w:cs="黑体"/>
          <w:color w:val="auto"/>
          <w:sz w:val="32"/>
          <w:szCs w:val="32"/>
          <w:shd w:val="clear" w:color="auto" w:fill="FFFFFF"/>
        </w:rPr>
      </w:pPr>
      <w:r>
        <w:rPr>
          <w:rFonts w:hint="eastAsia" w:ascii="黑体" w:hAnsi="黑体" w:eastAsia="黑体" w:cs="黑体"/>
          <w:color w:val="auto"/>
          <w:sz w:val="32"/>
          <w:szCs w:val="32"/>
          <w:shd w:val="clear" w:color="auto" w:fill="FFFFFF"/>
        </w:rPr>
        <w:t>一、案例基本情况</w:t>
      </w:r>
    </w:p>
    <w:p w14:paraId="44209D33">
      <w:pPr>
        <w:snapToGrid w:val="0"/>
        <w:spacing w:line="560" w:lineRule="exact"/>
        <w:ind w:firstLine="640"/>
        <w:rPr>
          <w:rFonts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（一）案例名称：驿小递——社区末端低成本ROS智能配送机器人解决方案的方案。</w:t>
      </w:r>
    </w:p>
    <w:p w14:paraId="2B5DA04F">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（二）人工智能技术应用方：中山市火炬科学技术学校。</w:t>
      </w:r>
    </w:p>
    <w:p w14:paraId="0C155443">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应用企业简介：本驿站位于中山市火炬区东利社区学校内，日均处理快递约600件，高峰期超3000件。服务覆盖周边300户居民，长期面临取件排队、大件搬运难、人力成本高等问题。企业致力于通过智能化手段提升服务效率与用户体验，降低运营成本，积极响应中山市“人工智能+”产业创新发展政策。</w:t>
      </w:r>
    </w:p>
    <w:p w14:paraId="7C7BCFF1">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（三）人工智能技术供给方：</w:t>
      </w:r>
      <w:r>
        <w:rPr>
          <w:rFonts w:hint="eastAsia" w:ascii="仿宋_GB2312" w:hAnsi="仿宋_GB2312" w:eastAsia="仿宋_GB2312" w:cs="仿宋_GB2312"/>
          <w:color w:val="auto"/>
          <w:sz w:val="32"/>
          <w:szCs w:val="32"/>
          <w:shd w:val="clear" w:color="auto" w:fill="FFFFFF"/>
          <w:lang w:val="en-US" w:eastAsia="zh-CN"/>
        </w:rPr>
        <w:t>学校创新工作室自研</w:t>
      </w:r>
      <w:r>
        <w:rPr>
          <w:rFonts w:hint="eastAsia" w:ascii="仿宋_GB2312" w:hAnsi="仿宋_GB2312" w:eastAsia="仿宋_GB2312" w:cs="仿宋_GB2312"/>
          <w:color w:val="auto"/>
          <w:sz w:val="32"/>
          <w:szCs w:val="32"/>
          <w:shd w:val="clear" w:color="auto" w:fill="FFFFFF"/>
        </w:rPr>
        <w:t>。</w:t>
      </w:r>
    </w:p>
    <w:p w14:paraId="3DEE96BE">
      <w:pPr>
        <w:snapToGrid w:val="0"/>
        <w:spacing w:line="560" w:lineRule="exact"/>
        <w:ind w:firstLine="640"/>
        <w:rPr>
          <w:rFonts w:ascii="Segoe UI" w:hAnsi="Segoe UI" w:eastAsia="Segoe UI" w:cs="Segoe UI"/>
          <w:color w:val="auto"/>
          <w:sz w:val="24"/>
          <w:szCs w:val="24"/>
          <w:shd w:val="clear" w:color="auto" w:fill="FFFFFF"/>
        </w:rPr>
      </w:pPr>
      <w:r>
        <w:rPr>
          <w:rFonts w:hint="eastAsia" w:ascii="仿宋_GB2312" w:hAnsi="仿宋_GB2312" w:eastAsia="仿宋_GB2312" w:cs="仿宋_GB2312"/>
          <w:b/>
          <w:bCs/>
          <w:color w:val="auto"/>
          <w:sz w:val="32"/>
          <w:szCs w:val="32"/>
          <w:shd w:val="clear" w:color="auto" w:fill="FFFFFF"/>
        </w:rPr>
        <w:t>供给企业简介：</w:t>
      </w:r>
    </w:p>
    <w:p w14:paraId="112E5EDE">
      <w:pPr>
        <w:snapToGrid w:val="0"/>
        <w:spacing w:line="560" w:lineRule="exact"/>
        <w:ind w:firstLine="640"/>
        <w:rPr>
          <w:rFonts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本校创新工作室专注于低成本移动机器人及末端智慧物流解决方案，掌握SLAM导航、轻量化视觉识别、ROS系统集成等核心技术。团队针对社区驿站取件痛点，研发出“驿小递”低成本ROS智能配送机器人，整机硬件成本控制在1.5万元以内，旨在为中小型驿站提供高性价比的自动化升级方案。</w:t>
      </w:r>
    </w:p>
    <w:p w14:paraId="3E5E5E33">
      <w:pPr>
        <w:snapToGrid w:val="0"/>
        <w:spacing w:line="560" w:lineRule="exact"/>
        <w:ind w:firstLine="640"/>
        <w:rPr>
          <w:rFonts w:hint="eastAsia" w:ascii="黑体" w:hAnsi="黑体" w:eastAsia="黑体" w:cs="黑体"/>
          <w:color w:val="auto"/>
          <w:sz w:val="32"/>
          <w:szCs w:val="32"/>
          <w:shd w:val="clear" w:color="auto" w:fill="FFFFFF"/>
        </w:rPr>
      </w:pPr>
      <w:r>
        <w:rPr>
          <w:rFonts w:hint="eastAsia" w:ascii="黑体" w:hAnsi="黑体" w:eastAsia="黑体" w:cs="黑体"/>
          <w:color w:val="auto"/>
          <w:sz w:val="32"/>
          <w:szCs w:val="32"/>
          <w:shd w:val="clear" w:color="auto" w:fill="FFFFFF"/>
        </w:rPr>
        <w:t>二、案例内容介绍</w:t>
      </w:r>
    </w:p>
    <w:p w14:paraId="272FD9B8">
      <w:pPr>
        <w:snapToGrid w:val="0"/>
        <w:spacing w:line="560" w:lineRule="exact"/>
        <w:ind w:firstLine="640"/>
        <w:rPr>
          <w:rFonts w:hint="eastAsia" w:ascii="楷体_GB2312" w:hAnsi="楷体_GB2312" w:eastAsia="楷体_GB2312" w:cs="楷体_GB2312"/>
          <w:color w:val="auto"/>
          <w:sz w:val="32"/>
          <w:szCs w:val="32"/>
          <w:shd w:val="clear" w:color="auto" w:fill="FFFFFF"/>
        </w:rPr>
      </w:pPr>
      <w:r>
        <w:rPr>
          <w:rFonts w:hint="eastAsia" w:ascii="楷体_GB2312" w:hAnsi="楷体_GB2312" w:eastAsia="楷体_GB2312" w:cs="楷体_GB2312"/>
          <w:color w:val="auto"/>
          <w:sz w:val="32"/>
          <w:szCs w:val="32"/>
          <w:shd w:val="clear" w:color="auto" w:fill="FFFFFF"/>
        </w:rPr>
        <w:t>（一）包括案例背景、采用的人工智能关键技术、所实现的功能和亮点优势</w:t>
      </w:r>
    </w:p>
    <w:p w14:paraId="1E10B82C">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ascii="仿宋_GB2312" w:hAnsi="仿宋_GB2312" w:eastAsia="仿宋_GB2312" w:cs="仿宋_GB2312"/>
          <w:color w:val="auto"/>
          <w:sz w:val="32"/>
          <w:szCs w:val="32"/>
          <w:shd w:val="clear" w:color="auto" w:fill="FFFFFF"/>
        </w:rPr>
        <w:t>案例背景：快递量激增与人力成本上涨导致驿站运营压力大，用户取件需排队、找货架、人工扫码，耗时费力，尤其大件搬运困难。</w:t>
      </w:r>
    </w:p>
    <w:p w14:paraId="04B81DD8">
      <w:pPr>
        <w:snapToGrid w:val="0"/>
        <w:spacing w:line="560" w:lineRule="exact"/>
        <w:ind w:firstLine="640"/>
        <w:rPr>
          <w:rFonts w:ascii="仿宋_GB2312" w:hAnsi="仿宋_GB2312" w:eastAsia="仿宋_GB2312" w:cs="仿宋_GB2312"/>
          <w:color w:val="auto"/>
          <w:sz w:val="32"/>
          <w:szCs w:val="32"/>
          <w:shd w:val="clear" w:color="auto" w:fill="FFFFFF"/>
        </w:rPr>
      </w:pPr>
      <w:r>
        <w:rPr>
          <w:rFonts w:ascii="仿宋_GB2312" w:hAnsi="仿宋_GB2312" w:eastAsia="仿宋_GB2312" w:cs="仿宋_GB2312"/>
          <w:color w:val="auto"/>
          <w:sz w:val="32"/>
          <w:szCs w:val="32"/>
          <w:shd w:val="clear" w:color="auto" w:fill="FFFFFF"/>
        </w:rPr>
        <w:t>关键技术：采用单线激光雷达+RGB-D深度相机的低成本SLAM融合导航，基于ROS 2模块化架构；部署YOLOv8轻量化模型实现快递面单及验证码实时识别，推理速度30FPS；验证码+视觉双重校验确保交付零差错。</w:t>
      </w:r>
    </w:p>
    <w:p w14:paraId="44ABEE89">
      <w:pPr>
        <w:snapToGrid w:val="0"/>
        <w:spacing w:line="560" w:lineRule="exact"/>
        <w:ind w:firstLine="640"/>
        <w:rPr>
          <w:rFonts w:ascii="仿宋_GB2312" w:hAnsi="仿宋_GB2312" w:eastAsia="仿宋_GB2312" w:cs="仿宋_GB2312"/>
          <w:color w:val="auto"/>
          <w:sz w:val="32"/>
          <w:szCs w:val="32"/>
          <w:shd w:val="clear" w:color="auto" w:fill="FFFFFF"/>
        </w:rPr>
      </w:pPr>
      <w:r>
        <w:rPr>
          <w:rFonts w:ascii="仿宋_GB2312" w:hAnsi="仿宋_GB2312" w:eastAsia="仿宋_GB2312" w:cs="仿宋_GB2312"/>
          <w:color w:val="auto"/>
          <w:sz w:val="32"/>
          <w:szCs w:val="32"/>
          <w:shd w:val="clear" w:color="auto" w:fill="FFFFFF"/>
        </w:rPr>
        <w:t>功能和亮点：用户输入取件码，机器人自动导航至目标货架，夹取快递并运送至指定交接口。整机成本仅1.5万元（工业AGV的1/5），定位精度±5cm，动态避障通过率&gt;95%。实现末端快递“最后100米”无人化交付。</w:t>
      </w:r>
    </w:p>
    <w:p w14:paraId="223B5B4C">
      <w:pPr>
        <w:snapToGrid w:val="0"/>
        <w:spacing w:line="560" w:lineRule="exact"/>
        <w:ind w:firstLine="640" w:firstLineChars="200"/>
        <w:rPr>
          <w:rFonts w:hint="eastAsia" w:ascii="楷体_GB2312" w:hAnsi="楷体_GB2312" w:eastAsia="楷体_GB2312" w:cs="楷体_GB2312"/>
          <w:color w:val="auto"/>
          <w:sz w:val="32"/>
          <w:szCs w:val="32"/>
          <w:shd w:val="clear" w:color="auto" w:fill="FFFFFF"/>
        </w:rPr>
      </w:pPr>
      <w:r>
        <w:rPr>
          <w:rFonts w:hint="eastAsia" w:ascii="楷体_GB2312" w:hAnsi="楷体_GB2312" w:eastAsia="楷体_GB2312" w:cs="楷体_GB2312"/>
          <w:color w:val="auto"/>
          <w:sz w:val="32"/>
          <w:szCs w:val="32"/>
          <w:shd w:val="clear" w:color="auto" w:fill="FFFFFF"/>
        </w:rPr>
        <w:t>（二）具体应用成效。</w:t>
      </w:r>
    </w:p>
    <w:p w14:paraId="444B4B6E">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人力成本降低50%：原需2人负责找货与出库，现仅需1人处理异常，机器人承担主要搬运。</w:t>
      </w:r>
    </w:p>
    <w:p w14:paraId="1A2B27B1">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取件效率提升60%：用户从输入验证码到收到快递，平均耗时从5分钟缩短至1.5分钟。</w:t>
      </w:r>
    </w:p>
    <w:p w14:paraId="3BE0A111">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用户满意度提升：解决大件搬运难题，高峰期排队拥堵时长降低70%。</w:t>
      </w:r>
    </w:p>
    <w:p w14:paraId="0E8E75A9">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错误率归零：机器人基于双校验实现零错拿，优于人工约1%的错拿率。</w:t>
      </w:r>
    </w:p>
    <w:p w14:paraId="375C8857">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空间利用率优化：机器人适配0.6米窄通道，仓库存储能力提升20%。</w:t>
      </w:r>
    </w:p>
    <w:p w14:paraId="7502BE18">
      <w:pPr>
        <w:snapToGrid w:val="0"/>
        <w:spacing w:line="560" w:lineRule="exact"/>
        <w:ind w:firstLine="640"/>
        <w:rPr>
          <w:rFonts w:hint="eastAsia" w:ascii="黑体" w:hAnsi="黑体" w:eastAsia="黑体" w:cs="黑体"/>
          <w:color w:val="auto"/>
          <w:sz w:val="32"/>
          <w:szCs w:val="32"/>
          <w:shd w:val="clear" w:color="auto" w:fill="FFFFFF"/>
        </w:rPr>
      </w:pPr>
      <w:r>
        <w:rPr>
          <w:rFonts w:hint="eastAsia" w:ascii="黑体" w:hAnsi="黑体" w:eastAsia="黑体" w:cs="黑体"/>
          <w:color w:val="auto"/>
          <w:sz w:val="32"/>
          <w:szCs w:val="32"/>
          <w:shd w:val="clear" w:color="auto" w:fill="FFFFFF"/>
        </w:rPr>
        <w:t>三、案例所获得荣誉、复制推广情况等</w:t>
      </w:r>
    </w:p>
    <w:p w14:paraId="39DBDB4D">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广东省青少年科技创新大赛二等奖、广州市执信中学元培科技创新奖、广州二中校长创新奖</w:t>
      </w:r>
    </w:p>
    <w:p w14:paraId="6B1414DF">
      <w:pPr>
        <w:snapToGrid w:val="0"/>
        <w:spacing w:line="560" w:lineRule="exact"/>
        <w:ind w:firstLine="640"/>
        <w:rPr>
          <w:rFonts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案例已在中山市火炬开发区东利村社区驿站完成试点验证。项目具有强可复制性：低成本优势适配90%以上的社区驿站，计划2026年下半年在中山市3家驿站正式部署。该方案可横向扩展至校园快递中心、办公楼宇接驳、政务文件流转及医院药品配送等场景。</w:t>
      </w:r>
    </w:p>
    <w:p w14:paraId="121734B5">
      <w:pPr>
        <w:snapToGrid w:val="0"/>
        <w:spacing w:line="560" w:lineRule="exact"/>
        <w:ind w:firstLine="640"/>
        <w:rPr>
          <w:rFonts w:hint="eastAsia" w:ascii="仿宋_GB2312" w:hAnsi="仿宋_GB2312" w:eastAsia="仿宋_GB2312" w:cs="仿宋_GB2312"/>
          <w:b/>
          <w:bCs/>
          <w:color w:val="auto"/>
          <w:sz w:val="32"/>
          <w:szCs w:val="32"/>
          <w:shd w:val="clear" w:color="auto" w:fill="FFFFFF"/>
        </w:rPr>
      </w:pPr>
      <w:r>
        <w:rPr>
          <w:rFonts w:ascii="仿宋_GB2312" w:hAnsi="仿宋_GB2312" w:eastAsia="仿宋_GB2312" w:cs="仿宋_GB2312"/>
          <w:b/>
          <w:bCs/>
          <w:color w:val="auto"/>
          <w:sz w:val="32"/>
          <w:szCs w:val="32"/>
          <w:shd w:val="clear" w:color="auto" w:fill="FFFFFF"/>
        </w:rPr>
        <w:pict>
          <v:shape id="_x0000_s1044" o:spid="_x0000_s1044" o:spt="75" alt="微信图片_20260510202511_283_256" type="#_x0000_t75" style="position:absolute;left:0pt;margin-left:59.85pt;margin-top:4.4pt;height:292.45pt;width:319.9pt;z-index:251674624;mso-width-relative:page;mso-height-relative:page;" filled="f" o:preferrelative="t" stroked="f" coordsize="21600,21600">
            <v:path/>
            <v:fill on="f" focussize="0,0"/>
            <v:stroke on="f"/>
            <v:imagedata r:id="rId54" o:title="微信图片_20260510202511_283_256"/>
            <o:lock v:ext="edit" aspectratio="t"/>
          </v:shape>
        </w:pict>
      </w:r>
    </w:p>
    <w:p w14:paraId="4B13452E">
      <w:pPr>
        <w:snapToGrid w:val="0"/>
        <w:spacing w:line="560" w:lineRule="exact"/>
        <w:ind w:firstLine="640"/>
        <w:rPr>
          <w:rFonts w:hint="eastAsia" w:ascii="仿宋_GB2312" w:hAnsi="仿宋_GB2312" w:eastAsia="仿宋_GB2312" w:cs="仿宋_GB2312"/>
          <w:b/>
          <w:bCs/>
          <w:color w:val="auto"/>
          <w:sz w:val="32"/>
          <w:szCs w:val="32"/>
          <w:shd w:val="clear" w:color="auto" w:fill="FFFFFF"/>
        </w:rPr>
      </w:pPr>
    </w:p>
    <w:p w14:paraId="232121DB">
      <w:pPr>
        <w:snapToGrid w:val="0"/>
        <w:spacing w:line="560" w:lineRule="exact"/>
        <w:ind w:firstLine="640"/>
        <w:rPr>
          <w:rFonts w:hint="eastAsia" w:ascii="仿宋_GB2312" w:hAnsi="仿宋_GB2312" w:eastAsia="仿宋_GB2312" w:cs="仿宋_GB2312"/>
          <w:b/>
          <w:bCs/>
          <w:color w:val="auto"/>
          <w:sz w:val="32"/>
          <w:szCs w:val="32"/>
          <w:shd w:val="clear" w:color="auto" w:fill="FFFFFF"/>
        </w:rPr>
      </w:pPr>
    </w:p>
    <w:p w14:paraId="0D6F58DF">
      <w:pPr>
        <w:snapToGrid w:val="0"/>
        <w:spacing w:line="560" w:lineRule="exact"/>
        <w:ind w:firstLine="640"/>
        <w:rPr>
          <w:rFonts w:hint="eastAsia" w:ascii="仿宋_GB2312" w:hAnsi="仿宋_GB2312" w:eastAsia="仿宋_GB2312" w:cs="仿宋_GB2312"/>
          <w:b/>
          <w:bCs/>
          <w:color w:val="auto"/>
          <w:sz w:val="32"/>
          <w:szCs w:val="32"/>
          <w:shd w:val="clear" w:color="auto" w:fill="FFFFFF"/>
        </w:rPr>
      </w:pPr>
    </w:p>
    <w:p w14:paraId="46DBADD3">
      <w:pPr>
        <w:snapToGrid w:val="0"/>
        <w:spacing w:line="560" w:lineRule="exact"/>
        <w:ind w:firstLine="640"/>
        <w:rPr>
          <w:rFonts w:hint="eastAsia" w:ascii="仿宋_GB2312" w:hAnsi="仿宋_GB2312" w:eastAsia="仿宋_GB2312" w:cs="仿宋_GB2312"/>
          <w:b/>
          <w:bCs/>
          <w:color w:val="auto"/>
          <w:sz w:val="32"/>
          <w:szCs w:val="32"/>
          <w:shd w:val="clear" w:color="auto" w:fill="FFFFFF"/>
        </w:rPr>
      </w:pPr>
    </w:p>
    <w:p w14:paraId="18D54B24">
      <w:pPr>
        <w:snapToGrid w:val="0"/>
        <w:spacing w:line="560" w:lineRule="exact"/>
        <w:ind w:firstLine="640"/>
        <w:rPr>
          <w:rFonts w:hint="eastAsia" w:ascii="仿宋_GB2312" w:hAnsi="仿宋_GB2312" w:eastAsia="仿宋_GB2312" w:cs="仿宋_GB2312"/>
          <w:b/>
          <w:bCs/>
          <w:color w:val="auto"/>
          <w:sz w:val="32"/>
          <w:szCs w:val="32"/>
          <w:shd w:val="clear" w:color="auto" w:fill="FFFFFF"/>
        </w:rPr>
      </w:pPr>
    </w:p>
    <w:p w14:paraId="5CD430FD">
      <w:pPr>
        <w:snapToGrid w:val="0"/>
        <w:spacing w:line="560" w:lineRule="exact"/>
        <w:ind w:firstLine="640"/>
        <w:rPr>
          <w:rFonts w:hint="eastAsia" w:ascii="仿宋_GB2312" w:hAnsi="仿宋_GB2312" w:eastAsia="仿宋_GB2312" w:cs="仿宋_GB2312"/>
          <w:b/>
          <w:bCs/>
          <w:color w:val="auto"/>
          <w:sz w:val="32"/>
          <w:szCs w:val="32"/>
          <w:shd w:val="clear" w:color="auto" w:fill="FFFFFF"/>
        </w:rPr>
      </w:pPr>
    </w:p>
    <w:p w14:paraId="3D9461F9">
      <w:pPr>
        <w:snapToGrid w:val="0"/>
        <w:spacing w:line="560" w:lineRule="exact"/>
        <w:ind w:firstLine="640"/>
        <w:rPr>
          <w:rFonts w:hint="eastAsia" w:ascii="仿宋_GB2312" w:hAnsi="仿宋_GB2312" w:eastAsia="仿宋_GB2312" w:cs="仿宋_GB2312"/>
          <w:b/>
          <w:bCs/>
          <w:color w:val="auto"/>
          <w:sz w:val="32"/>
          <w:szCs w:val="32"/>
          <w:shd w:val="clear" w:color="auto" w:fill="FFFFFF"/>
        </w:rPr>
      </w:pPr>
    </w:p>
    <w:p w14:paraId="3172306F">
      <w:pPr>
        <w:snapToGrid w:val="0"/>
        <w:spacing w:line="560" w:lineRule="exact"/>
        <w:ind w:firstLine="640"/>
        <w:rPr>
          <w:rFonts w:hint="eastAsia" w:ascii="仿宋_GB2312" w:hAnsi="仿宋_GB2312" w:eastAsia="仿宋_GB2312" w:cs="仿宋_GB2312"/>
          <w:b/>
          <w:bCs/>
          <w:color w:val="auto"/>
          <w:sz w:val="32"/>
          <w:szCs w:val="32"/>
          <w:shd w:val="clear" w:color="auto" w:fill="FFFFFF"/>
        </w:rPr>
      </w:pPr>
    </w:p>
    <w:p w14:paraId="394A6F35">
      <w:pPr>
        <w:snapToGrid w:val="0"/>
        <w:spacing w:line="560" w:lineRule="exact"/>
        <w:ind w:firstLine="640"/>
        <w:rPr>
          <w:rFonts w:hint="eastAsia" w:ascii="仿宋_GB2312" w:hAnsi="仿宋_GB2312" w:eastAsia="仿宋_GB2312" w:cs="仿宋_GB2312"/>
          <w:b/>
          <w:bCs/>
          <w:color w:val="auto"/>
          <w:sz w:val="32"/>
          <w:szCs w:val="32"/>
          <w:shd w:val="clear" w:color="auto" w:fill="FFFFFF"/>
        </w:rPr>
      </w:pPr>
    </w:p>
    <w:p w14:paraId="354D7AB2">
      <w:pPr>
        <w:snapToGrid w:val="0"/>
        <w:spacing w:line="560" w:lineRule="exact"/>
        <w:ind w:firstLine="640"/>
        <w:rPr>
          <w:rFonts w:hint="eastAsia" w:ascii="仿宋_GB2312" w:hAnsi="仿宋_GB2312" w:eastAsia="仿宋_GB2312" w:cs="仿宋_GB2312"/>
          <w:b/>
          <w:bCs/>
          <w:color w:val="auto"/>
          <w:sz w:val="32"/>
          <w:szCs w:val="32"/>
          <w:shd w:val="clear" w:color="auto" w:fill="FFFFFF"/>
        </w:rPr>
      </w:pPr>
      <w:r>
        <w:rPr>
          <w:rFonts w:ascii="仿宋_GB2312" w:hAnsi="仿宋_GB2312" w:eastAsia="仿宋_GB2312" w:cs="仿宋_GB2312"/>
          <w:b/>
          <w:bCs/>
          <w:color w:val="auto"/>
          <w:sz w:val="32"/>
          <w:szCs w:val="32"/>
          <w:shd w:val="clear" w:color="auto" w:fill="FFFFFF"/>
        </w:rPr>
        <w:pict>
          <v:shape id="_x0000_s1046" o:spid="_x0000_s1046" o:spt="75" alt="拿快递" type="#_x0000_t75" style="position:absolute;left:0pt;margin-left:79.95pt;margin-top:25.5pt;height:276.9pt;width:252.85pt;z-index:251675648;mso-width-relative:page;mso-height-relative:page;" filled="f" o:preferrelative="t" stroked="f" coordsize="21600,21600">
            <v:path/>
            <v:fill on="f" focussize="0,0"/>
            <v:stroke on="f"/>
            <v:imagedata r:id="rId55" o:title="拿快递"/>
            <o:lock v:ext="edit" aspectratio="t"/>
          </v:shape>
        </w:pict>
      </w:r>
    </w:p>
    <w:p w14:paraId="3EFE57DE">
      <w:pPr>
        <w:snapToGrid w:val="0"/>
        <w:spacing w:line="560" w:lineRule="exact"/>
        <w:ind w:firstLine="640"/>
        <w:rPr>
          <w:rFonts w:hint="eastAsia" w:ascii="仿宋_GB2312" w:hAnsi="仿宋_GB2312" w:eastAsia="仿宋_GB2312" w:cs="仿宋_GB2312"/>
          <w:b/>
          <w:bCs/>
          <w:color w:val="auto"/>
          <w:sz w:val="32"/>
          <w:szCs w:val="32"/>
          <w:shd w:val="clear" w:color="auto" w:fill="FFFFFF"/>
        </w:rPr>
      </w:pPr>
    </w:p>
    <w:p w14:paraId="04843BB4">
      <w:pPr>
        <w:snapToGrid w:val="0"/>
        <w:spacing w:line="560" w:lineRule="exact"/>
        <w:ind w:firstLine="640"/>
        <w:rPr>
          <w:rFonts w:hint="eastAsia" w:ascii="仿宋_GB2312" w:hAnsi="仿宋_GB2312" w:eastAsia="仿宋_GB2312" w:cs="仿宋_GB2312"/>
          <w:b/>
          <w:bCs/>
          <w:color w:val="auto"/>
          <w:sz w:val="32"/>
          <w:szCs w:val="32"/>
          <w:shd w:val="clear" w:color="auto" w:fill="FFFFFF"/>
        </w:rPr>
      </w:pPr>
    </w:p>
    <w:p w14:paraId="3EDE30F8">
      <w:pPr>
        <w:snapToGrid w:val="0"/>
        <w:spacing w:line="560" w:lineRule="exact"/>
        <w:ind w:firstLine="640"/>
        <w:rPr>
          <w:rFonts w:hint="eastAsia" w:ascii="仿宋_GB2312" w:hAnsi="仿宋_GB2312" w:eastAsia="仿宋_GB2312" w:cs="仿宋_GB2312"/>
          <w:b/>
          <w:bCs/>
          <w:color w:val="auto"/>
          <w:sz w:val="32"/>
          <w:szCs w:val="32"/>
          <w:shd w:val="clear" w:color="auto" w:fill="FFFFFF"/>
        </w:rPr>
      </w:pPr>
    </w:p>
    <w:p w14:paraId="61962FB3">
      <w:pPr>
        <w:snapToGrid w:val="0"/>
        <w:spacing w:line="560" w:lineRule="exact"/>
        <w:ind w:firstLine="640"/>
        <w:rPr>
          <w:rFonts w:hint="eastAsia" w:ascii="仿宋_GB2312" w:hAnsi="仿宋_GB2312" w:eastAsia="仿宋_GB2312" w:cs="仿宋_GB2312"/>
          <w:b/>
          <w:bCs/>
          <w:color w:val="auto"/>
          <w:sz w:val="32"/>
          <w:szCs w:val="32"/>
          <w:shd w:val="clear" w:color="auto" w:fill="FFFFFF"/>
        </w:rPr>
      </w:pPr>
    </w:p>
    <w:p w14:paraId="31DD9B5A">
      <w:pPr>
        <w:snapToGrid w:val="0"/>
        <w:spacing w:line="560" w:lineRule="exact"/>
        <w:ind w:firstLine="640"/>
        <w:rPr>
          <w:rFonts w:hint="eastAsia" w:ascii="仿宋_GB2312" w:hAnsi="仿宋_GB2312" w:eastAsia="仿宋_GB2312" w:cs="仿宋_GB2312"/>
          <w:b/>
          <w:bCs/>
          <w:color w:val="auto"/>
          <w:sz w:val="32"/>
          <w:szCs w:val="32"/>
          <w:shd w:val="clear" w:color="auto" w:fill="FFFFFF"/>
        </w:rPr>
      </w:pPr>
    </w:p>
    <w:p w14:paraId="45E4FA77">
      <w:pPr>
        <w:snapToGrid w:val="0"/>
        <w:spacing w:line="560" w:lineRule="exact"/>
        <w:ind w:firstLine="640"/>
        <w:rPr>
          <w:rFonts w:hint="eastAsia" w:ascii="仿宋_GB2312" w:hAnsi="仿宋_GB2312" w:eastAsia="仿宋_GB2312" w:cs="仿宋_GB2312"/>
          <w:b/>
          <w:bCs/>
          <w:color w:val="auto"/>
          <w:sz w:val="32"/>
          <w:szCs w:val="32"/>
          <w:shd w:val="clear" w:color="auto" w:fill="FFFFFF"/>
        </w:rPr>
      </w:pPr>
    </w:p>
    <w:p w14:paraId="645211B4">
      <w:pPr>
        <w:snapToGrid w:val="0"/>
        <w:spacing w:line="560" w:lineRule="exact"/>
        <w:ind w:firstLine="640"/>
        <w:rPr>
          <w:rFonts w:hint="eastAsia" w:ascii="仿宋_GB2312" w:hAnsi="仿宋_GB2312" w:eastAsia="仿宋_GB2312" w:cs="仿宋_GB2312"/>
          <w:b/>
          <w:bCs/>
          <w:color w:val="auto"/>
          <w:sz w:val="32"/>
          <w:szCs w:val="32"/>
          <w:shd w:val="clear" w:color="auto" w:fill="FFFFFF"/>
        </w:rPr>
      </w:pPr>
    </w:p>
    <w:p w14:paraId="328EDC4C">
      <w:pPr>
        <w:snapToGrid w:val="0"/>
        <w:spacing w:line="560" w:lineRule="exact"/>
        <w:ind w:firstLine="640"/>
        <w:rPr>
          <w:rFonts w:hint="eastAsia" w:ascii="仿宋_GB2312" w:hAnsi="仿宋_GB2312" w:eastAsia="仿宋_GB2312" w:cs="仿宋_GB2312"/>
          <w:b/>
          <w:bCs/>
          <w:color w:val="auto"/>
          <w:sz w:val="32"/>
          <w:szCs w:val="32"/>
          <w:shd w:val="clear" w:color="auto" w:fill="FFFFFF"/>
        </w:rPr>
      </w:pPr>
    </w:p>
    <w:p w14:paraId="4EC42EAE">
      <w:pPr>
        <w:snapToGrid w:val="0"/>
        <w:spacing w:line="560" w:lineRule="exact"/>
        <w:ind w:firstLine="640"/>
        <w:rPr>
          <w:rFonts w:hint="eastAsia" w:ascii="仿宋_GB2312" w:hAnsi="仿宋_GB2312" w:eastAsia="仿宋_GB2312" w:cs="仿宋_GB2312"/>
          <w:b/>
          <w:bCs/>
          <w:color w:val="auto"/>
          <w:sz w:val="32"/>
          <w:szCs w:val="32"/>
          <w:shd w:val="clear" w:color="auto" w:fill="FFFFFF"/>
        </w:rPr>
      </w:pPr>
    </w:p>
    <w:p w14:paraId="7206E52D">
      <w:pPr>
        <w:pStyle w:val="12"/>
        <w:pageBreakBefore/>
        <w:rPr>
          <w:color w:val="auto"/>
        </w:rPr>
      </w:pPr>
      <w:bookmarkStart w:id="25" w:name="_Toc22362"/>
      <w:r>
        <w:rPr>
          <w:color w:val="auto"/>
        </w:rPr>
        <w:t>案例 11　中山市华侨中学AI智慧教学系统应用案例</w:t>
      </w:r>
      <w:bookmarkEnd w:id="25"/>
    </w:p>
    <w:p w14:paraId="4311695C">
      <w:pPr>
        <w:spacing w:after="40"/>
        <w:jc w:val="left"/>
        <w:rPr>
          <w:rFonts w:ascii="楷体" w:hAnsi="楷体" w:eastAsia="楷体"/>
          <w:color w:val="auto"/>
          <w:sz w:val="22"/>
        </w:rPr>
      </w:pPr>
      <w:r>
        <w:rPr>
          <w:rFonts w:ascii="楷体" w:hAnsi="楷体" w:eastAsia="楷体"/>
          <w:color w:val="auto"/>
          <w:sz w:val="22"/>
        </w:rPr>
        <w:t>申报单位：中山市华侨中学</w:t>
      </w:r>
    </w:p>
    <w:p w14:paraId="7F55CA21">
      <w:pPr>
        <w:snapToGrid w:val="0"/>
        <w:spacing w:line="560" w:lineRule="exact"/>
        <w:rPr>
          <w:rFonts w:hint="eastAsia" w:ascii="仿宋_GB2312" w:hAnsi="仿宋_GB2312" w:eastAsia="仿宋_GB2312" w:cs="仿宋_GB2312"/>
          <w:color w:val="auto"/>
          <w:sz w:val="32"/>
          <w:szCs w:val="32"/>
          <w:shd w:val="clear" w:color="auto" w:fill="FFFFFF"/>
        </w:rPr>
      </w:pPr>
    </w:p>
    <w:p w14:paraId="52687824">
      <w:pPr>
        <w:snapToGrid w:val="0"/>
        <w:spacing w:line="360" w:lineRule="auto"/>
        <w:ind w:firstLine="640"/>
        <w:rPr>
          <w:rFonts w:hint="eastAsia" w:ascii="黑体" w:hAnsi="黑体" w:eastAsia="黑体" w:cs="黑体"/>
          <w:color w:val="auto"/>
          <w:sz w:val="32"/>
          <w:szCs w:val="32"/>
          <w:shd w:val="clear" w:color="auto" w:fill="FFFFFF"/>
        </w:rPr>
      </w:pPr>
      <w:r>
        <w:rPr>
          <w:rFonts w:hint="eastAsia" w:ascii="黑体" w:hAnsi="黑体" w:eastAsia="黑体" w:cs="黑体"/>
          <w:color w:val="auto"/>
          <w:sz w:val="32"/>
          <w:szCs w:val="32"/>
          <w:shd w:val="clear" w:color="auto" w:fill="FFFFFF"/>
        </w:rPr>
        <w:t>一、案例基本情况</w:t>
      </w:r>
    </w:p>
    <w:p w14:paraId="60FC2A98">
      <w:pPr>
        <w:snapToGrid w:val="0"/>
        <w:spacing w:line="360" w:lineRule="auto"/>
        <w:ind w:firstLine="640"/>
        <w:rPr>
          <w:rFonts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（一）案例名称：中山市华侨中学AI智慧教学系统应用案例。</w:t>
      </w:r>
    </w:p>
    <w:p w14:paraId="1CB86F47">
      <w:pPr>
        <w:snapToGrid w:val="0"/>
        <w:spacing w:line="360" w:lineRule="auto"/>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（二）人工智能技术应用方：中山市华侨中学。</w:t>
      </w:r>
    </w:p>
    <w:p w14:paraId="3A45326C">
      <w:pPr>
        <w:snapToGrid w:val="0"/>
        <w:spacing w:line="360" w:lineRule="auto"/>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中山市华侨中学是一所积极推进教育信息化改革的重点中学，致力于通过人工智能技术提升课堂教学质量和教学管理精细化水平。学校现有录播室等信息化基础设施，积极探索“精准教学、个性评价”的智慧教育模式，推动教育教学与人工智能、大数据等技术的深度融合。</w:t>
      </w:r>
    </w:p>
    <w:p w14:paraId="6EA02E02">
      <w:pPr>
        <w:snapToGrid w:val="0"/>
        <w:spacing w:line="360" w:lineRule="auto"/>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（三）人工智能技术供给方：析格码科技（北京）有限公司。</w:t>
      </w:r>
    </w:p>
    <w:p w14:paraId="6F9C0B25">
      <w:pPr>
        <w:snapToGrid w:val="0"/>
        <w:spacing w:line="360" w:lineRule="auto"/>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析格码科技（北京）有限公司成立于2015年，专注于K12教育信息化领域，致力于打造以教育大数据为驱动的一体化平台。公司拥有60余项商标和27项软件著作权，核心产品“智码错题本”已服务近百所学校、用户规模达二十万人。公司通过AI精准教学系统、智慧校园管理系统等产品，助力学校实现大规模因材施教和个性化学习。</w:t>
      </w:r>
    </w:p>
    <w:p w14:paraId="66BF9C67">
      <w:pPr>
        <w:snapToGrid w:val="0"/>
        <w:spacing w:line="560" w:lineRule="exact"/>
        <w:ind w:firstLine="640"/>
        <w:rPr>
          <w:rFonts w:hint="eastAsia" w:ascii="黑体" w:hAnsi="黑体" w:eastAsia="黑体" w:cs="黑体"/>
          <w:color w:val="auto"/>
          <w:sz w:val="32"/>
          <w:szCs w:val="32"/>
          <w:shd w:val="clear" w:color="auto" w:fill="FFFFFF"/>
        </w:rPr>
      </w:pPr>
      <w:r>
        <w:rPr>
          <w:rFonts w:hint="eastAsia" w:ascii="黑体" w:hAnsi="黑体" w:eastAsia="黑体" w:cs="黑体"/>
          <w:color w:val="auto"/>
          <w:sz w:val="32"/>
          <w:szCs w:val="32"/>
          <w:shd w:val="clear" w:color="auto" w:fill="FFFFFF"/>
        </w:rPr>
        <w:t>二、案例内容介绍</w:t>
      </w:r>
    </w:p>
    <w:p w14:paraId="6B5DAEB5">
      <w:pPr>
        <w:snapToGrid w:val="0"/>
        <w:spacing w:line="560" w:lineRule="exact"/>
        <w:ind w:firstLine="640"/>
        <w:rPr>
          <w:rFonts w:hint="eastAsia" w:ascii="楷体_GB2312" w:hAnsi="楷体_GB2312" w:eastAsia="楷体_GB2312" w:cs="楷体_GB2312"/>
          <w:color w:val="auto"/>
          <w:sz w:val="32"/>
          <w:szCs w:val="32"/>
          <w:shd w:val="clear" w:color="auto" w:fill="FFFFFF"/>
        </w:rPr>
      </w:pPr>
      <w:r>
        <w:rPr>
          <w:rFonts w:hint="eastAsia" w:ascii="楷体_GB2312" w:hAnsi="楷体_GB2312" w:eastAsia="楷体_GB2312" w:cs="楷体_GB2312"/>
          <w:color w:val="auto"/>
          <w:sz w:val="32"/>
          <w:szCs w:val="32"/>
          <w:shd w:val="clear" w:color="auto" w:fill="FFFFFF"/>
        </w:rPr>
        <w:t>（一）包括案例背景、采用的人工智能关键技术、所实现的功能和亮点优势。</w:t>
      </w:r>
    </w:p>
    <w:p w14:paraId="18110CA4">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本案例依托中山市华侨中学现有录播室环境，建设AI智慧教学系统，解决传统教学中作业反馈滞后、学情诊断粗放、师生课堂互动不足等痛点。</w:t>
      </w:r>
    </w:p>
    <w:p w14:paraId="2DF693FF">
      <w:pPr>
        <w:ind w:firstLine="643" w:firstLineChars="200"/>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lang w:eastAsia="zh-CN"/>
        </w:rPr>
        <w:t>1.</w:t>
      </w:r>
      <w:r>
        <w:rPr>
          <w:rFonts w:hint="eastAsia" w:ascii="仿宋_GB2312" w:hAnsi="仿宋_GB2312" w:eastAsia="仿宋_GB2312" w:cs="仿宋_GB2312"/>
          <w:b/>
          <w:bCs/>
          <w:color w:val="auto"/>
          <w:sz w:val="32"/>
          <w:szCs w:val="32"/>
        </w:rPr>
        <w:t>采用的关键技术包括：</w:t>
      </w:r>
    </w:p>
    <w:p w14:paraId="4E62E033">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a.</w:t>
      </w:r>
      <w:r>
        <w:rPr>
          <w:rFonts w:hint="eastAsia" w:ascii="仿宋_GB2312" w:hAnsi="仿宋_GB2312" w:eastAsia="仿宋_GB2312" w:cs="仿宋_GB2312"/>
          <w:color w:val="auto"/>
          <w:sz w:val="32"/>
          <w:szCs w:val="32"/>
        </w:rPr>
        <w:t>智码定位与笔迹采集技术：实现学生纸笔作答的实时数字化采集；</w:t>
      </w:r>
    </w:p>
    <w:p w14:paraId="586B4D76">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b.</w:t>
      </w:r>
      <w:r>
        <w:rPr>
          <w:rFonts w:hint="eastAsia" w:ascii="仿宋_GB2312" w:hAnsi="仿宋_GB2312" w:eastAsia="仿宋_GB2312" w:cs="仿宋_GB2312"/>
          <w:color w:val="auto"/>
          <w:sz w:val="32"/>
          <w:szCs w:val="32"/>
        </w:rPr>
        <w:t>AI自动批阅与智能辅助批阅：支持客观题自动批改、主观题智能推荐评分；</w:t>
      </w:r>
    </w:p>
    <w:p w14:paraId="7EBFC90F">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c.</w:t>
      </w:r>
      <w:r>
        <w:rPr>
          <w:rFonts w:hint="eastAsia" w:ascii="仿宋_GB2312" w:hAnsi="仿宋_GB2312" w:eastAsia="仿宋_GB2312" w:cs="仿宋_GB2312"/>
          <w:color w:val="auto"/>
          <w:sz w:val="32"/>
          <w:szCs w:val="32"/>
        </w:rPr>
        <w:t>知识图谱与个性化推荐算法：构建学生知识掌握画像，推送错题本与强化练习；</w:t>
      </w:r>
    </w:p>
    <w:p w14:paraId="0F91944E">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d.</w:t>
      </w:r>
      <w:r>
        <w:rPr>
          <w:rFonts w:hint="eastAsia" w:ascii="仿宋_GB2312" w:hAnsi="仿宋_GB2312" w:eastAsia="仿宋_GB2312" w:cs="仿宋_GB2312"/>
          <w:color w:val="auto"/>
          <w:sz w:val="32"/>
          <w:szCs w:val="32"/>
        </w:rPr>
        <w:t>课堂互动与多媒体广播系统：支持屏幕广播、分组教学、抢答互动等功能。</w:t>
      </w:r>
    </w:p>
    <w:p w14:paraId="4B835CFD">
      <w:pPr>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lang w:eastAsia="zh-CN"/>
        </w:rPr>
        <w:t>2.</w:t>
      </w:r>
      <w:r>
        <w:rPr>
          <w:rFonts w:hint="eastAsia" w:ascii="仿宋_GB2312" w:hAnsi="仿宋_GB2312" w:eastAsia="仿宋_GB2312" w:cs="仿宋_GB2312"/>
          <w:b/>
          <w:bCs/>
          <w:color w:val="auto"/>
          <w:sz w:val="32"/>
          <w:szCs w:val="32"/>
        </w:rPr>
        <w:t>实现功能：</w:t>
      </w:r>
      <w:r>
        <w:rPr>
          <w:rFonts w:hint="eastAsia" w:ascii="仿宋_GB2312" w:hAnsi="仿宋_GB2312" w:eastAsia="仿宋_GB2312" w:cs="仿宋_GB2312"/>
          <w:color w:val="auto"/>
          <w:sz w:val="32"/>
          <w:szCs w:val="32"/>
        </w:rPr>
        <w:t>作业数字化采集、智能批阅、学情分析、个性化错题本、个性化练习、课堂互动、安全管控等。</w:t>
      </w:r>
    </w:p>
    <w:p w14:paraId="566555DD">
      <w:pPr>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lang w:eastAsia="zh-CN"/>
        </w:rPr>
        <w:t>3.</w:t>
      </w:r>
      <w:r>
        <w:rPr>
          <w:rFonts w:hint="eastAsia" w:ascii="仿宋_GB2312" w:hAnsi="仿宋_GB2312" w:eastAsia="仿宋_GB2312" w:cs="仿宋_GB2312"/>
          <w:b/>
          <w:bCs/>
          <w:color w:val="auto"/>
          <w:sz w:val="32"/>
          <w:szCs w:val="32"/>
        </w:rPr>
        <w:t>亮点优势：</w:t>
      </w:r>
      <w:r>
        <w:rPr>
          <w:rFonts w:hint="eastAsia" w:ascii="仿宋_GB2312" w:hAnsi="仿宋_GB2312" w:eastAsia="仿宋_GB2312" w:cs="仿宋_GB2312"/>
          <w:color w:val="auto"/>
          <w:sz w:val="32"/>
          <w:szCs w:val="32"/>
        </w:rPr>
        <w:t>不改变学生纸笔作答习惯，实现“无感采集、精准分析、个性推送”，真正实现减负增效。</w:t>
      </w:r>
    </w:p>
    <w:p w14:paraId="326D7E8B">
      <w:pPr>
        <w:ind w:firstLine="643" w:firstLineChars="200"/>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lang w:eastAsia="zh-CN"/>
        </w:rPr>
        <w:t>4.</w:t>
      </w:r>
      <w:r>
        <w:rPr>
          <w:rFonts w:hint="eastAsia" w:ascii="仿宋_GB2312" w:hAnsi="仿宋_GB2312" w:eastAsia="仿宋_GB2312" w:cs="仿宋_GB2312"/>
          <w:b/>
          <w:bCs/>
          <w:color w:val="auto"/>
          <w:sz w:val="32"/>
          <w:szCs w:val="32"/>
        </w:rPr>
        <w:t>功能应用场景：</w:t>
      </w:r>
    </w:p>
    <w:p w14:paraId="3BEBA17B">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a.课堂场景</w:t>
      </w:r>
    </w:p>
    <w:p w14:paraId="6C00D0A7">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围绕课前预习 + 课中互动展开，提升课堂效率与参与度：</w:t>
      </w:r>
    </w:p>
    <w:p w14:paraId="6C9F97B9">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预习检测：选择题实时作答、结果展示与评讲</w:t>
      </w:r>
    </w:p>
    <w:p w14:paraId="00B9585A">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堂测与点评：课堂小测 + 实时点评反馈</w:t>
      </w:r>
    </w:p>
    <w:p w14:paraId="4762CBB0">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课堂工具：计时器、随机选人、实时投屏等互动工具</w:t>
      </w:r>
    </w:p>
    <w:p w14:paraId="7F034F2B">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b.课后作业场景</w:t>
      </w:r>
    </w:p>
    <w:p w14:paraId="0CBC6E80">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覆盖了不同形式作业的全流程管理与个性化辅导：</w:t>
      </w:r>
    </w:p>
    <w:p w14:paraId="085E8671">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日清作业：老师出题 / 上传、收发批订全流程 AI 化，支持打回重做、二次订正</w:t>
      </w:r>
    </w:p>
    <w:p w14:paraId="6647B2DF">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科目作业（学练案 / 学科网类，不含练习册）：错题知识点统计、分层个性化练习</w:t>
      </w:r>
    </w:p>
    <w:p w14:paraId="568D4552">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练习册作业：分科答题本作答，错题统计与知识点分析</w:t>
      </w:r>
    </w:p>
    <w:p w14:paraId="01A19B3C">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c.单元测/周清场景</w:t>
      </w:r>
    </w:p>
    <w:p w14:paraId="7D13AC69">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聚焦阶段性小测的错题管理与巩固提升：</w:t>
      </w:r>
    </w:p>
    <w:p w14:paraId="56A18195">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铺码答题卡：支持错题订正、举一反三练习</w:t>
      </w:r>
    </w:p>
    <w:p w14:paraId="122F0BD4">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d.月考场景</w:t>
      </w:r>
    </w:p>
    <w:p w14:paraId="4750B49A">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针对大型考试的数据化分析：</w:t>
      </w:r>
    </w:p>
    <w:p w14:paraId="6DF45323">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扫描电子阅卷：完成错题知识点的统计与分析</w:t>
      </w:r>
    </w:p>
    <w:p w14:paraId="341F03F4">
      <w:pPr>
        <w:snapToGrid w:val="0"/>
        <w:spacing w:line="560" w:lineRule="exact"/>
        <w:ind w:firstLine="640"/>
        <w:rPr>
          <w:rFonts w:hint="eastAsia" w:ascii="楷体_GB2312" w:hAnsi="楷体_GB2312" w:eastAsia="楷体_GB2312" w:cs="楷体_GB2312"/>
          <w:color w:val="auto"/>
          <w:sz w:val="32"/>
          <w:szCs w:val="32"/>
          <w:shd w:val="clear" w:color="auto" w:fill="FFFFFF"/>
        </w:rPr>
      </w:pPr>
      <w:r>
        <w:rPr>
          <w:rFonts w:hint="eastAsia" w:ascii="楷体_GB2312" w:hAnsi="楷体_GB2312" w:eastAsia="楷体_GB2312" w:cs="楷体_GB2312"/>
          <w:color w:val="auto"/>
          <w:sz w:val="32"/>
          <w:szCs w:val="32"/>
          <w:shd w:val="clear" w:color="auto" w:fill="FFFFFF"/>
        </w:rPr>
        <w:t>（二）具体应用成效</w:t>
      </w:r>
    </w:p>
    <w:p w14:paraId="18D8926B">
      <w:pPr>
        <w:pStyle w:val="6"/>
        <w:widowControl/>
        <w:ind w:firstLine="643" w:firstLineChars="200"/>
        <w:rPr>
          <w:rFonts w:ascii="仿宋_GB2312" w:hAnsi="仿宋_GB2312" w:eastAsia="仿宋_GB2312" w:cs="仿宋_GB2312"/>
          <w:color w:val="auto"/>
          <w:sz w:val="32"/>
          <w:szCs w:val="32"/>
          <w:shd w:val="clear" w:color="auto" w:fill="FFFFFF"/>
        </w:rPr>
      </w:pPr>
      <w:r>
        <w:rPr>
          <w:rFonts w:ascii="仿宋_GB2312" w:hAnsi="仿宋_GB2312" w:eastAsia="仿宋_GB2312" w:cs="仿宋_GB2312"/>
          <w:b/>
          <w:bCs/>
          <w:color w:val="auto"/>
          <w:sz w:val="32"/>
          <w:szCs w:val="32"/>
          <w:shd w:val="clear" w:color="auto" w:fill="FFFFFF"/>
        </w:rPr>
        <w:t>教师层面：</w:t>
      </w:r>
      <w:r>
        <w:rPr>
          <w:rFonts w:ascii="仿宋_GB2312" w:hAnsi="仿宋_GB2312" w:eastAsia="仿宋_GB2312" w:cs="仿宋_GB2312"/>
          <w:color w:val="auto"/>
          <w:sz w:val="32"/>
          <w:szCs w:val="32"/>
          <w:shd w:val="clear" w:color="auto" w:fill="FFFFFF"/>
        </w:rPr>
        <w:t>作业批阅时间平均减少50%以上，客观题实现全自动批阅，主观题批阅效率提升30%；</w:t>
      </w:r>
    </w:p>
    <w:p w14:paraId="4296E1FB">
      <w:pPr>
        <w:pStyle w:val="6"/>
        <w:widowControl/>
        <w:ind w:firstLine="643" w:firstLineChars="200"/>
        <w:rPr>
          <w:rFonts w:ascii="仿宋_GB2312" w:hAnsi="仿宋_GB2312" w:eastAsia="仿宋_GB2312" w:cs="仿宋_GB2312"/>
          <w:color w:val="auto"/>
          <w:sz w:val="32"/>
          <w:szCs w:val="32"/>
          <w:shd w:val="clear" w:color="auto" w:fill="FFFFFF"/>
        </w:rPr>
      </w:pPr>
      <w:r>
        <w:rPr>
          <w:rFonts w:ascii="仿宋_GB2312" w:hAnsi="仿宋_GB2312" w:eastAsia="仿宋_GB2312" w:cs="仿宋_GB2312"/>
          <w:b/>
          <w:bCs/>
          <w:color w:val="auto"/>
          <w:sz w:val="32"/>
          <w:szCs w:val="32"/>
          <w:shd w:val="clear" w:color="auto" w:fill="FFFFFF"/>
        </w:rPr>
        <w:t>学生层面：</w:t>
      </w:r>
      <w:r>
        <w:rPr>
          <w:rFonts w:ascii="仿宋_GB2312" w:hAnsi="仿宋_GB2312" w:eastAsia="仿宋_GB2312" w:cs="仿宋_GB2312"/>
          <w:color w:val="auto"/>
          <w:sz w:val="32"/>
          <w:szCs w:val="32"/>
          <w:shd w:val="clear" w:color="auto" w:fill="FFFFFF"/>
        </w:rPr>
        <w:t>错题本自动生成，个性化练习推送，学习效率提升明显，学生参与度和学习兴趣显著提高；</w:t>
      </w:r>
    </w:p>
    <w:p w14:paraId="64107341">
      <w:pPr>
        <w:pStyle w:val="6"/>
        <w:widowControl/>
        <w:ind w:firstLine="643" w:firstLineChars="200"/>
        <w:rPr>
          <w:rFonts w:ascii="仿宋_GB2312" w:hAnsi="仿宋_GB2312" w:eastAsia="仿宋_GB2312" w:cs="仿宋_GB2312"/>
          <w:color w:val="auto"/>
          <w:sz w:val="32"/>
          <w:szCs w:val="32"/>
          <w:shd w:val="clear" w:color="auto" w:fill="FFFFFF"/>
        </w:rPr>
      </w:pPr>
      <w:r>
        <w:rPr>
          <w:rFonts w:ascii="仿宋_GB2312" w:hAnsi="仿宋_GB2312" w:eastAsia="仿宋_GB2312" w:cs="仿宋_GB2312"/>
          <w:b/>
          <w:bCs/>
          <w:color w:val="auto"/>
          <w:sz w:val="32"/>
          <w:szCs w:val="32"/>
          <w:shd w:val="clear" w:color="auto" w:fill="FFFFFF"/>
        </w:rPr>
        <w:t>教学管理层面：</w:t>
      </w:r>
      <w:r>
        <w:rPr>
          <w:rFonts w:ascii="仿宋_GB2312" w:hAnsi="仿宋_GB2312" w:eastAsia="仿宋_GB2312" w:cs="仿宋_GB2312"/>
          <w:color w:val="auto"/>
          <w:sz w:val="32"/>
          <w:szCs w:val="32"/>
          <w:shd w:val="clear" w:color="auto" w:fill="FFFFFF"/>
        </w:rPr>
        <w:t>学校管理者可实时</w:t>
      </w:r>
      <w:r>
        <w:rPr>
          <w:rFonts w:hint="eastAsia" w:ascii="仿宋_GB2312" w:hAnsi="仿宋_GB2312" w:eastAsia="仿宋_GB2312" w:cs="仿宋_GB2312"/>
          <w:color w:val="auto"/>
          <w:sz w:val="32"/>
          <w:szCs w:val="32"/>
          <w:shd w:val="clear" w:color="auto" w:fill="FFFFFF"/>
        </w:rPr>
        <w:t>同步</w:t>
      </w:r>
      <w:r>
        <w:rPr>
          <w:rFonts w:ascii="仿宋_GB2312" w:hAnsi="仿宋_GB2312" w:eastAsia="仿宋_GB2312" w:cs="仿宋_GB2312"/>
          <w:color w:val="auto"/>
          <w:sz w:val="32"/>
          <w:szCs w:val="32"/>
          <w:shd w:val="clear" w:color="auto" w:fill="FFFFFF"/>
        </w:rPr>
        <w:t>查看作业完成率、知识点掌握度、班级对比等数据，支持精准教研和教学决策；</w:t>
      </w:r>
    </w:p>
    <w:p w14:paraId="079BF725">
      <w:pPr>
        <w:pStyle w:val="6"/>
        <w:widowControl/>
        <w:ind w:firstLine="643" w:firstLineChars="200"/>
        <w:rPr>
          <w:rFonts w:ascii="仿宋_GB2312" w:hAnsi="仿宋_GB2312" w:eastAsia="仿宋_GB2312" w:cs="仿宋_GB2312"/>
          <w:color w:val="auto"/>
          <w:sz w:val="32"/>
          <w:szCs w:val="32"/>
          <w:shd w:val="clear" w:color="auto" w:fill="FFFFFF"/>
        </w:rPr>
      </w:pPr>
      <w:r>
        <w:rPr>
          <w:rFonts w:ascii="仿宋_GB2312" w:hAnsi="仿宋_GB2312" w:eastAsia="仿宋_GB2312" w:cs="仿宋_GB2312"/>
          <w:b/>
          <w:bCs/>
          <w:color w:val="auto"/>
          <w:sz w:val="32"/>
          <w:szCs w:val="32"/>
          <w:shd w:val="clear" w:color="auto" w:fill="FFFFFF"/>
        </w:rPr>
        <w:t>家长层面：</w:t>
      </w:r>
      <w:r>
        <w:rPr>
          <w:rFonts w:ascii="仿宋_GB2312" w:hAnsi="仿宋_GB2312" w:eastAsia="仿宋_GB2312" w:cs="仿宋_GB2312"/>
          <w:color w:val="auto"/>
          <w:sz w:val="32"/>
          <w:szCs w:val="32"/>
          <w:shd w:val="clear" w:color="auto" w:fill="FFFFFF"/>
        </w:rPr>
        <w:t>通过微信端实时了解孩子作业完成情况、错题分析和学习进展，实现家校共育。</w:t>
      </w:r>
    </w:p>
    <w:p w14:paraId="0C127041">
      <w:pPr>
        <w:snapToGrid w:val="0"/>
        <w:spacing w:line="360" w:lineRule="auto"/>
        <w:ind w:firstLine="640"/>
        <w:rPr>
          <w:rFonts w:hint="eastAsia" w:ascii="黑体" w:hAnsi="黑体" w:eastAsia="黑体" w:cs="黑体"/>
          <w:color w:val="auto"/>
          <w:sz w:val="32"/>
          <w:szCs w:val="32"/>
          <w:shd w:val="clear" w:color="auto" w:fill="FFFFFF"/>
        </w:rPr>
      </w:pPr>
      <w:r>
        <w:rPr>
          <w:rFonts w:hint="eastAsia" w:ascii="黑体" w:hAnsi="黑体" w:eastAsia="黑体" w:cs="黑体"/>
          <w:color w:val="auto"/>
          <w:sz w:val="32"/>
          <w:szCs w:val="32"/>
          <w:shd w:val="clear" w:color="auto" w:fill="FFFFFF"/>
        </w:rPr>
        <w:t>三、案例所获得荣誉、复制推广情况等</w:t>
      </w:r>
    </w:p>
    <w:p w14:paraId="5618E851">
      <w:pPr>
        <w:snapToGrid w:val="0"/>
        <w:spacing w:line="360" w:lineRule="auto"/>
        <w:ind w:firstLine="640"/>
        <w:rPr>
          <w:rFonts w:ascii="仿宋_GB2312" w:hAnsi="仿宋_GB2312" w:eastAsia="仿宋_GB2312" w:cs="仿宋_GB2312"/>
          <w:color w:val="auto"/>
          <w:sz w:val="32"/>
          <w:szCs w:val="32"/>
          <w:shd w:val="clear" w:color="auto" w:fill="FFFFFF"/>
        </w:rPr>
      </w:pPr>
      <w:r>
        <w:rPr>
          <w:rFonts w:ascii="仿宋_GB2312" w:hAnsi="仿宋_GB2312" w:eastAsia="仿宋_GB2312" w:cs="仿宋_GB2312"/>
          <w:color w:val="auto"/>
          <w:sz w:val="32"/>
          <w:szCs w:val="32"/>
          <w:shd w:val="clear" w:color="auto" w:fill="FFFFFF"/>
        </w:rPr>
        <w:t>本案例所采用的“智码错题本”系统</w:t>
      </w:r>
      <w:r>
        <w:rPr>
          <w:rFonts w:hint="eastAsia" w:ascii="仿宋_GB2312" w:hAnsi="仿宋_GB2312" w:eastAsia="仿宋_GB2312" w:cs="仿宋_GB2312"/>
          <w:color w:val="auto"/>
          <w:sz w:val="32"/>
          <w:szCs w:val="32"/>
          <w:shd w:val="clear" w:color="auto" w:fill="FFFFFF"/>
        </w:rPr>
        <w:t>已</w:t>
      </w:r>
      <w:r>
        <w:rPr>
          <w:rFonts w:ascii="仿宋_GB2312" w:hAnsi="仿宋_GB2312" w:eastAsia="仿宋_GB2312" w:cs="仿宋_GB2312"/>
          <w:color w:val="auto"/>
          <w:sz w:val="32"/>
          <w:szCs w:val="32"/>
          <w:shd w:val="clear" w:color="auto" w:fill="FFFFFF"/>
        </w:rPr>
        <w:t>成功</w:t>
      </w:r>
      <w:r>
        <w:rPr>
          <w:rFonts w:hint="eastAsia" w:ascii="仿宋_GB2312" w:hAnsi="仿宋_GB2312" w:eastAsia="仿宋_GB2312" w:cs="仿宋_GB2312"/>
          <w:color w:val="auto"/>
          <w:sz w:val="32"/>
          <w:szCs w:val="32"/>
          <w:shd w:val="clear" w:color="auto" w:fill="FFFFFF"/>
        </w:rPr>
        <w:t>落地</w:t>
      </w:r>
      <w:r>
        <w:rPr>
          <w:rFonts w:ascii="仿宋_GB2312" w:hAnsi="仿宋_GB2312" w:eastAsia="仿宋_GB2312" w:cs="仿宋_GB2312"/>
          <w:color w:val="auto"/>
          <w:sz w:val="32"/>
          <w:szCs w:val="32"/>
          <w:shd w:val="clear" w:color="auto" w:fill="FFFFFF"/>
        </w:rPr>
        <w:t>江门市第一实验学校数字校园学生评价系统项目，并在第三届江门市小学生现场阅读写作大会中实现无纸化评阅和实时转播，获得广泛好评。</w:t>
      </w:r>
      <w:r>
        <w:rPr>
          <w:rFonts w:hint="eastAsia" w:ascii="仿宋_GB2312" w:hAnsi="仿宋_GB2312" w:eastAsia="仿宋_GB2312" w:cs="仿宋_GB2312"/>
          <w:color w:val="auto"/>
          <w:sz w:val="32"/>
          <w:szCs w:val="32"/>
          <w:shd w:val="clear" w:color="auto" w:fill="FFFFFF"/>
        </w:rPr>
        <w:t>该系统已经在辽宁省、北京、广东省江门、重庆</w:t>
      </w:r>
      <w:r>
        <w:rPr>
          <w:rFonts w:ascii="仿宋_GB2312" w:hAnsi="仿宋_GB2312" w:eastAsia="仿宋_GB2312" w:cs="仿宋_GB2312"/>
          <w:color w:val="auto"/>
          <w:sz w:val="32"/>
          <w:szCs w:val="32"/>
          <w:shd w:val="clear" w:color="auto" w:fill="FFFFFF"/>
        </w:rPr>
        <w:t>等</w:t>
      </w:r>
      <w:r>
        <w:rPr>
          <w:rFonts w:hint="eastAsia" w:ascii="仿宋_GB2312" w:hAnsi="仿宋_GB2312" w:eastAsia="仿宋_GB2312" w:cs="仿宋_GB2312"/>
          <w:color w:val="auto"/>
          <w:sz w:val="32"/>
          <w:szCs w:val="32"/>
          <w:shd w:val="clear" w:color="auto" w:fill="FFFFFF"/>
        </w:rPr>
        <w:t>地诸多</w:t>
      </w:r>
      <w:r>
        <w:rPr>
          <w:rFonts w:ascii="仿宋_GB2312" w:hAnsi="仿宋_GB2312" w:eastAsia="仿宋_GB2312" w:cs="仿宋_GB2312"/>
          <w:color w:val="auto"/>
          <w:sz w:val="32"/>
          <w:szCs w:val="32"/>
          <w:shd w:val="clear" w:color="auto" w:fill="FFFFFF"/>
        </w:rPr>
        <w:t>学校常态化应用，支持日常作业、周清、月清、培优辅弱等场景。该案例具备较强的可复制性和推广价值，适合在中小学智慧校园建设中推广</w:t>
      </w:r>
      <w:r>
        <w:rPr>
          <w:rFonts w:hint="eastAsia" w:ascii="仿宋_GB2312" w:hAnsi="仿宋_GB2312" w:eastAsia="仿宋_GB2312" w:cs="仿宋_GB2312"/>
          <w:color w:val="auto"/>
          <w:sz w:val="32"/>
          <w:szCs w:val="32"/>
          <w:shd w:val="clear" w:color="auto" w:fill="FFFFFF"/>
        </w:rPr>
        <w:t>，目前已落地中山市华侨中学AI智慧教学系统应用案例。</w:t>
      </w:r>
    </w:p>
    <w:p w14:paraId="20FCD2D0">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pict>
          <v:shape id="_x0000_s1047" o:spid="_x0000_s1047" o:spt="75" alt="9a100245-a39a-4073-8947-dfd4d8ab04e7" type="#_x0000_t75" style="position:absolute;left:0pt;margin-left:-2.6pt;margin-top:323.55pt;height:248.05pt;width:441.8pt;mso-position-vertical-relative:page;mso-wrap-distance-left:9pt;mso-wrap-distance-right:9pt;z-index:-251639808;mso-width-relative:page;mso-height-relative:page;" filled="f" o:preferrelative="t" stroked="f" coordsize="21600,21600" wrapcoords="21592 -2 0 0 0 21600 21592 21602 8 21602 21600 21600 21600 0 8 -2 21592 -2">
            <v:path/>
            <v:fill on="f" focussize="0,0"/>
            <v:stroke on="f"/>
            <v:imagedata r:id="rId56" o:title=""/>
            <o:lock v:ext="edit" aspectratio="t"/>
            <w10:wrap type="tight"/>
          </v:shape>
        </w:pict>
      </w:r>
    </w:p>
    <w:p w14:paraId="5E3A2CDD">
      <w:pPr>
        <w:snapToGrid w:val="0"/>
        <w:spacing w:line="560" w:lineRule="exact"/>
        <w:ind w:firstLine="640"/>
        <w:rPr>
          <w:rFonts w:hint="eastAsia" w:ascii="仿宋_GB2312" w:hAnsi="仿宋_GB2312" w:eastAsia="仿宋_GB2312" w:cs="仿宋_GB2312"/>
          <w:color w:val="auto"/>
          <w:sz w:val="32"/>
          <w:szCs w:val="32"/>
          <w:shd w:val="clear" w:color="auto" w:fill="FFFFFF"/>
        </w:rPr>
      </w:pPr>
    </w:p>
    <w:p w14:paraId="3E2D8A08">
      <w:pPr>
        <w:snapToGrid w:val="0"/>
        <w:spacing w:line="560" w:lineRule="exact"/>
        <w:ind w:firstLine="640"/>
        <w:rPr>
          <w:rFonts w:hint="eastAsia" w:ascii="仿宋_GB2312" w:hAnsi="仿宋_GB2312" w:eastAsia="仿宋_GB2312" w:cs="仿宋_GB2312"/>
          <w:color w:val="auto"/>
          <w:sz w:val="32"/>
          <w:szCs w:val="32"/>
          <w:shd w:val="clear" w:color="auto" w:fill="FFFFFF"/>
        </w:rPr>
      </w:pPr>
    </w:p>
    <w:p w14:paraId="7691DCD9">
      <w:pPr>
        <w:snapToGrid w:val="0"/>
        <w:spacing w:line="560" w:lineRule="exact"/>
        <w:ind w:firstLine="640"/>
        <w:rPr>
          <w:rFonts w:hint="eastAsia" w:ascii="仿宋_GB2312" w:hAnsi="仿宋_GB2312" w:eastAsia="仿宋_GB2312" w:cs="仿宋_GB2312"/>
          <w:color w:val="auto"/>
          <w:sz w:val="32"/>
          <w:szCs w:val="32"/>
          <w:shd w:val="clear" w:color="auto" w:fill="FFFFFF"/>
        </w:rPr>
      </w:pPr>
    </w:p>
    <w:p w14:paraId="374C5CA6">
      <w:pPr>
        <w:snapToGrid w:val="0"/>
        <w:spacing w:line="560" w:lineRule="exact"/>
        <w:ind w:firstLine="640"/>
        <w:rPr>
          <w:rFonts w:hint="eastAsia" w:ascii="仿宋_GB2312" w:hAnsi="仿宋_GB2312" w:eastAsia="仿宋_GB2312" w:cs="仿宋_GB2312"/>
          <w:color w:val="auto"/>
          <w:sz w:val="32"/>
          <w:szCs w:val="32"/>
          <w:shd w:val="clear" w:color="auto" w:fill="FFFFFF"/>
        </w:rPr>
      </w:pPr>
    </w:p>
    <w:p w14:paraId="1A834839">
      <w:pPr>
        <w:snapToGrid w:val="0"/>
        <w:spacing w:line="560" w:lineRule="exact"/>
        <w:ind w:firstLine="640"/>
        <w:rPr>
          <w:rFonts w:hint="eastAsia" w:ascii="仿宋_GB2312" w:hAnsi="仿宋_GB2312" w:eastAsia="仿宋_GB2312" w:cs="仿宋_GB2312"/>
          <w:color w:val="auto"/>
          <w:sz w:val="32"/>
          <w:szCs w:val="32"/>
          <w:shd w:val="clear" w:color="auto" w:fill="FFFFFF"/>
        </w:rPr>
      </w:pPr>
    </w:p>
    <w:p w14:paraId="24FA9A00">
      <w:pPr>
        <w:snapToGrid w:val="0"/>
        <w:spacing w:line="560" w:lineRule="exact"/>
        <w:rPr>
          <w:rFonts w:hint="eastAsia" w:ascii="仿宋_GB2312" w:hAnsi="仿宋_GB2312" w:eastAsia="仿宋_GB2312" w:cs="仿宋_GB2312"/>
          <w:color w:val="auto"/>
          <w:sz w:val="32"/>
          <w:szCs w:val="32"/>
          <w:shd w:val="clear" w:color="auto" w:fill="FFFFFF"/>
        </w:rPr>
      </w:pPr>
    </w:p>
    <w:p w14:paraId="2C35A434">
      <w:pPr>
        <w:snapToGrid w:val="0"/>
        <w:spacing w:line="560" w:lineRule="exact"/>
        <w:ind w:firstLine="640"/>
        <w:rPr>
          <w:rFonts w:hint="eastAsia" w:ascii="仿宋_GB2312" w:hAnsi="仿宋_GB2312" w:eastAsia="仿宋_GB2312" w:cs="仿宋_GB2312"/>
          <w:b/>
          <w:bCs/>
          <w:color w:val="auto"/>
          <w:sz w:val="32"/>
          <w:szCs w:val="32"/>
          <w:shd w:val="clear" w:color="auto" w:fill="FFFFFF"/>
        </w:rPr>
      </w:pPr>
      <w:r>
        <w:rPr>
          <w:rFonts w:hint="eastAsia" w:ascii="仿宋_GB2312" w:hAnsi="仿宋_GB2312" w:eastAsia="仿宋_GB2312" w:cs="仿宋_GB2312"/>
          <w:b/>
          <w:bCs/>
          <w:color w:val="auto"/>
          <w:sz w:val="32"/>
          <w:szCs w:val="32"/>
          <w:shd w:val="clear" w:color="auto" w:fill="FFFFFF"/>
        </w:rPr>
        <w:pict>
          <v:shape id="_x0000_s1051" o:spid="_x0000_s1051" o:spt="75" alt="6bbf536a-d440-47d5-a6f9-9de883ccca0a" type="#_x0000_t75" style="position:absolute;left:0pt;margin-left:-0.25pt;margin-top:2.4pt;height:241.45pt;width:429.7pt;z-index:251677696;mso-width-relative:page;mso-height-relative:page;" filled="f" o:preferrelative="t" stroked="f" coordsize="21600,21600">
            <v:path/>
            <v:fill on="f" focussize="0,0"/>
            <v:stroke on="f"/>
            <v:imagedata r:id="rId57" o:title=""/>
            <o:lock v:ext="edit" aspectratio="t"/>
          </v:shape>
        </w:pict>
      </w:r>
    </w:p>
    <w:p w14:paraId="22FAF5C0">
      <w:pPr>
        <w:snapToGrid w:val="0"/>
        <w:spacing w:line="560" w:lineRule="exact"/>
        <w:ind w:firstLine="640"/>
        <w:rPr>
          <w:rFonts w:hint="eastAsia" w:ascii="仿宋_GB2312" w:hAnsi="仿宋_GB2312" w:eastAsia="仿宋_GB2312" w:cs="仿宋_GB2312"/>
          <w:b/>
          <w:bCs/>
          <w:color w:val="auto"/>
          <w:sz w:val="32"/>
          <w:szCs w:val="32"/>
          <w:shd w:val="clear" w:color="auto" w:fill="FFFFFF"/>
        </w:rPr>
      </w:pPr>
    </w:p>
    <w:p w14:paraId="645DA597">
      <w:pPr>
        <w:snapToGrid w:val="0"/>
        <w:spacing w:line="560" w:lineRule="exact"/>
        <w:ind w:firstLine="640"/>
        <w:rPr>
          <w:rFonts w:hint="eastAsia" w:ascii="仿宋_GB2312" w:hAnsi="仿宋_GB2312" w:eastAsia="仿宋_GB2312" w:cs="仿宋_GB2312"/>
          <w:b/>
          <w:bCs/>
          <w:color w:val="auto"/>
          <w:sz w:val="32"/>
          <w:szCs w:val="32"/>
          <w:shd w:val="clear" w:color="auto" w:fill="FFFFFF"/>
        </w:rPr>
      </w:pPr>
    </w:p>
    <w:p w14:paraId="665A01BF">
      <w:pPr>
        <w:snapToGrid w:val="0"/>
        <w:spacing w:line="560" w:lineRule="exact"/>
        <w:ind w:firstLine="640"/>
        <w:rPr>
          <w:rFonts w:hint="eastAsia" w:ascii="仿宋_GB2312" w:hAnsi="仿宋_GB2312" w:eastAsia="仿宋_GB2312" w:cs="仿宋_GB2312"/>
          <w:b/>
          <w:bCs/>
          <w:color w:val="auto"/>
          <w:sz w:val="32"/>
          <w:szCs w:val="32"/>
          <w:shd w:val="clear" w:color="auto" w:fill="FFFFFF"/>
        </w:rPr>
      </w:pPr>
    </w:p>
    <w:p w14:paraId="73155CB1">
      <w:pPr>
        <w:snapToGrid w:val="0"/>
        <w:spacing w:line="560" w:lineRule="exact"/>
        <w:ind w:firstLine="640"/>
        <w:rPr>
          <w:rFonts w:hint="eastAsia" w:ascii="仿宋_GB2312" w:hAnsi="仿宋_GB2312" w:eastAsia="仿宋_GB2312" w:cs="仿宋_GB2312"/>
          <w:b/>
          <w:bCs/>
          <w:color w:val="auto"/>
          <w:sz w:val="32"/>
          <w:szCs w:val="32"/>
          <w:shd w:val="clear" w:color="auto" w:fill="FFFFFF"/>
        </w:rPr>
      </w:pPr>
    </w:p>
    <w:p w14:paraId="7248BA2A">
      <w:pPr>
        <w:snapToGrid w:val="0"/>
        <w:spacing w:line="560" w:lineRule="exact"/>
        <w:ind w:firstLine="640"/>
        <w:rPr>
          <w:rFonts w:hint="eastAsia" w:ascii="仿宋_GB2312" w:hAnsi="仿宋_GB2312" w:eastAsia="仿宋_GB2312" w:cs="仿宋_GB2312"/>
          <w:b/>
          <w:bCs/>
          <w:color w:val="auto"/>
          <w:sz w:val="32"/>
          <w:szCs w:val="32"/>
          <w:shd w:val="clear" w:color="auto" w:fill="FFFFFF"/>
        </w:rPr>
      </w:pPr>
    </w:p>
    <w:p w14:paraId="310E2C57">
      <w:pPr>
        <w:snapToGrid w:val="0"/>
        <w:spacing w:line="560" w:lineRule="exact"/>
        <w:ind w:firstLine="640"/>
        <w:rPr>
          <w:rFonts w:hint="eastAsia" w:ascii="仿宋_GB2312" w:hAnsi="仿宋_GB2312" w:eastAsia="仿宋_GB2312" w:cs="仿宋_GB2312"/>
          <w:b/>
          <w:bCs/>
          <w:color w:val="auto"/>
          <w:sz w:val="32"/>
          <w:szCs w:val="32"/>
          <w:shd w:val="clear" w:color="auto" w:fill="FFFFFF"/>
        </w:rPr>
      </w:pPr>
    </w:p>
    <w:p w14:paraId="497C655C">
      <w:pPr>
        <w:snapToGrid w:val="0"/>
        <w:spacing w:line="560" w:lineRule="exact"/>
        <w:ind w:firstLine="640"/>
        <w:rPr>
          <w:rFonts w:hint="eastAsia" w:ascii="仿宋_GB2312" w:hAnsi="仿宋_GB2312" w:eastAsia="仿宋_GB2312" w:cs="仿宋_GB2312"/>
          <w:b/>
          <w:bCs/>
          <w:color w:val="auto"/>
          <w:sz w:val="32"/>
          <w:szCs w:val="32"/>
          <w:shd w:val="clear" w:color="auto" w:fill="FFFFFF"/>
        </w:rPr>
      </w:pPr>
    </w:p>
    <w:p w14:paraId="29C4C955">
      <w:pPr>
        <w:snapToGrid w:val="0"/>
        <w:spacing w:line="560" w:lineRule="exact"/>
        <w:ind w:firstLine="640"/>
        <w:rPr>
          <w:rFonts w:hint="eastAsia" w:ascii="仿宋_GB2312" w:hAnsi="仿宋_GB2312" w:eastAsia="仿宋_GB2312" w:cs="仿宋_GB2312"/>
          <w:b/>
          <w:bCs/>
          <w:color w:val="auto"/>
          <w:sz w:val="32"/>
          <w:szCs w:val="32"/>
          <w:shd w:val="clear" w:color="auto" w:fill="FFFFFF"/>
        </w:rPr>
      </w:pPr>
    </w:p>
    <w:p w14:paraId="6F524B75">
      <w:pPr>
        <w:snapToGrid w:val="0"/>
        <w:spacing w:line="560" w:lineRule="exact"/>
        <w:ind w:firstLine="640"/>
        <w:rPr>
          <w:rFonts w:hint="eastAsia" w:ascii="仿宋_GB2312" w:hAnsi="仿宋_GB2312" w:eastAsia="仿宋_GB2312" w:cs="仿宋_GB2312"/>
          <w:b/>
          <w:bCs/>
          <w:color w:val="auto"/>
          <w:sz w:val="32"/>
          <w:szCs w:val="32"/>
          <w:shd w:val="clear" w:color="auto" w:fill="FFFFFF"/>
        </w:rPr>
      </w:pPr>
    </w:p>
    <w:p w14:paraId="4407ADDC">
      <w:pPr>
        <w:snapToGrid w:val="0"/>
        <w:spacing w:line="560" w:lineRule="exact"/>
        <w:ind w:firstLine="640"/>
        <w:rPr>
          <w:rFonts w:hint="eastAsia" w:ascii="仿宋_GB2312" w:hAnsi="仿宋_GB2312" w:eastAsia="仿宋_GB2312" w:cs="仿宋_GB2312"/>
          <w:b/>
          <w:bCs/>
          <w:color w:val="auto"/>
          <w:sz w:val="32"/>
          <w:szCs w:val="32"/>
          <w:shd w:val="clear" w:color="auto" w:fill="FFFFFF"/>
        </w:rPr>
      </w:pPr>
    </w:p>
    <w:p w14:paraId="78F36C79">
      <w:pPr>
        <w:spacing w:after="120"/>
        <w:jc w:val="left"/>
        <w:rPr>
          <w:rFonts w:ascii="楷体" w:hAnsi="楷体" w:eastAsia="楷体"/>
          <w:color w:val="auto"/>
        </w:rPr>
      </w:pPr>
    </w:p>
    <w:p w14:paraId="38C7C797">
      <w:pPr>
        <w:pStyle w:val="12"/>
        <w:pageBreakBefore/>
        <w:rPr>
          <w:color w:val="auto"/>
        </w:rPr>
      </w:pPr>
      <w:bookmarkStart w:id="26" w:name="_Toc2418"/>
      <w:r>
        <w:rPr>
          <w:color w:val="auto"/>
        </w:rPr>
        <w:t>案例 12　直播实训智能助手（小陈老师）</w:t>
      </w:r>
      <w:bookmarkEnd w:id="26"/>
    </w:p>
    <w:p w14:paraId="7EE56BD1">
      <w:pPr>
        <w:spacing w:after="40"/>
        <w:jc w:val="left"/>
        <w:rPr>
          <w:rFonts w:ascii="楷体" w:hAnsi="楷体" w:eastAsia="楷体"/>
          <w:color w:val="auto"/>
          <w:sz w:val="22"/>
        </w:rPr>
      </w:pPr>
      <w:r>
        <w:rPr>
          <w:rFonts w:ascii="楷体" w:hAnsi="楷体" w:eastAsia="楷体"/>
          <w:color w:val="auto"/>
          <w:sz w:val="22"/>
        </w:rPr>
        <w:t>申报单位：中山市第一职业技术学校</w:t>
      </w:r>
    </w:p>
    <w:p w14:paraId="4CEEE90A">
      <w:pPr>
        <w:snapToGrid w:val="0"/>
        <w:spacing w:line="560" w:lineRule="exact"/>
        <w:ind w:firstLine="640"/>
        <w:rPr>
          <w:rFonts w:hint="eastAsia" w:ascii="黑体" w:hAnsi="黑体" w:eastAsia="黑体" w:cs="黑体"/>
          <w:color w:val="auto"/>
          <w:sz w:val="32"/>
          <w:szCs w:val="32"/>
          <w:shd w:val="clear" w:color="auto" w:fill="FFFFFF"/>
        </w:rPr>
      </w:pPr>
    </w:p>
    <w:p w14:paraId="575FA352">
      <w:pPr>
        <w:snapToGrid w:val="0"/>
        <w:spacing w:line="560" w:lineRule="exact"/>
        <w:ind w:firstLine="640"/>
        <w:rPr>
          <w:rFonts w:hint="eastAsia" w:ascii="黑体" w:hAnsi="黑体" w:eastAsia="黑体" w:cs="黑体"/>
          <w:color w:val="auto"/>
          <w:sz w:val="32"/>
          <w:szCs w:val="32"/>
          <w:shd w:val="clear" w:color="auto" w:fill="FFFFFF"/>
        </w:rPr>
      </w:pPr>
      <w:r>
        <w:rPr>
          <w:rFonts w:hint="eastAsia" w:ascii="黑体" w:hAnsi="黑体" w:eastAsia="黑体" w:cs="黑体"/>
          <w:color w:val="auto"/>
          <w:sz w:val="32"/>
          <w:szCs w:val="32"/>
          <w:shd w:val="clear" w:color="auto" w:fill="FFFFFF"/>
        </w:rPr>
        <w:t>一、案例基本情况</w:t>
      </w:r>
    </w:p>
    <w:p w14:paraId="3C3A15B2">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（一）案例名称：直播实训智能助手（小陈老师）</w:t>
      </w:r>
    </w:p>
    <w:p w14:paraId="6D12F1D0">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（二）人工智能技术应用方：中山市第一职业技术学校</w:t>
      </w:r>
    </w:p>
    <w:p w14:paraId="17275635">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应用方简介：中山市第一职业技术学校是中山市属中等职业学校，开设有电子商务等专业，其中电子商务专业设直播电商方向，开设《直播策划与运营实务》等专业核心课程，建有直播实训教学环境，具备较好的数字化教学与课程改革基础。学校电子商务专业教学团队长期承担直播电商课程建设与实训教学任务，本案例由该团队6名教师共同研发与应用，团队成员含电子商务高级讲师、讲师及助理讲师。近年来学校持续推进人工智能赋能课堂教学改革，鼓励教师基于国产大模型与无代码平台开发教学智能体，推动</w:t>
      </w:r>
      <w:r>
        <w:rPr>
          <w:rFonts w:hint="eastAsia" w:ascii="仿宋_GB2312" w:hAnsi="仿宋_GB2312" w:eastAsia="仿宋_GB2312"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rPr>
        <w:t>AI＋专业</w:t>
      </w:r>
      <w:r>
        <w:rPr>
          <w:rFonts w:hint="eastAsia" w:ascii="仿宋_GB2312" w:hAnsi="仿宋_GB2312" w:eastAsia="仿宋_GB2312"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rPr>
        <w:t>深度融合。</w:t>
      </w:r>
    </w:p>
    <w:p w14:paraId="7776192B">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w:t>
      </w:r>
      <w:r>
        <w:rPr>
          <w:rFonts w:hint="eastAsia" w:ascii="仿宋_GB2312" w:hAnsi="仿宋_GB2312" w:eastAsia="仿宋_GB2312" w:cs="仿宋_GB2312"/>
          <w:color w:val="auto"/>
          <w:sz w:val="32"/>
          <w:szCs w:val="32"/>
          <w:shd w:val="clear" w:color="auto" w:fill="FFFFFF"/>
          <w:lang w:val="en-US" w:eastAsia="zh-CN"/>
        </w:rPr>
        <w:t>三</w:t>
      </w:r>
      <w:r>
        <w:rPr>
          <w:rFonts w:hint="eastAsia" w:ascii="仿宋_GB2312" w:hAnsi="仿宋_GB2312" w:eastAsia="仿宋_GB2312" w:cs="仿宋_GB2312"/>
          <w:color w:val="auto"/>
          <w:sz w:val="32"/>
          <w:szCs w:val="32"/>
          <w:shd w:val="clear" w:color="auto" w:fill="FFFFFF"/>
        </w:rPr>
        <w:t>）人工智能技术供给方：字节跳动·扣子（Coze）智能体平台（内置豆包·2.0·Code 大模型）</w:t>
      </w:r>
    </w:p>
    <w:p w14:paraId="134956A8">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供给企业简介：扣子（Coze）是字节跳动推出的无代码AI智能体开发平台，提供大模型调用、知识库（RAG）检索、插件工具、工作流编排等能力，支持教师以自然语言方式搭建教学智能体；其内置的豆包大模型提供文本理解与生成、图像生成与理解、视频生成等多模态能力，可支撑教学场景中的脚本评价、素材生成、合规检查等需求。</w:t>
      </w:r>
    </w:p>
    <w:p w14:paraId="21544FDD">
      <w:pPr>
        <w:snapToGrid w:val="0"/>
        <w:spacing w:line="560" w:lineRule="exact"/>
        <w:ind w:firstLine="640"/>
        <w:rPr>
          <w:rFonts w:hint="eastAsia" w:ascii="黑体" w:hAnsi="黑体" w:eastAsia="黑体" w:cs="黑体"/>
          <w:color w:val="auto"/>
          <w:sz w:val="32"/>
          <w:szCs w:val="32"/>
          <w:shd w:val="clear" w:color="auto" w:fill="FFFFFF"/>
        </w:rPr>
      </w:pPr>
      <w:r>
        <w:rPr>
          <w:rFonts w:hint="eastAsia" w:ascii="黑体" w:hAnsi="黑体" w:eastAsia="黑体" w:cs="黑体"/>
          <w:color w:val="auto"/>
          <w:sz w:val="32"/>
          <w:szCs w:val="32"/>
          <w:shd w:val="clear" w:color="auto" w:fill="FFFFFF"/>
        </w:rPr>
        <w:t>二、案例内容介绍</w:t>
      </w:r>
    </w:p>
    <w:p w14:paraId="79F50BD0">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（一）包括案例背景、采用的人工智能关键技术、所实现的功能和亮点优势</w:t>
      </w:r>
    </w:p>
    <w:p w14:paraId="04336FC9">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drawing>
          <wp:anchor distT="0" distB="0" distL="0" distR="0" simplePos="0" relativeHeight="251689984" behindDoc="0" locked="0" layoutInCell="1" allowOverlap="1">
            <wp:simplePos x="0" y="0"/>
            <wp:positionH relativeFrom="column">
              <wp:posOffset>104775</wp:posOffset>
            </wp:positionH>
            <wp:positionV relativeFrom="paragraph">
              <wp:posOffset>2162810</wp:posOffset>
            </wp:positionV>
            <wp:extent cx="5334000" cy="3000375"/>
            <wp:effectExtent l="0" t="0" r="0" b="0"/>
            <wp:wrapTopAndBottom/>
            <wp:docPr id="15" name="picture"/>
            <wp:cNvGraphicFramePr/>
            <a:graphic xmlns:a="http://schemas.openxmlformats.org/drawingml/2006/main">
              <a:graphicData uri="http://schemas.openxmlformats.org/drawingml/2006/picture">
                <pic:pic xmlns:pic="http://schemas.openxmlformats.org/drawingml/2006/picture">
                  <pic:nvPicPr>
                    <pic:cNvPr id="15" name="picture"/>
                    <pic:cNvPicPr/>
                  </pic:nvPicPr>
                  <pic:blipFill>
                    <a:blip r:embed="rId58"/>
                    <a:stretch>
                      <a:fillRect/>
                    </a:stretch>
                  </pic:blipFill>
                  <pic:spPr>
                    <a:xfrm>
                      <a:off x="0" y="0"/>
                      <a:ext cx="5334000" cy="3000375"/>
                    </a:xfrm>
                    <a:prstGeom prst="rect">
                      <a:avLst/>
                    </a:prstGeom>
                  </pic:spPr>
                </pic:pic>
              </a:graphicData>
            </a:graphic>
          </wp:anchor>
        </w:drawing>
      </w:r>
      <w:r>
        <w:rPr>
          <w:rFonts w:hint="eastAsia" w:ascii="仿宋_GB2312" w:hAnsi="仿宋_GB2312" w:eastAsia="仿宋_GB2312" w:cs="仿宋_GB2312"/>
          <w:color w:val="auto"/>
          <w:sz w:val="32"/>
          <w:szCs w:val="32"/>
          <w:shd w:val="clear" w:color="auto" w:fill="FFFFFF"/>
        </w:rPr>
        <w:t>案例背景：在《直播策划与运营实务》课程教学中长期存在三大痛点：一是学习路径模糊，76%的学生不知从何学起、68%无学习计划、52%因缺少正反馈而轻易放弃；二是理论实操脱节，学生</w:t>
      </w:r>
      <w:r>
        <w:rPr>
          <w:rFonts w:hint="eastAsia" w:ascii="仿宋_GB2312" w:hAnsi="仿宋_GB2312" w:eastAsia="仿宋_GB2312"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rPr>
        <w:t>一听就懂、一做就废</w:t>
      </w:r>
      <w:r>
        <w:rPr>
          <w:rFonts w:hint="eastAsia" w:ascii="仿宋_GB2312" w:hAnsi="仿宋_GB2312" w:eastAsia="仿宋_GB2312"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rPr>
        <w:t>，首次脚本平均仅58.3分，普遍缺少互动设计与逼单话术；三是缺乏个性化反馈，大班教学中教师批改一份脚本需8—10分钟，只能给出笼统评价。</w:t>
      </w:r>
    </w:p>
    <w:p w14:paraId="6A778132">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图1 直播电商教学三大痛点（演示视频截图）</w:t>
      </w:r>
    </w:p>
    <w:p w14:paraId="0EB1CD40">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关键技术：以国产豆包·2.0·Code大模型与扣子（Coze）智能体平台为技术基座，融合大模型推理、8万字RAG知识库检索（课程讲义、20个优秀脚本案例、违规词库、海报评分标准、头部主播复盘）、多模态生成与理解（文生图、图生视频、图像合规分析）及可视化工作流编排。</w:t>
      </w:r>
    </w:p>
    <w:p w14:paraId="0D276F37">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功能与亮点：构建</w:t>
      </w:r>
      <w:r>
        <w:rPr>
          <w:rFonts w:hint="eastAsia" w:ascii="仿宋_GB2312" w:hAnsi="仿宋_GB2312" w:eastAsia="仿宋_GB2312"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rPr>
        <w:t>计划—建议—解惑—实践—评估</w:t>
      </w:r>
      <w:r>
        <w:rPr>
          <w:rFonts w:hint="eastAsia" w:ascii="仿宋_GB2312" w:hAnsi="仿宋_GB2312" w:eastAsia="仿宋_GB2312"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rPr>
        <w:t>五步闭环、四层八大模块的助学智能体。四大亮点：一是免登录、扫</w:t>
      </w:r>
      <w:r>
        <w:rPr>
          <w:rFonts w:hint="eastAsia" w:ascii="仿宋_GB2312" w:hAnsi="仿宋_GB2312" w:eastAsia="仿宋_GB2312" w:cs="仿宋_GB2312"/>
          <w:color w:val="auto"/>
          <w:sz w:val="32"/>
          <w:szCs w:val="32"/>
          <w:shd w:val="clear" w:color="auto" w:fill="FFFFFF"/>
        </w:rPr>
        <w:drawing>
          <wp:anchor distT="0" distB="0" distL="0" distR="0" simplePos="0" relativeHeight="251691008" behindDoc="0" locked="0" layoutInCell="1" allowOverlap="1">
            <wp:simplePos x="0" y="0"/>
            <wp:positionH relativeFrom="column">
              <wp:posOffset>76835</wp:posOffset>
            </wp:positionH>
            <wp:positionV relativeFrom="paragraph">
              <wp:posOffset>2109470</wp:posOffset>
            </wp:positionV>
            <wp:extent cx="5334000" cy="3000375"/>
            <wp:effectExtent l="0" t="0" r="0" b="0"/>
            <wp:wrapTopAndBottom/>
            <wp:docPr id="16" name="picture"/>
            <wp:cNvGraphicFramePr/>
            <a:graphic xmlns:a="http://schemas.openxmlformats.org/drawingml/2006/main">
              <a:graphicData uri="http://schemas.openxmlformats.org/drawingml/2006/picture">
                <pic:pic xmlns:pic="http://schemas.openxmlformats.org/drawingml/2006/picture">
                  <pic:nvPicPr>
                    <pic:cNvPr id="16" name="picture"/>
                    <pic:cNvPicPr/>
                  </pic:nvPicPr>
                  <pic:blipFill>
                    <a:blip r:embed="rId59"/>
                    <a:stretch>
                      <a:fillRect/>
                    </a:stretch>
                  </pic:blipFill>
                  <pic:spPr>
                    <a:xfrm>
                      <a:off x="0" y="0"/>
                      <a:ext cx="5334000" cy="3000375"/>
                    </a:xfrm>
                    <a:prstGeom prst="rect">
                      <a:avLst/>
                    </a:prstGeom>
                  </pic:spPr>
                </pic:pic>
              </a:graphicData>
            </a:graphic>
          </wp:anchor>
        </w:drawing>
      </w:r>
      <w:r>
        <w:rPr>
          <w:rFonts w:hint="eastAsia" w:ascii="仿宋_GB2312" w:hAnsi="仿宋_GB2312" w:eastAsia="仿宋_GB2312" w:cs="仿宋_GB2312"/>
          <w:color w:val="auto"/>
          <w:sz w:val="32"/>
          <w:szCs w:val="32"/>
          <w:shd w:val="clear" w:color="auto" w:fill="FFFFFF"/>
        </w:rPr>
        <w:t>码即用、7×24小时在线；二是脚本量化评价工作流，基于9项规范性维度与</w:t>
      </w:r>
      <w:r>
        <w:rPr>
          <w:rFonts w:hint="eastAsia" w:ascii="仿宋_GB2312" w:hAnsi="仿宋_GB2312" w:eastAsia="仿宋_GB2312"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rPr>
        <w:t>结构完整性50分＋互动设计50分</w:t>
      </w:r>
      <w:r>
        <w:rPr>
          <w:rFonts w:hint="eastAsia" w:ascii="仿宋_GB2312" w:hAnsi="仿宋_GB2312" w:eastAsia="仿宋_GB2312"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rPr>
        <w:t>双维度评分，30秒内输出A/B/C/D等级及修改建议；三是一站式完成主图、海报、短视频生成与违规词合规检查；四是教师无需编程即可搭建，配置可开源复用，其他院校30分钟内完成复刻</w:t>
      </w:r>
    </w:p>
    <w:p w14:paraId="5C764286">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图2 智能体PC端对话界面（演示视频截图）</w:t>
      </w:r>
    </w:p>
    <w:p w14:paraId="5B0A3C37">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drawing>
          <wp:anchor distT="0" distB="0" distL="0" distR="0" simplePos="0" relativeHeight="251692032" behindDoc="0" locked="0" layoutInCell="1" allowOverlap="1">
            <wp:simplePos x="0" y="0"/>
            <wp:positionH relativeFrom="column">
              <wp:posOffset>34925</wp:posOffset>
            </wp:positionH>
            <wp:positionV relativeFrom="paragraph">
              <wp:posOffset>36195</wp:posOffset>
            </wp:positionV>
            <wp:extent cx="5334000" cy="3000375"/>
            <wp:effectExtent l="0" t="0" r="0" b="0"/>
            <wp:wrapTopAndBottom/>
            <wp:docPr id="18" name="picture"/>
            <wp:cNvGraphicFramePr/>
            <a:graphic xmlns:a="http://schemas.openxmlformats.org/drawingml/2006/main">
              <a:graphicData uri="http://schemas.openxmlformats.org/drawingml/2006/picture">
                <pic:pic xmlns:pic="http://schemas.openxmlformats.org/drawingml/2006/picture">
                  <pic:nvPicPr>
                    <pic:cNvPr id="18" name="picture"/>
                    <pic:cNvPicPr/>
                  </pic:nvPicPr>
                  <pic:blipFill>
                    <a:blip r:embed="rId60"/>
                    <a:stretch>
                      <a:fillRect/>
                    </a:stretch>
                  </pic:blipFill>
                  <pic:spPr>
                    <a:xfrm>
                      <a:off x="0" y="0"/>
                      <a:ext cx="5334000" cy="3000375"/>
                    </a:xfrm>
                    <a:prstGeom prst="rect">
                      <a:avLst/>
                    </a:prstGeom>
                  </pic:spPr>
                </pic:pic>
              </a:graphicData>
            </a:graphic>
          </wp:anchor>
        </w:drawing>
      </w:r>
      <w:r>
        <w:rPr>
          <w:rFonts w:hint="eastAsia" w:ascii="仿宋_GB2312" w:hAnsi="仿宋_GB2312" w:eastAsia="仿宋_GB2312" w:cs="仿宋_GB2312"/>
          <w:color w:val="auto"/>
          <w:sz w:val="32"/>
          <w:szCs w:val="32"/>
          <w:shd w:val="clear" w:color="auto" w:fill="FFFFFF"/>
        </w:rPr>
        <w:t>图3 脚本量化评价与修改建议演示视频截图</w:t>
      </w:r>
    </w:p>
    <w:p w14:paraId="0E08BF43">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（二）具体应用成效</w:t>
      </w:r>
    </w:p>
    <w:p w14:paraId="687A0D72">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drawing>
          <wp:anchor distT="0" distB="0" distL="0" distR="0" simplePos="0" relativeHeight="251693056" behindDoc="0" locked="0" layoutInCell="1" allowOverlap="1">
            <wp:simplePos x="0" y="0"/>
            <wp:positionH relativeFrom="column">
              <wp:posOffset>92075</wp:posOffset>
            </wp:positionH>
            <wp:positionV relativeFrom="paragraph">
              <wp:posOffset>4281170</wp:posOffset>
            </wp:positionV>
            <wp:extent cx="5334000" cy="1590675"/>
            <wp:effectExtent l="0" t="0" r="0" b="0"/>
            <wp:wrapTopAndBottom/>
            <wp:docPr id="14" name="picture"/>
            <wp:cNvGraphicFramePr/>
            <a:graphic xmlns:a="http://schemas.openxmlformats.org/drawingml/2006/main">
              <a:graphicData uri="http://schemas.openxmlformats.org/drawingml/2006/picture">
                <pic:pic xmlns:pic="http://schemas.openxmlformats.org/drawingml/2006/picture">
                  <pic:nvPicPr>
                    <pic:cNvPr id="14" name="picture"/>
                    <pic:cNvPicPr/>
                  </pic:nvPicPr>
                  <pic:blipFill>
                    <a:blip r:embed="rId61"/>
                    <a:stretch>
                      <a:fillRect/>
                    </a:stretch>
                  </pic:blipFill>
                  <pic:spPr>
                    <a:xfrm>
                      <a:off x="0" y="0"/>
                      <a:ext cx="5334000" cy="1590675"/>
                    </a:xfrm>
                    <a:prstGeom prst="rect">
                      <a:avLst/>
                    </a:prstGeom>
                  </pic:spPr>
                </pic:pic>
              </a:graphicData>
            </a:graphic>
          </wp:anchor>
        </w:drawing>
      </w:r>
      <w:r>
        <w:rPr>
          <w:rFonts w:hint="eastAsia" w:ascii="仿宋_GB2312" w:hAnsi="仿宋_GB2312" w:eastAsia="仿宋_GB2312" w:cs="仿宋_GB2312"/>
          <w:color w:val="auto"/>
          <w:sz w:val="32"/>
          <w:szCs w:val="32"/>
          <w:shd w:val="clear" w:color="auto" w:fill="FFFFFF"/>
        </w:rPr>
        <w:t>本智能体已于2026年9月在电子商务专业《直播策划与运营实务》课程中常态化应用，覆盖12个班级、600名学生。平台统计显示：上线以来累计提问820次，其中9月14日至20日一周提问260次、单日峰值103次；回复来源中任务流命中占51.15%、大模型命中占27.69%、知识库命中占15.39%，结构化优质回复合计占94.23%，暂无不满意评价。与技术应用前相比：一是学习路径由模糊变清晰，100%的学生获得个性化8周学习计划，“不知从何学起”的比例由76%显著下降；二是实操能力明显提升，脚本批改由每份8—10分钟缩短至30秒内，学生脚本平均分由58.3分提升至【结课实测分值】；三是个性化指导实现全覆盖，学生课后提问响应时间由“次日课堂”缩短至3秒内。</w:t>
      </w:r>
    </w:p>
    <w:p w14:paraId="4DB57A9B">
      <w:pPr>
        <w:snapToGrid w:val="0"/>
        <w:spacing w:line="560" w:lineRule="exact"/>
        <w:ind w:firstLine="640"/>
        <w:rPr>
          <w:rFonts w:hint="eastAsia" w:ascii="仿宋_GB2312" w:hAnsi="仿宋_GB2312" w:eastAsia="仿宋_GB2312" w:cs="仿宋_GB2312"/>
          <w:color w:val="auto"/>
          <w:sz w:val="32"/>
          <w:szCs w:val="32"/>
          <w:shd w:val="clear" w:color="auto" w:fill="FFFFFF"/>
        </w:rPr>
      </w:pPr>
    </w:p>
    <w:p w14:paraId="7CD55487">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drawing>
          <wp:anchor distT="0" distB="0" distL="0" distR="0" simplePos="0" relativeHeight="251694080" behindDoc="0" locked="0" layoutInCell="1" allowOverlap="1">
            <wp:simplePos x="0" y="0"/>
            <wp:positionH relativeFrom="column">
              <wp:posOffset>13970</wp:posOffset>
            </wp:positionH>
            <wp:positionV relativeFrom="paragraph">
              <wp:posOffset>459105</wp:posOffset>
            </wp:positionV>
            <wp:extent cx="5334000" cy="1666875"/>
            <wp:effectExtent l="0" t="0" r="0" b="0"/>
            <wp:wrapTopAndBottom/>
            <wp:docPr id="17" name="picture"/>
            <wp:cNvGraphicFramePr/>
            <a:graphic xmlns:a="http://schemas.openxmlformats.org/drawingml/2006/main">
              <a:graphicData uri="http://schemas.openxmlformats.org/drawingml/2006/picture">
                <pic:pic xmlns:pic="http://schemas.openxmlformats.org/drawingml/2006/picture">
                  <pic:nvPicPr>
                    <pic:cNvPr id="17" name="picture"/>
                    <pic:cNvPicPr/>
                  </pic:nvPicPr>
                  <pic:blipFill>
                    <a:blip r:embed="rId62"/>
                    <a:stretch>
                      <a:fillRect/>
                    </a:stretch>
                  </pic:blipFill>
                  <pic:spPr>
                    <a:xfrm>
                      <a:off x="0" y="0"/>
                      <a:ext cx="5334000" cy="1666875"/>
                    </a:xfrm>
                    <a:prstGeom prst="rect">
                      <a:avLst/>
                    </a:prstGeom>
                  </pic:spPr>
                </pic:pic>
              </a:graphicData>
            </a:graphic>
          </wp:anchor>
        </w:drawing>
      </w:r>
      <w:r>
        <w:rPr>
          <w:rFonts w:hint="eastAsia" w:ascii="仿宋_GB2312" w:hAnsi="仿宋_GB2312" w:eastAsia="仿宋_GB2312" w:cs="仿宋_GB2312"/>
          <w:color w:val="auto"/>
          <w:sz w:val="32"/>
          <w:szCs w:val="32"/>
          <w:shd w:val="clear" w:color="auto" w:fill="FFFFFF"/>
        </w:rPr>
        <w:t>图</w:t>
      </w:r>
      <w:r>
        <w:rPr>
          <w:rFonts w:hint="eastAsia" w:ascii="仿宋_GB2312" w:hAnsi="仿宋_GB2312" w:eastAsia="仿宋_GB2312" w:cs="仿宋_GB2312"/>
          <w:color w:val="auto"/>
          <w:sz w:val="32"/>
          <w:szCs w:val="32"/>
          <w:shd w:val="clear" w:color="auto" w:fill="FFFFFF"/>
          <w:lang w:val="en-US" w:eastAsia="zh-CN"/>
        </w:rPr>
        <w:t>4</w:t>
      </w:r>
      <w:r>
        <w:rPr>
          <w:rFonts w:hint="eastAsia" w:ascii="仿宋_GB2312" w:hAnsi="仿宋_GB2312" w:eastAsia="仿宋_GB2312" w:cs="仿宋_GB2312"/>
          <w:color w:val="auto"/>
          <w:sz w:val="32"/>
          <w:szCs w:val="32"/>
          <w:shd w:val="clear" w:color="auto" w:fill="FFFFFF"/>
        </w:rPr>
        <w:t xml:space="preserve"> 一周提问趋势与回复命中来源</w:t>
      </w:r>
    </w:p>
    <w:p w14:paraId="235CA64B">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图</w:t>
      </w:r>
      <w:r>
        <w:rPr>
          <w:rFonts w:hint="eastAsia" w:ascii="仿宋_GB2312" w:hAnsi="仿宋_GB2312" w:eastAsia="仿宋_GB2312" w:cs="仿宋_GB2312"/>
          <w:color w:val="auto"/>
          <w:sz w:val="32"/>
          <w:szCs w:val="32"/>
          <w:shd w:val="clear" w:color="auto" w:fill="FFFFFF"/>
          <w:lang w:val="en-US" w:eastAsia="zh-CN"/>
        </w:rPr>
        <w:t>5</w:t>
      </w:r>
      <w:r>
        <w:rPr>
          <w:rFonts w:hint="eastAsia" w:ascii="仿宋_GB2312" w:hAnsi="仿宋_GB2312" w:eastAsia="仿宋_GB2312" w:cs="仿宋_GB2312"/>
          <w:color w:val="auto"/>
          <w:sz w:val="32"/>
          <w:szCs w:val="32"/>
          <w:shd w:val="clear" w:color="auto" w:fill="FFFFFF"/>
        </w:rPr>
        <w:t xml:space="preserve"> 智能体回复类型统计</w:t>
      </w:r>
    </w:p>
    <w:p w14:paraId="574BFD85">
      <w:pPr>
        <w:snapToGrid w:val="0"/>
        <w:spacing w:line="560" w:lineRule="exact"/>
        <w:ind w:firstLine="640"/>
        <w:rPr>
          <w:rFonts w:hint="eastAsia" w:ascii="黑体" w:hAnsi="黑体" w:eastAsia="黑体" w:cs="黑体"/>
          <w:color w:val="auto"/>
          <w:sz w:val="32"/>
          <w:szCs w:val="32"/>
          <w:shd w:val="clear" w:color="auto" w:fill="FFFFFF"/>
        </w:rPr>
      </w:pPr>
      <w:r>
        <w:rPr>
          <w:rFonts w:hint="eastAsia" w:ascii="黑体" w:hAnsi="黑体" w:eastAsia="黑体" w:cs="黑体"/>
          <w:color w:val="auto"/>
          <w:sz w:val="32"/>
          <w:szCs w:val="32"/>
          <w:shd w:val="clear" w:color="auto" w:fill="FFFFFF"/>
        </w:rPr>
        <w:t>三、案例所获得荣誉、复制推广情况等</w:t>
      </w:r>
    </w:p>
    <w:p w14:paraId="2C009C96">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本案例已形成完整的《直播实训智能助手（小陈老师）操作手册》，涵盖智能体基本信息、访问入口、八大功能模块、操作步骤演示、插件与知识库清单、核心工作流说明及价值示范，具备可复现的完整技术文档。智能体对终端用户免登录开放，通过短链（https://www.coze.cn/s/kHxDQKN3C7Y/ ）、智能体商店（https://www.coze.cn/store/agent/7568740572492644393 ）或微信扫码即可访问，PC端与移动端均可使用。整套配置基于无代码平台搭建，教师无需编程即可复制，其他院校可在30分钟内完成复刻，目前已在校内直播策划与运营基础课程推广应用，并在公开课中作了介</w:t>
      </w:r>
      <w:r>
        <w:rPr>
          <w:rFonts w:hint="eastAsia" w:ascii="仿宋_GB2312" w:hAnsi="仿宋_GB2312" w:eastAsia="仿宋_GB2312" w:cs="仿宋_GB2312"/>
          <w:color w:val="auto"/>
          <w:sz w:val="32"/>
          <w:szCs w:val="32"/>
          <w:shd w:val="clear" w:color="auto" w:fill="FFFFFF"/>
          <w:lang w:eastAsia="zh-CN"/>
        </w:rPr>
        <w:t>绍和</w:t>
      </w:r>
      <w:r>
        <w:rPr>
          <w:rFonts w:hint="eastAsia" w:ascii="仿宋_GB2312" w:hAnsi="仿宋_GB2312" w:eastAsia="仿宋_GB2312" w:cs="仿宋_GB2312"/>
          <w:color w:val="auto"/>
          <w:sz w:val="32"/>
          <w:szCs w:val="32"/>
          <w:shd w:val="clear" w:color="auto" w:fill="FFFFFF"/>
        </w:rPr>
        <w:t>交流。荣誉情况：在中山市首届教育智能体创作比赛中，荣获一等奖。</w:t>
      </w:r>
    </w:p>
    <w:p w14:paraId="1CF88208">
      <w:pPr>
        <w:rPr>
          <w:color w:val="auto"/>
        </w:rPr>
      </w:pPr>
    </w:p>
    <w:p w14:paraId="3F3058CC">
      <w:pPr>
        <w:rPr>
          <w:color w:val="auto"/>
        </w:rPr>
      </w:pPr>
    </w:p>
    <w:p w14:paraId="75D338DB">
      <w:pPr>
        <w:spacing w:after="40"/>
        <w:jc w:val="left"/>
        <w:rPr>
          <w:rFonts w:ascii="楷体" w:hAnsi="楷体" w:eastAsia="楷体"/>
          <w:color w:val="auto"/>
          <w:sz w:val="22"/>
        </w:rPr>
      </w:pPr>
    </w:p>
    <w:p w14:paraId="4678E670">
      <w:pPr>
        <w:pStyle w:val="12"/>
        <w:pageBreakBefore/>
        <w:rPr>
          <w:color w:val="auto"/>
        </w:rPr>
      </w:pPr>
      <w:bookmarkStart w:id="27" w:name="_Toc22128"/>
      <w:r>
        <w:rPr>
          <w:color w:val="auto"/>
        </w:rPr>
        <w:t>案例 13　非穿戴式坐姿AI提醒器</w:t>
      </w:r>
      <w:bookmarkEnd w:id="27"/>
    </w:p>
    <w:p w14:paraId="6951BB11">
      <w:pPr>
        <w:spacing w:after="40"/>
        <w:jc w:val="left"/>
        <w:rPr>
          <w:rFonts w:ascii="方正小标宋简体" w:hAnsi="方正小标宋简体" w:eastAsia="方正小标宋简体" w:cs="方正小标宋简体"/>
          <w:color w:val="auto"/>
          <w:sz w:val="44"/>
          <w:szCs w:val="44"/>
          <w:shd w:val="clear" w:color="auto" w:fill="FFFFFF"/>
        </w:rPr>
      </w:pPr>
      <w:r>
        <w:rPr>
          <w:rFonts w:ascii="楷体" w:hAnsi="楷体" w:eastAsia="楷体"/>
          <w:color w:val="auto"/>
          <w:sz w:val="22"/>
        </w:rPr>
        <w:t>申报单位：中山市港口中学</w:t>
      </w:r>
    </w:p>
    <w:p w14:paraId="2D7A1FF2">
      <w:pPr>
        <w:snapToGrid w:val="0"/>
        <w:spacing w:line="560" w:lineRule="exact"/>
        <w:rPr>
          <w:rFonts w:hint="eastAsia" w:ascii="仿宋_GB2312" w:hAnsi="仿宋_GB2312" w:eastAsia="仿宋_GB2312" w:cs="仿宋_GB2312"/>
          <w:color w:val="auto"/>
          <w:sz w:val="32"/>
          <w:szCs w:val="32"/>
          <w:shd w:val="clear" w:color="auto" w:fill="FFFFFF"/>
        </w:rPr>
      </w:pPr>
    </w:p>
    <w:p w14:paraId="4361B498">
      <w:pPr>
        <w:snapToGrid w:val="0"/>
        <w:spacing w:line="560" w:lineRule="exact"/>
        <w:ind w:firstLine="640"/>
        <w:rPr>
          <w:rFonts w:hint="eastAsia" w:ascii="黑体" w:hAnsi="黑体" w:eastAsia="黑体" w:cs="黑体"/>
          <w:color w:val="auto"/>
          <w:sz w:val="32"/>
          <w:szCs w:val="32"/>
          <w:shd w:val="clear" w:color="auto" w:fill="FFFFFF"/>
        </w:rPr>
      </w:pPr>
      <w:r>
        <w:rPr>
          <w:rFonts w:hint="eastAsia" w:ascii="黑体" w:hAnsi="黑体" w:eastAsia="黑体" w:cs="黑体"/>
          <w:color w:val="auto"/>
          <w:sz w:val="32"/>
          <w:szCs w:val="32"/>
          <w:shd w:val="clear" w:color="auto" w:fill="FFFFFF"/>
        </w:rPr>
        <w:t>一、案例基本情况</w:t>
      </w:r>
    </w:p>
    <w:p w14:paraId="3BCE6558">
      <w:pPr>
        <w:snapToGrid w:val="0"/>
        <w:spacing w:line="560" w:lineRule="exact"/>
        <w:ind w:firstLine="640"/>
        <w:rPr>
          <w:rFonts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（一）案例名称：非穿戴式坐姿AI提醒器</w:t>
      </w:r>
    </w:p>
    <w:p w14:paraId="57313BD3">
      <w:pPr>
        <w:snapToGrid w:val="0"/>
        <w:spacing w:line="560" w:lineRule="exact"/>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（二）人工智能技术应用方：中山市港口中学。</w:t>
      </w:r>
    </w:p>
    <w:p w14:paraId="5578BB3B">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中山市港口中学创办于1957年，是港口镇一所公办初级中学，坐落于港口河畔。学校现有49个教学班、2500余名学生、161名教师。学校秉持“培养团队精神、推行人本管理、建设和谐校园”的办学理念，以“博学达理，明德至善”为校训。2025年8月，学校正式纳入中山市第一中学教育集团管理，并成立“少年科学院港口中学分院”，通过管理共建、师资交流、课程共享等方式引入优质教育资源。近</w:t>
      </w:r>
      <w:r>
        <w:rPr>
          <w:rFonts w:hint="eastAsia" w:ascii="仿宋_GB2312" w:hAnsi="仿宋_GB2312" w:eastAsia="仿宋_GB2312" w:cs="仿宋_GB2312"/>
          <w:color w:val="auto"/>
          <w:sz w:val="32"/>
          <w:szCs w:val="32"/>
          <w:shd w:val="clear" w:color="auto" w:fill="FFFFFF"/>
          <w:lang w:eastAsia="zh-CN"/>
        </w:rPr>
        <w:t>年来</w:t>
      </w:r>
      <w:r>
        <w:rPr>
          <w:rFonts w:hint="eastAsia" w:ascii="仿宋_GB2312" w:hAnsi="仿宋_GB2312" w:eastAsia="仿宋_GB2312" w:cs="仿宋_GB2312"/>
          <w:color w:val="auto"/>
          <w:sz w:val="32"/>
          <w:szCs w:val="32"/>
          <w:shd w:val="clear" w:color="auto" w:fill="FFFFFF"/>
        </w:rPr>
        <w:t>中考成绩稳步提升，学科质量评价达到中山市中考二等奖评价标准，曾获“中山市初中教学质量评价先进学校”“中山市德育示范学校”等荣誉</w:t>
      </w:r>
    </w:p>
    <w:p w14:paraId="55990238">
      <w:pPr>
        <w:snapToGrid w:val="0"/>
        <w:spacing w:line="560" w:lineRule="exact"/>
        <w:ind w:firstLine="640"/>
        <w:rPr>
          <w:rFonts w:hint="eastAsia" w:ascii="黑体" w:hAnsi="黑体" w:eastAsia="黑体" w:cs="黑体"/>
          <w:color w:val="auto"/>
          <w:sz w:val="32"/>
          <w:szCs w:val="32"/>
          <w:shd w:val="clear" w:color="auto" w:fill="FFFFFF"/>
        </w:rPr>
      </w:pPr>
      <w:r>
        <w:rPr>
          <w:rFonts w:hint="eastAsia" w:ascii="黑体" w:hAnsi="黑体" w:eastAsia="黑体" w:cs="黑体"/>
          <w:color w:val="auto"/>
          <w:sz w:val="32"/>
          <w:szCs w:val="32"/>
          <w:shd w:val="clear" w:color="auto" w:fill="FFFFFF"/>
        </w:rPr>
        <w:t>二、案例内容介绍</w:t>
      </w:r>
    </w:p>
    <w:p w14:paraId="096AF7AF">
      <w:pPr>
        <w:snapToGrid w:val="0"/>
        <w:spacing w:line="560" w:lineRule="exact"/>
        <w:ind w:firstLine="640"/>
        <w:rPr>
          <w:rFonts w:hint="eastAsia" w:ascii="楷体_GB2312" w:hAnsi="楷体_GB2312" w:eastAsia="楷体_GB2312" w:cs="楷体_GB2312"/>
          <w:color w:val="auto"/>
          <w:sz w:val="32"/>
          <w:szCs w:val="32"/>
          <w:shd w:val="clear" w:color="auto" w:fill="FFFFFF"/>
        </w:rPr>
      </w:pPr>
      <w:r>
        <w:rPr>
          <w:rFonts w:hint="eastAsia" w:ascii="楷体_GB2312" w:hAnsi="楷体_GB2312" w:eastAsia="楷体_GB2312" w:cs="楷体_GB2312"/>
          <w:color w:val="auto"/>
          <w:sz w:val="32"/>
          <w:szCs w:val="32"/>
          <w:shd w:val="clear" w:color="auto" w:fill="FFFFFF"/>
        </w:rPr>
        <w:t>（一）包括案例背景、采用的人工智能关键技术、所实现的功能和亮点优势</w:t>
      </w:r>
    </w:p>
    <w:p w14:paraId="0C9D1B68">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案例背景：中小学生长时间伏案学习，低头、驼背、歪头等不良坐姿普遍存在，易导致近视和脊柱问题。传统矫正方式依赖家长督促或穿戴设备，难以持续。本案例利用普通摄像头与OpenCV视觉技术，实现非接触式坐姿监测与实时提醒。</w:t>
      </w:r>
    </w:p>
    <w:p w14:paraId="0760AE89">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关键技术：以OpenCV完成视频采集与图像预处理；采用MediaPipe轻量级姿态估计模型，实时检测人体33个关键点；通过肩、颈、髋坐标计算颈部倾角与背部倾角，与预设阈值比对，判定坐姿是否规范。</w:t>
      </w:r>
    </w:p>
    <w:p w14:paraId="15CA3002">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实现功能：系统自动校准学生标准坐姿作为基准，实时识别前倾、低头、歪头等不良姿态；当不良姿态持续超过设定时间，触发语音或弹窗提醒，姿态恢复后自动停止；部分方案加入AR趣味特效，不良坐姿超时会在头顶生成“蘑菇”动画，端正后消失。</w:t>
      </w:r>
    </w:p>
    <w:p w14:paraId="7EDABB0B">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亮点优势：无需穿戴设备，仅凭摄像头即可运行；模型轻量，普通电脑可达30FPS实时检测；所有数据本地处理，保护学生隐私；游戏化提醒降低抵触感，帮助学生养成良好坐姿习惯。</w:t>
      </w:r>
    </w:p>
    <w:p w14:paraId="7DC495BD">
      <w:pPr>
        <w:snapToGrid w:val="0"/>
        <w:spacing w:line="560" w:lineRule="exact"/>
        <w:ind w:firstLine="640"/>
        <w:rPr>
          <w:rFonts w:hint="eastAsia" w:ascii="楷体_GB2312" w:hAnsi="楷体_GB2312" w:eastAsia="楷体_GB2312" w:cs="楷体_GB2312"/>
          <w:color w:val="auto"/>
          <w:sz w:val="32"/>
          <w:szCs w:val="32"/>
          <w:shd w:val="clear" w:color="auto" w:fill="FFFFFF"/>
        </w:rPr>
      </w:pPr>
      <w:r>
        <w:rPr>
          <w:rFonts w:hint="eastAsia" w:ascii="楷体_GB2312" w:hAnsi="楷体_GB2312" w:eastAsia="楷体_GB2312" w:cs="楷体_GB2312"/>
          <w:color w:val="auto"/>
          <w:sz w:val="32"/>
          <w:szCs w:val="32"/>
          <w:shd w:val="clear" w:color="auto" w:fill="FFFFFF"/>
        </w:rPr>
        <w:t>（二）具体应用成效。</w:t>
      </w:r>
    </w:p>
    <w:p w14:paraId="7A3C90D7">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与传统人工督促方式相比，该系统的应用成效显著。干预及时性大幅提升：过去依赖家长或老师口头提醒，往往在学生已经长时间保持不良姿势后才被发现，而AI提醒器可在不良坐姿持续6秒内即时触发提醒，干预响应从“分钟级”缩短至“秒级”。</w:t>
      </w:r>
    </w:p>
    <w:p w14:paraId="59207E43">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坐姿改善效果量化可见：系统自动记录每日不良姿态次数与占比，学生和家长可直观看到变化。实际使用中，多数学生经过2至4周训练后，不良坐姿频次下降约50%至70%，前倾和低头时长明显减少。</w:t>
      </w:r>
    </w:p>
    <w:p w14:paraId="6197A92D">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主动纠正意识增强：AR趣味特效与即时语音提醒形成正向反馈，学生从被动接受批评转变为主动调整坐姿，逐步形成肌肉记忆和自觉习惯。</w:t>
      </w:r>
    </w:p>
    <w:p w14:paraId="606EF298">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健康风险有效降低：长期坚持后，学生颈肩疲劳感减轻，用眼距离更趋合理，对预防近视和脊柱侧弯起到了积极作用。</w:t>
      </w:r>
    </w:p>
    <w:p w14:paraId="625EBEC0">
      <w:pPr>
        <w:snapToGrid w:val="0"/>
        <w:spacing w:line="560" w:lineRule="exact"/>
        <w:ind w:firstLine="640"/>
        <w:rPr>
          <w:rFonts w:hint="eastAsia" w:ascii="黑体" w:hAnsi="黑体" w:eastAsia="黑体" w:cs="黑体"/>
          <w:color w:val="auto"/>
          <w:sz w:val="32"/>
          <w:szCs w:val="32"/>
          <w:shd w:val="clear" w:color="auto" w:fill="FFFFFF"/>
        </w:rPr>
      </w:pPr>
      <w:r>
        <w:rPr>
          <w:rFonts w:hint="eastAsia" w:ascii="黑体" w:hAnsi="黑体" w:eastAsia="黑体" w:cs="黑体"/>
          <w:color w:val="auto"/>
          <w:sz w:val="32"/>
          <w:szCs w:val="32"/>
          <w:shd w:val="clear" w:color="auto" w:fill="FFFFFF"/>
        </w:rPr>
        <w:t>三、案例所获得荣誉、复制推广情况等</w:t>
      </w:r>
    </w:p>
    <w:p w14:paraId="734059D7">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案例作品在广东省教育厅主办的2024年粤澳学生信息科技创新大赛中荣获广东省三等奖，并在同年中山市学生信息科技创新大赛中斩获市级一等奖。目前，该项目作为学校科创教育典型案例，在中山市港口镇中小学信息科技教育交流活动中进行展示推广，“非穿戴式AI坐姿监测”案例为其他学校开展同类健康科技项目提供了可复用的技术路径与教学范本。</w:t>
      </w:r>
    </w:p>
    <w:p w14:paraId="1873DDE4">
      <w:pPr>
        <w:snapToGrid w:val="0"/>
        <w:spacing w:line="560" w:lineRule="exact"/>
        <w:ind w:firstLine="640"/>
        <w:rPr>
          <w:color w:val="auto"/>
        </w:rPr>
      </w:pPr>
      <w:r>
        <w:rPr>
          <w:color w:val="auto"/>
        </w:rPr>
        <w:pict>
          <v:shape id="_x0000_s1052" o:spid="_x0000_s1052" o:spt="75" type="#_x0000_t75" style="position:absolute;left:0pt;margin-left:50.9pt;margin-top:6.1pt;height:231.05pt;width:308.25pt;z-index:251678720;mso-width-relative:page;mso-height-relative:page;" filled="f" o:preferrelative="t" stroked="f" coordsize="21600,21600">
            <v:path/>
            <v:fill on="f" focussize="0,0"/>
            <v:stroke on="f" joinstyle="miter"/>
            <v:imagedata r:id="rId63" cropleft="8121f" cropright="8167f" o:title=""/>
            <o:lock v:ext="edit" aspectratio="t"/>
          </v:shape>
        </w:pict>
      </w:r>
    </w:p>
    <w:p w14:paraId="48B7E7CE">
      <w:pPr>
        <w:snapToGrid w:val="0"/>
        <w:spacing w:line="560" w:lineRule="exact"/>
        <w:ind w:firstLine="640"/>
        <w:rPr>
          <w:color w:val="auto"/>
        </w:rPr>
      </w:pPr>
    </w:p>
    <w:p w14:paraId="2E070A08">
      <w:pPr>
        <w:snapToGrid w:val="0"/>
        <w:spacing w:line="560" w:lineRule="exact"/>
        <w:ind w:firstLine="640"/>
        <w:rPr>
          <w:color w:val="auto"/>
        </w:rPr>
      </w:pPr>
    </w:p>
    <w:p w14:paraId="240DA749">
      <w:pPr>
        <w:snapToGrid w:val="0"/>
        <w:spacing w:line="560" w:lineRule="exact"/>
        <w:ind w:firstLine="640"/>
        <w:rPr>
          <w:color w:val="auto"/>
        </w:rPr>
      </w:pPr>
    </w:p>
    <w:p w14:paraId="49362013">
      <w:pPr>
        <w:snapToGrid w:val="0"/>
        <w:spacing w:line="560" w:lineRule="exact"/>
        <w:ind w:firstLine="640"/>
        <w:rPr>
          <w:color w:val="auto"/>
        </w:rPr>
      </w:pPr>
    </w:p>
    <w:p w14:paraId="64A143CE">
      <w:pPr>
        <w:snapToGrid w:val="0"/>
        <w:spacing w:line="560" w:lineRule="exact"/>
        <w:ind w:firstLine="640"/>
        <w:rPr>
          <w:rFonts w:ascii="仿宋_GB2312" w:hAnsi="仿宋_GB2312" w:eastAsia="仿宋_GB2312" w:cs="仿宋_GB2312"/>
          <w:b/>
          <w:bCs/>
          <w:color w:val="auto"/>
          <w:sz w:val="32"/>
          <w:szCs w:val="32"/>
          <w:shd w:val="clear" w:color="auto" w:fill="FFFFFF"/>
        </w:rPr>
      </w:pPr>
    </w:p>
    <w:p w14:paraId="5636A499">
      <w:pPr>
        <w:snapToGrid w:val="0"/>
        <w:spacing w:line="560" w:lineRule="exact"/>
        <w:ind w:firstLine="640"/>
        <w:rPr>
          <w:rFonts w:ascii="仿宋_GB2312" w:hAnsi="仿宋_GB2312" w:eastAsia="仿宋_GB2312" w:cs="仿宋_GB2312"/>
          <w:b/>
          <w:bCs/>
          <w:color w:val="auto"/>
          <w:sz w:val="32"/>
          <w:szCs w:val="32"/>
          <w:shd w:val="clear" w:color="auto" w:fill="FFFFFF"/>
        </w:rPr>
      </w:pPr>
    </w:p>
    <w:p w14:paraId="5F3D0DBC">
      <w:pPr>
        <w:snapToGrid w:val="0"/>
        <w:spacing w:line="560" w:lineRule="exact"/>
        <w:ind w:firstLine="640"/>
        <w:rPr>
          <w:rFonts w:ascii="仿宋_GB2312" w:hAnsi="仿宋_GB2312" w:eastAsia="仿宋_GB2312" w:cs="仿宋_GB2312"/>
          <w:b/>
          <w:bCs/>
          <w:color w:val="auto"/>
          <w:sz w:val="32"/>
          <w:szCs w:val="32"/>
          <w:shd w:val="clear" w:color="auto" w:fill="FFFFFF"/>
        </w:rPr>
      </w:pPr>
    </w:p>
    <w:p w14:paraId="6A6B66F8">
      <w:pPr>
        <w:snapToGrid w:val="0"/>
        <w:spacing w:line="560" w:lineRule="exact"/>
        <w:ind w:firstLine="640"/>
        <w:rPr>
          <w:rFonts w:ascii="仿宋_GB2312" w:hAnsi="仿宋_GB2312" w:eastAsia="仿宋_GB2312" w:cs="仿宋_GB2312"/>
          <w:b/>
          <w:bCs/>
          <w:color w:val="auto"/>
          <w:sz w:val="32"/>
          <w:szCs w:val="32"/>
          <w:shd w:val="clear" w:color="auto" w:fill="FFFFFF"/>
        </w:rPr>
      </w:pPr>
      <w:r>
        <w:rPr>
          <w:color w:val="auto"/>
        </w:rPr>
        <w:pict>
          <v:shape id="_x0000_s1053" o:spid="_x0000_s1053" o:spt="75" type="#_x0000_t75" style="position:absolute;left:0pt;margin-left:51.65pt;margin-top:-4.45pt;height:233.35pt;width:312pt;z-index:251679744;mso-width-relative:page;mso-height-relative:page;" filled="f" o:preferrelative="t" stroked="f" coordsize="21600,21600">
            <v:path/>
            <v:fill on="f" focussize="0,0"/>
            <v:stroke on="f" joinstyle="miter"/>
            <v:imagedata r:id="rId64" cropleft="8078f" cropright="8188f" o:title=""/>
            <o:lock v:ext="edit" aspectratio="t"/>
          </v:shape>
        </w:pict>
      </w:r>
    </w:p>
    <w:p w14:paraId="74B7CB2B">
      <w:pPr>
        <w:snapToGrid w:val="0"/>
        <w:spacing w:line="560" w:lineRule="exact"/>
        <w:ind w:firstLine="640"/>
        <w:rPr>
          <w:rFonts w:ascii="仿宋_GB2312" w:hAnsi="仿宋_GB2312" w:eastAsia="仿宋_GB2312" w:cs="仿宋_GB2312"/>
          <w:b/>
          <w:bCs/>
          <w:color w:val="auto"/>
          <w:sz w:val="32"/>
          <w:szCs w:val="32"/>
          <w:shd w:val="clear" w:color="auto" w:fill="FFFFFF"/>
        </w:rPr>
      </w:pPr>
    </w:p>
    <w:p w14:paraId="714DCE32">
      <w:pPr>
        <w:snapToGrid w:val="0"/>
        <w:spacing w:line="560" w:lineRule="exact"/>
        <w:ind w:firstLine="640"/>
        <w:rPr>
          <w:rFonts w:ascii="仿宋_GB2312" w:hAnsi="仿宋_GB2312" w:eastAsia="仿宋_GB2312" w:cs="仿宋_GB2312"/>
          <w:b/>
          <w:bCs/>
          <w:color w:val="auto"/>
          <w:sz w:val="32"/>
          <w:szCs w:val="32"/>
          <w:shd w:val="clear" w:color="auto" w:fill="FFFFFF"/>
        </w:rPr>
      </w:pPr>
    </w:p>
    <w:p w14:paraId="249BC437">
      <w:pPr>
        <w:snapToGrid w:val="0"/>
        <w:spacing w:line="560" w:lineRule="exact"/>
        <w:ind w:firstLine="640"/>
        <w:rPr>
          <w:rFonts w:ascii="仿宋_GB2312" w:hAnsi="仿宋_GB2312" w:eastAsia="仿宋_GB2312" w:cs="仿宋_GB2312"/>
          <w:b/>
          <w:bCs/>
          <w:color w:val="auto"/>
          <w:sz w:val="32"/>
          <w:szCs w:val="32"/>
          <w:shd w:val="clear" w:color="auto" w:fill="FFFFFF"/>
        </w:rPr>
      </w:pPr>
    </w:p>
    <w:p w14:paraId="25F94718">
      <w:pPr>
        <w:snapToGrid w:val="0"/>
        <w:spacing w:line="560" w:lineRule="exact"/>
        <w:ind w:firstLine="640"/>
        <w:rPr>
          <w:rFonts w:ascii="仿宋_GB2312" w:hAnsi="仿宋_GB2312" w:eastAsia="仿宋_GB2312" w:cs="仿宋_GB2312"/>
          <w:b/>
          <w:bCs/>
          <w:color w:val="auto"/>
          <w:sz w:val="32"/>
          <w:szCs w:val="32"/>
          <w:shd w:val="clear" w:color="auto" w:fill="FFFFFF"/>
        </w:rPr>
      </w:pPr>
    </w:p>
    <w:p w14:paraId="0642160C">
      <w:pPr>
        <w:snapToGrid w:val="0"/>
        <w:spacing w:line="560" w:lineRule="exact"/>
        <w:ind w:firstLine="640"/>
        <w:rPr>
          <w:rFonts w:ascii="仿宋_GB2312" w:hAnsi="仿宋_GB2312" w:eastAsia="仿宋_GB2312" w:cs="仿宋_GB2312"/>
          <w:b/>
          <w:bCs/>
          <w:color w:val="auto"/>
          <w:sz w:val="32"/>
          <w:szCs w:val="32"/>
          <w:shd w:val="clear" w:color="auto" w:fill="FFFFFF"/>
        </w:rPr>
      </w:pPr>
    </w:p>
    <w:p w14:paraId="1A264B27">
      <w:pPr>
        <w:snapToGrid w:val="0"/>
        <w:spacing w:line="560" w:lineRule="exact"/>
        <w:ind w:firstLine="640"/>
        <w:rPr>
          <w:rFonts w:ascii="仿宋_GB2312" w:hAnsi="仿宋_GB2312" w:eastAsia="仿宋_GB2312" w:cs="仿宋_GB2312"/>
          <w:b/>
          <w:bCs/>
          <w:color w:val="auto"/>
          <w:sz w:val="32"/>
          <w:szCs w:val="32"/>
          <w:shd w:val="clear" w:color="auto" w:fill="FFFFFF"/>
        </w:rPr>
      </w:pPr>
    </w:p>
    <w:p w14:paraId="7ED58392">
      <w:pPr>
        <w:snapToGrid w:val="0"/>
        <w:spacing w:line="560" w:lineRule="exact"/>
        <w:ind w:firstLine="640"/>
        <w:rPr>
          <w:rFonts w:ascii="仿宋_GB2312" w:hAnsi="仿宋_GB2312" w:eastAsia="仿宋_GB2312" w:cs="仿宋_GB2312"/>
          <w:b/>
          <w:bCs/>
          <w:color w:val="auto"/>
          <w:sz w:val="32"/>
          <w:szCs w:val="32"/>
          <w:shd w:val="clear" w:color="auto" w:fill="FFFFFF"/>
        </w:rPr>
      </w:pPr>
    </w:p>
    <w:p w14:paraId="7CC4654F">
      <w:pPr>
        <w:rPr>
          <w:rFonts w:ascii="楷体" w:hAnsi="楷体" w:eastAsia="楷体"/>
          <w:color w:val="auto"/>
          <w:sz w:val="22"/>
        </w:rPr>
      </w:pPr>
      <w:r>
        <w:rPr>
          <w:rFonts w:ascii="楷体" w:hAnsi="楷体" w:eastAsia="楷体"/>
          <w:color w:val="auto"/>
          <w:sz w:val="22"/>
        </w:rPr>
        <w:br w:type="page"/>
      </w:r>
    </w:p>
    <w:p w14:paraId="0D358DD8">
      <w:pPr>
        <w:spacing w:after="40"/>
        <w:jc w:val="left"/>
        <w:rPr>
          <w:rFonts w:ascii="楷体" w:hAnsi="楷体" w:eastAsia="楷体"/>
          <w:color w:val="auto"/>
          <w:sz w:val="22"/>
        </w:rPr>
      </w:pPr>
    </w:p>
    <w:p w14:paraId="64CFDBEB">
      <w:pPr>
        <w:jc w:val="left"/>
        <w:rPr>
          <w:rFonts w:ascii="宋体" w:hAnsi="宋体" w:eastAsia="宋体"/>
          <w:color w:val="auto"/>
          <w:sz w:val="36"/>
        </w:rPr>
      </w:pPr>
      <w:r>
        <w:rPr>
          <w:rFonts w:ascii="宋体" w:hAnsi="宋体" w:eastAsia="宋体"/>
          <w:color w:val="auto"/>
          <w:sz w:val="36"/>
        </w:rPr>
        <w:t xml:space="preserve"> </w:t>
      </w:r>
    </w:p>
    <w:p w14:paraId="55052942">
      <w:pPr>
        <w:jc w:val="left"/>
        <w:rPr>
          <w:rFonts w:ascii="宋体" w:hAnsi="宋体" w:eastAsia="宋体"/>
          <w:color w:val="auto"/>
          <w:sz w:val="36"/>
        </w:rPr>
      </w:pPr>
      <w:r>
        <w:rPr>
          <w:rFonts w:ascii="宋体" w:hAnsi="宋体" w:eastAsia="宋体"/>
          <w:color w:val="auto"/>
          <w:sz w:val="36"/>
        </w:rPr>
        <w:t xml:space="preserve"> </w:t>
      </w:r>
    </w:p>
    <w:p w14:paraId="0C5BC196">
      <w:pPr>
        <w:jc w:val="left"/>
        <w:rPr>
          <w:rFonts w:ascii="宋体" w:hAnsi="宋体" w:eastAsia="宋体"/>
          <w:color w:val="auto"/>
          <w:sz w:val="36"/>
        </w:rPr>
      </w:pPr>
      <w:r>
        <w:rPr>
          <w:rFonts w:ascii="宋体" w:hAnsi="宋体" w:eastAsia="宋体"/>
          <w:color w:val="auto"/>
          <w:sz w:val="36"/>
        </w:rPr>
        <w:t xml:space="preserve"> </w:t>
      </w:r>
    </w:p>
    <w:p w14:paraId="224D31F1">
      <w:pPr>
        <w:jc w:val="left"/>
        <w:rPr>
          <w:rFonts w:ascii="宋体" w:hAnsi="宋体" w:eastAsia="宋体"/>
          <w:color w:val="auto"/>
          <w:sz w:val="36"/>
        </w:rPr>
      </w:pPr>
      <w:r>
        <w:rPr>
          <w:rFonts w:ascii="宋体" w:hAnsi="宋体" w:eastAsia="宋体"/>
          <w:color w:val="auto"/>
          <w:sz w:val="36"/>
        </w:rPr>
        <w:t xml:space="preserve"> </w:t>
      </w:r>
    </w:p>
    <w:p w14:paraId="3C3E59B2">
      <w:pPr>
        <w:jc w:val="left"/>
        <w:rPr>
          <w:rFonts w:ascii="宋体" w:hAnsi="宋体" w:eastAsia="宋体"/>
          <w:color w:val="auto"/>
          <w:sz w:val="36"/>
        </w:rPr>
      </w:pPr>
      <w:r>
        <w:rPr>
          <w:rFonts w:ascii="宋体" w:hAnsi="宋体" w:eastAsia="宋体"/>
          <w:color w:val="auto"/>
          <w:sz w:val="36"/>
        </w:rPr>
        <w:t xml:space="preserve"> </w:t>
      </w:r>
    </w:p>
    <w:p w14:paraId="32504870">
      <w:pPr>
        <w:jc w:val="left"/>
        <w:rPr>
          <w:rFonts w:ascii="宋体" w:hAnsi="宋体" w:eastAsia="宋体"/>
          <w:color w:val="auto"/>
          <w:sz w:val="36"/>
        </w:rPr>
      </w:pPr>
      <w:r>
        <w:rPr>
          <w:rFonts w:ascii="宋体" w:hAnsi="宋体" w:eastAsia="宋体"/>
          <w:color w:val="auto"/>
          <w:sz w:val="36"/>
        </w:rPr>
        <w:t xml:space="preserve"> </w:t>
      </w:r>
    </w:p>
    <w:p w14:paraId="7E6699E9">
      <w:pPr>
        <w:jc w:val="left"/>
        <w:rPr>
          <w:rFonts w:ascii="宋体" w:hAnsi="宋体" w:eastAsia="宋体"/>
          <w:color w:val="auto"/>
          <w:sz w:val="36"/>
        </w:rPr>
      </w:pPr>
      <w:r>
        <w:rPr>
          <w:rFonts w:ascii="宋体" w:hAnsi="宋体" w:eastAsia="宋体"/>
          <w:color w:val="auto"/>
          <w:sz w:val="36"/>
        </w:rPr>
        <w:t xml:space="preserve"> </w:t>
      </w:r>
    </w:p>
    <w:p w14:paraId="049E583A">
      <w:pPr>
        <w:jc w:val="left"/>
        <w:rPr>
          <w:rFonts w:ascii="宋体" w:hAnsi="宋体" w:eastAsia="宋体"/>
          <w:color w:val="auto"/>
          <w:sz w:val="36"/>
        </w:rPr>
      </w:pPr>
      <w:r>
        <w:rPr>
          <w:rFonts w:ascii="宋体" w:hAnsi="宋体" w:eastAsia="宋体"/>
          <w:color w:val="auto"/>
          <w:sz w:val="36"/>
        </w:rPr>
        <w:t xml:space="preserve"> </w:t>
      </w:r>
    </w:p>
    <w:p w14:paraId="21AE3508">
      <w:pPr>
        <w:jc w:val="left"/>
        <w:rPr>
          <w:rFonts w:ascii="宋体" w:hAnsi="宋体" w:eastAsia="宋体"/>
          <w:color w:val="auto"/>
          <w:sz w:val="36"/>
        </w:rPr>
      </w:pPr>
      <w:r>
        <w:rPr>
          <w:rFonts w:ascii="宋体" w:hAnsi="宋体" w:eastAsia="宋体"/>
          <w:color w:val="auto"/>
          <w:sz w:val="36"/>
        </w:rPr>
        <w:t xml:space="preserve"> </w:t>
      </w:r>
    </w:p>
    <w:p w14:paraId="3FAD873B">
      <w:pPr>
        <w:pStyle w:val="10"/>
        <w:rPr>
          <w:color w:val="auto"/>
        </w:rPr>
      </w:pPr>
      <w:bookmarkStart w:id="28" w:name="_Toc9938"/>
      <w:r>
        <w:rPr>
          <w:color w:val="auto"/>
        </w:rPr>
        <w:t>三、其他领域</w:t>
      </w:r>
      <w:bookmarkEnd w:id="28"/>
    </w:p>
    <w:p w14:paraId="5D1E33C2">
      <w:pPr>
        <w:spacing w:after="360"/>
        <w:jc w:val="center"/>
        <w:rPr>
          <w:rFonts w:ascii="楷体" w:hAnsi="楷体" w:eastAsia="楷体"/>
          <w:color w:val="auto"/>
          <w:sz w:val="24"/>
        </w:rPr>
      </w:pPr>
    </w:p>
    <w:p w14:paraId="193EB434">
      <w:pPr>
        <w:spacing w:after="360"/>
        <w:jc w:val="center"/>
        <w:rPr>
          <w:rFonts w:ascii="楷体" w:hAnsi="楷体" w:eastAsia="楷体"/>
          <w:color w:val="auto"/>
          <w:sz w:val="24"/>
        </w:rPr>
      </w:pPr>
    </w:p>
    <w:p w14:paraId="044CEF57">
      <w:pPr>
        <w:pStyle w:val="12"/>
        <w:pageBreakBefore/>
        <w:rPr>
          <w:color w:val="auto"/>
        </w:rPr>
      </w:pPr>
      <w:bookmarkStart w:id="29" w:name="_Toc11271"/>
      <w:r>
        <w:rPr>
          <w:color w:val="auto"/>
        </w:rPr>
        <w:t>案例 01　品牌打假</w:t>
      </w:r>
      <w:r>
        <w:rPr>
          <w:rFonts w:hint="eastAsia"/>
          <w:color w:val="auto"/>
          <w:lang w:val="en-US" w:eastAsia="zh-CN"/>
        </w:rPr>
        <w:t>智能体</w:t>
      </w:r>
      <w:r>
        <w:rPr>
          <w:color w:val="auto"/>
        </w:rPr>
        <w:t>——AI+自动化采集维权系统让电商平台品牌维权从“人海战术”到“智能闭环”</w:t>
      </w:r>
      <w:bookmarkEnd w:id="29"/>
    </w:p>
    <w:p w14:paraId="70FC7EBF">
      <w:pPr>
        <w:spacing w:after="40"/>
        <w:jc w:val="left"/>
        <w:rPr>
          <w:rFonts w:ascii="楷体" w:hAnsi="楷体" w:eastAsia="楷体"/>
          <w:color w:val="auto"/>
        </w:rPr>
      </w:pPr>
      <w:r>
        <w:rPr>
          <w:rFonts w:ascii="楷体" w:hAnsi="楷体" w:eastAsia="楷体"/>
          <w:color w:val="auto"/>
          <w:sz w:val="22"/>
        </w:rPr>
        <w:t>申报单位：广东可道科技有限公司</w:t>
      </w:r>
    </w:p>
    <w:p w14:paraId="11C89314">
      <w:pPr>
        <w:snapToGrid w:val="0"/>
        <w:spacing w:line="560" w:lineRule="exact"/>
        <w:rPr>
          <w:rFonts w:hint="eastAsia" w:ascii="仿宋_GB2312" w:hAnsi="仿宋_GB2312" w:eastAsia="仿宋_GB2312" w:cs="仿宋_GB2312"/>
          <w:color w:val="auto"/>
          <w:sz w:val="32"/>
          <w:szCs w:val="32"/>
          <w:shd w:val="clear" w:color="auto" w:fill="FFFFFF"/>
        </w:rPr>
      </w:pPr>
    </w:p>
    <w:p w14:paraId="26D8CE43">
      <w:pPr>
        <w:snapToGrid w:val="0"/>
        <w:spacing w:line="560" w:lineRule="exact"/>
        <w:ind w:firstLine="640"/>
        <w:rPr>
          <w:rFonts w:hint="eastAsia" w:ascii="黑体" w:hAnsi="黑体" w:eastAsia="黑体" w:cs="黑体"/>
          <w:color w:val="auto"/>
          <w:sz w:val="32"/>
          <w:szCs w:val="32"/>
          <w:shd w:val="clear" w:color="auto" w:fill="FFFFFF"/>
        </w:rPr>
      </w:pPr>
      <w:r>
        <w:rPr>
          <w:rFonts w:hint="eastAsia" w:ascii="黑体" w:hAnsi="黑体" w:eastAsia="黑体" w:cs="黑体"/>
          <w:color w:val="auto"/>
          <w:sz w:val="32"/>
          <w:szCs w:val="32"/>
          <w:shd w:val="clear" w:color="auto" w:fill="FFFFFF"/>
        </w:rPr>
        <w:t>一、案例基本情况</w:t>
      </w:r>
    </w:p>
    <w:p w14:paraId="6ECA8C84">
      <w:pPr>
        <w:snapToGrid w:val="0"/>
        <w:spacing w:line="560" w:lineRule="exact"/>
        <w:ind w:firstLine="640"/>
        <w:rPr>
          <w:rFonts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（一）案例名称：品牌打假智能体——AI+自动化采集维权系统让电商平台品牌维权从“人海战术”到“智能闭环”。</w:t>
      </w:r>
    </w:p>
    <w:p w14:paraId="244EB94C">
      <w:pPr>
        <w:snapToGrid w:val="0"/>
        <w:spacing w:line="560" w:lineRule="exact"/>
        <w:ind w:firstLine="640" w:firstLineChars="200"/>
        <w:rPr>
          <w:rFonts w:hint="eastAsia" w:ascii="仿宋_GB2312" w:hAnsi="仿宋_GB2312" w:eastAsia="仿宋_GB2312" w:cs="仿宋_GB2312"/>
          <w:b/>
          <w:bCs/>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（二）人工智能技术应用方：广东可道科技有限公司。</w:t>
      </w:r>
    </w:p>
    <w:p w14:paraId="11231BDB">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（三）人工智能技术供给方：</w:t>
      </w:r>
      <w:r>
        <w:rPr>
          <w:rFonts w:hint="eastAsia" w:ascii="仿宋_GB2312" w:hAnsi="仿宋_GB2312" w:eastAsia="仿宋_GB2312" w:cs="仿宋_GB2312"/>
          <w:color w:val="auto"/>
          <w:sz w:val="32"/>
          <w:szCs w:val="32"/>
          <w:shd w:val="clear" w:color="auto" w:fill="FFFFFF"/>
          <w:lang w:val="en-US" w:eastAsia="zh-CN"/>
        </w:rPr>
        <w:t>企业自研</w:t>
      </w:r>
      <w:r>
        <w:rPr>
          <w:rFonts w:hint="eastAsia" w:ascii="仿宋_GB2312" w:hAnsi="仿宋_GB2312" w:eastAsia="仿宋_GB2312" w:cs="仿宋_GB2312"/>
          <w:color w:val="auto"/>
          <w:sz w:val="32"/>
          <w:szCs w:val="32"/>
          <w:shd w:val="clear" w:color="auto" w:fill="FFFFFF"/>
        </w:rPr>
        <w:t>。</w:t>
      </w:r>
    </w:p>
    <w:p w14:paraId="0CD92CEF">
      <w:pPr>
        <w:snapToGrid w:val="0"/>
        <w:spacing w:line="560" w:lineRule="exact"/>
        <w:ind w:firstLine="640"/>
        <w:rPr>
          <w:rFonts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b/>
          <w:bCs/>
          <w:color w:val="auto"/>
          <w:sz w:val="32"/>
          <w:szCs w:val="32"/>
          <w:shd w:val="clear" w:color="auto" w:fill="FFFFFF"/>
        </w:rPr>
        <w:t>企业简介：</w:t>
      </w:r>
    </w:p>
    <w:p w14:paraId="49B94DBA">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广东可道科技成立于2015年，是一家致力于搭建数字化应用场景，利用大数据技术辅助管理、分析、决策的数字化生态服务商。团队Base在中山、广州。客户覆盖广州、深圳、中山、珠海、佛山、江门。通过数据分析和大数据技术为企业提供决策依据，降本增效，10年间持续服务超过50个政府企事业单位与上市企业。</w:t>
      </w:r>
    </w:p>
    <w:p w14:paraId="4120AA3C">
      <w:pPr>
        <w:snapToGrid w:val="0"/>
        <w:spacing w:line="560" w:lineRule="exact"/>
        <w:ind w:firstLine="640"/>
        <w:rPr>
          <w:rFonts w:hint="eastAsia" w:ascii="黑体" w:hAnsi="黑体" w:eastAsia="黑体" w:cs="黑体"/>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目前作为字节跳动旗下飞书生态核心伙伴，通过搭建企业数字化底座，利用AI助力企业管理提升，提供企业效能咨询服务。</w:t>
      </w:r>
    </w:p>
    <w:p w14:paraId="1EA943F1">
      <w:pPr>
        <w:snapToGrid w:val="0"/>
        <w:spacing w:line="560" w:lineRule="exact"/>
        <w:ind w:firstLine="640"/>
        <w:rPr>
          <w:rFonts w:hint="eastAsia" w:ascii="黑体" w:hAnsi="黑体" w:eastAsia="黑体" w:cs="黑体"/>
          <w:color w:val="auto"/>
          <w:sz w:val="32"/>
          <w:szCs w:val="32"/>
          <w:shd w:val="clear" w:color="auto" w:fill="FFFFFF"/>
        </w:rPr>
      </w:pPr>
      <w:r>
        <w:rPr>
          <w:rFonts w:hint="eastAsia" w:ascii="黑体" w:hAnsi="黑体" w:eastAsia="黑体" w:cs="黑体"/>
          <w:color w:val="auto"/>
          <w:sz w:val="32"/>
          <w:szCs w:val="32"/>
          <w:shd w:val="clear" w:color="auto" w:fill="FFFFFF"/>
        </w:rPr>
        <w:t>二、案例内容介绍</w:t>
      </w:r>
    </w:p>
    <w:p w14:paraId="3B61855C">
      <w:pPr>
        <w:snapToGrid w:val="0"/>
        <w:spacing w:line="560" w:lineRule="exact"/>
        <w:ind w:firstLine="640"/>
        <w:rPr>
          <w:rFonts w:hint="eastAsia" w:ascii="楷体_GB2312" w:hAnsi="楷体_GB2312" w:eastAsia="楷体_GB2312" w:cs="楷体_GB2312"/>
          <w:color w:val="auto"/>
          <w:sz w:val="32"/>
          <w:szCs w:val="32"/>
          <w:shd w:val="clear" w:color="auto" w:fill="FFFFFF"/>
        </w:rPr>
      </w:pPr>
      <w:r>
        <w:rPr>
          <w:rFonts w:hint="eastAsia" w:ascii="楷体_GB2312" w:hAnsi="楷体_GB2312" w:eastAsia="楷体_GB2312" w:cs="楷体_GB2312"/>
          <w:color w:val="auto"/>
          <w:sz w:val="32"/>
          <w:szCs w:val="32"/>
          <w:shd w:val="clear" w:color="auto" w:fill="FFFFFF"/>
        </w:rPr>
        <w:t>（一）包括案例背景、采用的人工智能关键技术、所实现的功能和亮点优势</w:t>
      </w:r>
    </w:p>
    <w:p w14:paraId="2B065AAA">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品牌商随着品牌知名度提升，大量第三方商家未经授权使用品牌名称和商标标识销售商品，严重损害品牌形象和消费者权益。传统人工打假面临效率低、取证难、易重复、异常多等痛点，</w:t>
      </w:r>
      <w:r>
        <w:rPr>
          <w:rFonts w:hint="eastAsia" w:ascii="仿宋_GB2312" w:hAnsi="仿宋_GB2312" w:eastAsia="仿宋_GB2312" w:cs="仿宋_GB2312"/>
          <w:color w:val="auto"/>
          <w:sz w:val="32"/>
          <w:szCs w:val="32"/>
          <w:shd w:val="clear" w:color="auto" w:fill="FFFFFF"/>
          <w:lang w:eastAsia="zh-CN"/>
        </w:rPr>
        <w:t>亟须</w:t>
      </w:r>
      <w:r>
        <w:rPr>
          <w:rFonts w:hint="eastAsia" w:ascii="仿宋_GB2312" w:hAnsi="仿宋_GB2312" w:eastAsia="仿宋_GB2312" w:cs="仿宋_GB2312"/>
          <w:color w:val="auto"/>
          <w:sz w:val="32"/>
          <w:szCs w:val="32"/>
          <w:shd w:val="clear" w:color="auto" w:fill="FFFFFF"/>
        </w:rPr>
        <w:t>一套智能化的全流程维权解决方案。</w:t>
      </w:r>
    </w:p>
    <w:p w14:paraId="095EB345">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我司打造了基于飞书多维表格 + 自动化采集的抖音电商打假智能系统，实现从侵权商品发现、证据采集、店铺追踪到投诉提交的全流程自动化闭环，其主要有六大核心能力：</w:t>
      </w:r>
    </w:p>
    <w:p w14:paraId="1BCDB7A1">
      <w:pPr>
        <w:numPr>
          <w:ilvl w:val="0"/>
          <w:numId w:val="9"/>
        </w:num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多关键词并行采集：支持“品牌全称、近似拼写、子品牌、系列名”等多关键词轮番采集。</w:t>
      </w:r>
    </w:p>
    <w:p w14:paraId="24CDDF66">
      <w:pPr>
        <w:numPr>
          <w:ilvl w:val="0"/>
          <w:numId w:val="9"/>
        </w:num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全量商品捕获：搜索结果全采集模式，不仅采集标题含品牌词的商品，也捕获图片侵权的商品，覆盖更全面。</w:t>
      </w:r>
    </w:p>
    <w:p w14:paraId="15C600AC">
      <w:pPr>
        <w:numPr>
          <w:ilvl w:val="0"/>
          <w:numId w:val="9"/>
        </w:num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异常自动恢复：遇到广告跳转、视频页面等异常时自动重启抖音 APP 恢复采集，不卡死、不间断。</w:t>
      </w:r>
    </w:p>
    <w:p w14:paraId="0608EACE">
      <w:pPr>
        <w:numPr>
          <w:ilvl w:val="0"/>
          <w:numId w:val="9"/>
        </w:num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商标智能匹配：正则表达式匹配品牌名变体，自动选择对应已认证权利，变体识别零遗漏。</w:t>
      </w:r>
    </w:p>
    <w:p w14:paraId="17566834">
      <w:pPr>
        <w:numPr>
          <w:ilvl w:val="0"/>
          <w:numId w:val="9"/>
        </w:num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白名单过滤：官方授权店铺自动过滤，避免误投诉，准确率有保障。</w:t>
      </w:r>
    </w:p>
    <w:p w14:paraId="3F744C35">
      <w:pPr>
        <w:numPr>
          <w:ilvl w:val="0"/>
          <w:numId w:val="9"/>
        </w:num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侵权店铺追踪：自动记录侵权店铺，已知侵权店铺的商品标记高置信度，重点打击更精准。</w:t>
      </w:r>
    </w:p>
    <w:p w14:paraId="14EF0040">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技术亮点：飞书多维表格作为数据中枢、自动化采集 + 浏览器自动化投诉双引擎、正则变体识别 + 白名单过滤双层准确率保障、P0/P1 分级投诉策略。</w:t>
      </w:r>
    </w:p>
    <w:p w14:paraId="094E13D2">
      <w:pPr>
        <w:snapToGrid w:val="0"/>
        <w:spacing w:line="560" w:lineRule="exact"/>
        <w:ind w:firstLine="640"/>
        <w:rPr>
          <w:rFonts w:hint="eastAsia" w:ascii="楷体_GB2312" w:hAnsi="楷体_GB2312" w:eastAsia="楷体_GB2312" w:cs="楷体_GB2312"/>
          <w:color w:val="auto"/>
          <w:sz w:val="32"/>
          <w:szCs w:val="32"/>
          <w:shd w:val="clear" w:color="auto" w:fill="FFFFFF"/>
        </w:rPr>
      </w:pPr>
      <w:r>
        <w:rPr>
          <w:rFonts w:hint="eastAsia" w:ascii="楷体_GB2312" w:hAnsi="楷体_GB2312" w:eastAsia="楷体_GB2312" w:cs="楷体_GB2312"/>
          <w:color w:val="auto"/>
          <w:sz w:val="32"/>
          <w:szCs w:val="32"/>
          <w:shd w:val="clear" w:color="auto" w:fill="FFFFFF"/>
        </w:rPr>
        <w:t>（二）具体应用成效。</w:t>
      </w:r>
    </w:p>
    <w:p w14:paraId="2566C37D">
      <w:pPr>
        <w:numPr>
          <w:ilvl w:val="0"/>
          <w:numId w:val="10"/>
        </w:num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商品采集：从约 4-5 小时/50 个缩短至约 30 分钟/50 个（效率提升 8-10 倍）；</w:t>
      </w:r>
    </w:p>
    <w:p w14:paraId="269D0C30">
      <w:pPr>
        <w:numPr>
          <w:ilvl w:val="0"/>
          <w:numId w:val="10"/>
        </w:num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商品取证：从手动截图+复制链接+记录店铺，到全自动截图+链接提取+店铺识别；</w:t>
      </w:r>
    </w:p>
    <w:p w14:paraId="3C4BB6D4">
      <w:pPr>
        <w:numPr>
          <w:ilvl w:val="0"/>
          <w:numId w:val="10"/>
        </w:num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投诉提交：从约 2-3 小时/10 个缩短至约 20 分钟/10 个（效率提升 6-9 倍）；</w:t>
      </w:r>
    </w:p>
    <w:p w14:paraId="279FE61A">
      <w:pPr>
        <w:numPr>
          <w:ilvl w:val="0"/>
          <w:numId w:val="10"/>
        </w:num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数据管理：从 Excel 手动维护到飞书多维表格自动写入，数据实时同步、可追溯；</w:t>
      </w:r>
    </w:p>
    <w:p w14:paraId="309ABA8D">
      <w:pPr>
        <w:numPr>
          <w:ilvl w:val="0"/>
          <w:numId w:val="10"/>
        </w:num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异常处理：从人工发现并处理到自动检测广告/异常页面并恢复，采集不中断；</w:t>
      </w:r>
    </w:p>
    <w:p w14:paraId="3F9C223E">
      <w:pPr>
        <w:numPr>
          <w:ilvl w:val="0"/>
          <w:numId w:val="10"/>
        </w:num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重复采集防控：从人工记忆易重复到关键词状态管理自动去重，采集效率更稳定；</w:t>
      </w:r>
    </w:p>
    <w:p w14:paraId="7C1F4FFF">
      <w:pPr>
        <w:numPr>
          <w:ilvl w:val="0"/>
          <w:numId w:val="10"/>
        </w:numPr>
        <w:snapToGrid w:val="0"/>
        <w:spacing w:line="560" w:lineRule="exact"/>
        <w:ind w:firstLine="640"/>
        <w:rPr>
          <w:rFonts w:hint="eastAsia" w:ascii="黑体" w:hAnsi="黑体" w:eastAsia="黑体" w:cs="黑体"/>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品牌维权从</w:t>
      </w:r>
      <w:r>
        <w:rPr>
          <w:rFonts w:hint="eastAsia" w:ascii="仿宋_GB2312" w:hAnsi="仿宋_GB2312" w:eastAsia="仿宋_GB2312"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rPr>
        <w:t>人海战术</w:t>
      </w:r>
      <w:r>
        <w:rPr>
          <w:rFonts w:hint="eastAsia" w:ascii="仿宋_GB2312" w:hAnsi="仿宋_GB2312" w:eastAsia="仿宋_GB2312"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rPr>
        <w:t>升级为</w:t>
      </w:r>
      <w:r>
        <w:rPr>
          <w:rFonts w:hint="eastAsia" w:ascii="仿宋_GB2312" w:hAnsi="仿宋_GB2312" w:eastAsia="仿宋_GB2312"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rPr>
        <w:t>智能闭环</w:t>
      </w:r>
      <w:r>
        <w:rPr>
          <w:rFonts w:hint="eastAsia" w:ascii="仿宋_GB2312" w:hAnsi="仿宋_GB2312" w:eastAsia="仿宋_GB2312"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rPr>
        <w:t>，维权团队可聚焦高价值投诉策略而非重复劳动。</w:t>
      </w:r>
    </w:p>
    <w:p w14:paraId="012902C0">
      <w:pPr>
        <w:snapToGrid w:val="0"/>
        <w:spacing w:line="560" w:lineRule="exact"/>
        <w:ind w:left="640"/>
        <w:rPr>
          <w:rFonts w:hint="eastAsia" w:ascii="黑体" w:hAnsi="黑体" w:eastAsia="黑体" w:cs="黑体"/>
          <w:color w:val="auto"/>
          <w:sz w:val="32"/>
          <w:szCs w:val="32"/>
          <w:shd w:val="clear" w:color="auto" w:fill="FFFFFF"/>
        </w:rPr>
      </w:pPr>
      <w:r>
        <w:rPr>
          <w:rFonts w:hint="eastAsia" w:ascii="黑体" w:hAnsi="黑体" w:eastAsia="黑体" w:cs="黑体"/>
          <w:color w:val="auto"/>
          <w:sz w:val="32"/>
          <w:szCs w:val="32"/>
          <w:shd w:val="clear" w:color="auto" w:fill="FFFFFF"/>
        </w:rPr>
        <w:t>三、案例所获得荣誉、复制推广情况等</w:t>
      </w:r>
    </w:p>
    <w:p w14:paraId="6C27987E">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电商平台品牌维权智能系统已形成</w:t>
      </w:r>
      <w:r>
        <w:rPr>
          <w:rFonts w:hint="eastAsia" w:ascii="仿宋_GB2312" w:hAnsi="仿宋_GB2312" w:eastAsia="仿宋_GB2312"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rPr>
        <w:t>飞书多维表格数据中枢 + 自动化采集 + 智能投诉</w:t>
      </w:r>
      <w:r>
        <w:rPr>
          <w:rFonts w:hint="eastAsia" w:ascii="仿宋_GB2312" w:hAnsi="仿宋_GB2312" w:eastAsia="仿宋_GB2312"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rPr>
        <w:t>三位一体的品牌维权范式，覆盖侵权发现、证据采集、店铺追踪、分级投诉、数据管理全流程。</w:t>
      </w:r>
    </w:p>
    <w:p w14:paraId="4E04382D">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该范式对服装、美妆、食品、3C 数码、家居等多行业品牌方在抖音/快手/小红书等内容电商平台的品牌维权、商标保护、渠道管控场景具有较强的行业可复制性，可作为品牌方电商打假智能化落地的参考样板。</w:t>
      </w:r>
    </w:p>
    <w:p w14:paraId="2018B05F">
      <w:pPr>
        <w:snapToGrid w:val="0"/>
        <w:spacing w:line="560" w:lineRule="exact"/>
        <w:ind w:firstLine="640"/>
        <w:rPr>
          <w:rFonts w:hint="eastAsia" w:ascii="仿宋_GB2312" w:hAnsi="仿宋_GB2312" w:eastAsia="仿宋_GB2312" w:cs="仿宋_GB2312"/>
          <w:b/>
          <w:bCs/>
          <w:color w:val="auto"/>
          <w:sz w:val="32"/>
          <w:szCs w:val="32"/>
          <w:shd w:val="clear" w:color="auto" w:fill="FFFFFF"/>
        </w:rPr>
      </w:pPr>
    </w:p>
    <w:p w14:paraId="2B267582">
      <w:pPr>
        <w:snapToGrid w:val="0"/>
        <w:spacing w:line="560" w:lineRule="exact"/>
        <w:ind w:firstLine="640"/>
        <w:rPr>
          <w:rFonts w:ascii="仿宋_GB2312" w:hAnsi="仿宋_GB2312" w:eastAsia="仿宋_GB2312" w:cs="仿宋_GB2312"/>
          <w:b/>
          <w:bCs/>
          <w:color w:val="auto"/>
          <w:sz w:val="32"/>
          <w:szCs w:val="32"/>
          <w:shd w:val="clear" w:color="auto" w:fill="FFFFFF"/>
        </w:rPr>
      </w:pPr>
    </w:p>
    <w:p w14:paraId="064B2B65">
      <w:pPr>
        <w:snapToGrid w:val="0"/>
        <w:spacing w:line="560" w:lineRule="exact"/>
        <w:ind w:firstLine="640"/>
        <w:rPr>
          <w:rFonts w:hint="eastAsia" w:ascii="仿宋_GB2312" w:hAnsi="仿宋_GB2312" w:eastAsia="仿宋_GB2312" w:cs="仿宋_GB2312"/>
          <w:color w:val="auto"/>
          <w:sz w:val="32"/>
          <w:szCs w:val="32"/>
          <w:shd w:val="clear" w:color="auto" w:fill="FFFFFF"/>
        </w:rPr>
      </w:pPr>
    </w:p>
    <w:p w14:paraId="47D4FA27">
      <w:pPr>
        <w:snapToGrid w:val="0"/>
        <w:spacing w:line="560" w:lineRule="exact"/>
        <w:ind w:firstLine="640"/>
        <w:rPr>
          <w:rFonts w:hint="eastAsia" w:ascii="仿宋_GB2312" w:hAnsi="仿宋_GB2312" w:eastAsia="仿宋_GB2312" w:cs="仿宋_GB2312"/>
          <w:color w:val="auto"/>
          <w:sz w:val="32"/>
          <w:szCs w:val="32"/>
          <w:shd w:val="clear" w:color="auto" w:fill="FFFFFF"/>
        </w:rPr>
      </w:pPr>
    </w:p>
    <w:p w14:paraId="0A32B323">
      <w:pPr>
        <w:snapToGrid w:val="0"/>
        <w:spacing w:line="560" w:lineRule="exact"/>
        <w:ind w:firstLine="640"/>
        <w:rPr>
          <w:rFonts w:hint="eastAsia" w:ascii="仿宋_GB2312" w:hAnsi="仿宋_GB2312" w:eastAsia="仿宋_GB2312" w:cs="仿宋_GB2312"/>
          <w:color w:val="auto"/>
          <w:sz w:val="32"/>
          <w:szCs w:val="32"/>
          <w:shd w:val="clear" w:color="auto" w:fill="FFFFFF"/>
        </w:rPr>
      </w:pPr>
    </w:p>
    <w:p w14:paraId="63174F89">
      <w:pPr>
        <w:snapToGrid w:val="0"/>
        <w:spacing w:line="560" w:lineRule="exact"/>
        <w:ind w:firstLine="320" w:firstLineChars="100"/>
        <w:rPr>
          <w:rFonts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品牌打假｜典型侵权商品示例——智能体执行过程</w:t>
      </w:r>
    </w:p>
    <w:p w14:paraId="7C9D1169">
      <w:pPr>
        <w:snapToGrid w:val="0"/>
        <w:rPr>
          <w:color w:val="auto"/>
        </w:rPr>
      </w:pPr>
      <w:r>
        <w:rPr>
          <w:color w:val="auto"/>
        </w:rPr>
        <w:pict>
          <v:shape id="_x0000_i1040" o:spt="75" type="#_x0000_t75" style="height:232.95pt;width:414.45pt;" filled="f" o:preferrelative="t" stroked="f" coordsize="21600,21600">
            <v:path/>
            <v:fill on="f" focussize="0,0"/>
            <v:stroke on="f" joinstyle="miter"/>
            <v:imagedata r:id="rId65" o:title=""/>
            <o:lock v:ext="edit" aspectratio="t"/>
            <w10:wrap type="none"/>
            <w10:anchorlock/>
          </v:shape>
        </w:pict>
      </w:r>
    </w:p>
    <w:p w14:paraId="1DF47980">
      <w:pPr>
        <w:snapToGrid w:val="0"/>
        <w:rPr>
          <w:color w:val="auto"/>
        </w:rPr>
      </w:pPr>
    </w:p>
    <w:p w14:paraId="09525B83">
      <w:pPr>
        <w:snapToGrid w:val="0"/>
        <w:spacing w:line="560" w:lineRule="exact"/>
        <w:ind w:firstLine="640"/>
        <w:rPr>
          <w:rFonts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品牌打假｜打假检测完</w:t>
      </w:r>
      <w:r>
        <w:rPr>
          <w:rFonts w:hint="eastAsia" w:ascii="仿宋_GB2312" w:hAnsi="仿宋_GB2312" w:eastAsia="仿宋_GB2312" w:cs="仿宋_GB2312"/>
          <w:color w:val="auto"/>
          <w:sz w:val="32"/>
          <w:szCs w:val="32"/>
          <w:shd w:val="clear" w:color="auto" w:fill="FFFFFF"/>
          <w:lang w:eastAsia="zh-CN"/>
        </w:rPr>
        <w:t>成后</w:t>
      </w:r>
      <w:r>
        <w:rPr>
          <w:rFonts w:hint="eastAsia" w:ascii="仿宋_GB2312" w:hAnsi="仿宋_GB2312" w:eastAsia="仿宋_GB2312" w:cs="仿宋_GB2312"/>
          <w:color w:val="auto"/>
          <w:sz w:val="32"/>
          <w:szCs w:val="32"/>
          <w:shd w:val="clear" w:color="auto" w:fill="FFFFFF"/>
        </w:rPr>
        <w:t>自动提交投诉</w:t>
      </w:r>
    </w:p>
    <w:p w14:paraId="40837A82">
      <w:pPr>
        <w:snapToGrid w:val="0"/>
        <w:rPr>
          <w:color w:val="auto"/>
        </w:rPr>
      </w:pPr>
    </w:p>
    <w:p w14:paraId="7D9AB20E">
      <w:pPr>
        <w:snapToGrid w:val="0"/>
        <w:rPr>
          <w:rFonts w:ascii="仿宋_GB2312" w:hAnsi="仿宋_GB2312" w:eastAsia="仿宋_GB2312" w:cs="仿宋_GB2312"/>
          <w:color w:val="auto"/>
          <w:sz w:val="32"/>
          <w:szCs w:val="32"/>
          <w:shd w:val="clear" w:color="auto" w:fill="FFFFFF"/>
        </w:rPr>
      </w:pPr>
      <w:r>
        <w:rPr>
          <w:color w:val="auto"/>
        </w:rPr>
        <w:pict>
          <v:shape id="_x0000_i1041" o:spt="75" type="#_x0000_t75" style="height:215.4pt;width:414.45pt;" filled="f" o:preferrelative="t" stroked="f" coordsize="21600,21600">
            <v:path/>
            <v:fill on="f" focussize="0,0"/>
            <v:stroke on="f" joinstyle="miter"/>
            <v:imagedata r:id="rId66" o:title=""/>
            <o:lock v:ext="edit" aspectratio="t"/>
            <w10:wrap type="none"/>
            <w10:anchorlock/>
          </v:shape>
        </w:pict>
      </w:r>
    </w:p>
    <w:p w14:paraId="71ACAEED">
      <w:pPr>
        <w:spacing w:after="120"/>
        <w:jc w:val="left"/>
        <w:rPr>
          <w:rFonts w:ascii="楷体" w:hAnsi="楷体" w:eastAsia="楷体"/>
          <w:color w:val="auto"/>
        </w:rPr>
      </w:pPr>
    </w:p>
    <w:p w14:paraId="5A367BD0">
      <w:pPr>
        <w:pStyle w:val="12"/>
        <w:pageBreakBefore/>
        <w:rPr>
          <w:color w:val="auto"/>
        </w:rPr>
      </w:pPr>
      <w:bookmarkStart w:id="30" w:name="_Toc9225"/>
      <w:r>
        <w:rPr>
          <w:color w:val="auto"/>
        </w:rPr>
        <w:t>案例 02　问小数盒子在法律数字员工与AI办公场景中的应用案例</w:t>
      </w:r>
      <w:bookmarkEnd w:id="30"/>
    </w:p>
    <w:p w14:paraId="7EE27BC4">
      <w:pPr>
        <w:spacing w:after="40"/>
        <w:jc w:val="left"/>
        <w:rPr>
          <w:rFonts w:ascii="方正小标宋简体" w:hAnsi="方正小标宋简体" w:eastAsia="方正小标宋简体" w:cs="方正小标宋简体"/>
          <w:color w:val="auto"/>
          <w:sz w:val="44"/>
          <w:szCs w:val="44"/>
          <w:shd w:val="clear" w:color="auto" w:fill="FFFFFF"/>
        </w:rPr>
      </w:pPr>
      <w:r>
        <w:rPr>
          <w:rFonts w:ascii="楷体" w:hAnsi="楷体" w:eastAsia="楷体"/>
          <w:color w:val="auto"/>
          <w:sz w:val="22"/>
        </w:rPr>
        <w:t>申报单位：中山人才和数字集团有限公司</w:t>
      </w:r>
    </w:p>
    <w:p w14:paraId="1AA76185">
      <w:pPr>
        <w:snapToGrid w:val="0"/>
        <w:spacing w:line="560" w:lineRule="exact"/>
        <w:rPr>
          <w:rFonts w:hint="eastAsia" w:ascii="仿宋_GB2312" w:hAnsi="仿宋_GB2312" w:eastAsia="仿宋_GB2312" w:cs="仿宋_GB2312"/>
          <w:color w:val="auto"/>
          <w:sz w:val="32"/>
          <w:szCs w:val="32"/>
          <w:shd w:val="clear" w:color="auto" w:fill="FFFFFF"/>
        </w:rPr>
      </w:pPr>
    </w:p>
    <w:p w14:paraId="5E720DCB">
      <w:pPr>
        <w:snapToGrid w:val="0"/>
        <w:spacing w:line="560" w:lineRule="exact"/>
        <w:ind w:firstLine="640"/>
        <w:rPr>
          <w:rFonts w:hint="eastAsia" w:ascii="黑体" w:hAnsi="黑体" w:eastAsia="黑体" w:cs="黑体"/>
          <w:color w:val="auto"/>
          <w:sz w:val="32"/>
          <w:szCs w:val="32"/>
          <w:shd w:val="clear" w:color="auto" w:fill="FFFFFF"/>
        </w:rPr>
      </w:pPr>
      <w:r>
        <w:rPr>
          <w:rFonts w:hint="eastAsia" w:ascii="黑体" w:hAnsi="黑体" w:eastAsia="黑体" w:cs="黑体"/>
          <w:color w:val="auto"/>
          <w:sz w:val="32"/>
          <w:szCs w:val="32"/>
          <w:shd w:val="clear" w:color="auto" w:fill="FFFFFF"/>
        </w:rPr>
        <w:t>一、案例基本情况</w:t>
      </w:r>
    </w:p>
    <w:p w14:paraId="36579B0F">
      <w:pPr>
        <w:snapToGrid w:val="0"/>
        <w:spacing w:line="560" w:lineRule="exact"/>
        <w:ind w:firstLine="640"/>
        <w:rPr>
          <w:rFonts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（一）案例名称：问小数盒子在法律数字员工与AI办公场景中的应用案例。</w:t>
      </w:r>
    </w:p>
    <w:p w14:paraId="0F09E26F">
      <w:pPr>
        <w:snapToGrid w:val="0"/>
        <w:spacing w:line="560" w:lineRule="exact"/>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（二）人工智能技术应用方：中山人才和数字集团有限公司。</w:t>
      </w:r>
    </w:p>
    <w:p w14:paraId="616B2BAB">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（三）人工智能技术供给方：西湾智慧（广东）信息科技有限公司。</w:t>
      </w:r>
    </w:p>
    <w:p w14:paraId="667A860B">
      <w:pPr>
        <w:snapToGrid w:val="0"/>
        <w:spacing w:line="560" w:lineRule="exact"/>
        <w:ind w:firstLine="640"/>
        <w:rPr>
          <w:rFonts w:ascii="仿宋_GB2312" w:hAnsi="仿宋_GB2312" w:eastAsia="仿宋_GB2312" w:cs="仿宋_GB2312"/>
          <w:color w:val="auto"/>
          <w:sz w:val="32"/>
          <w:szCs w:val="32"/>
          <w:shd w:val="clear" w:color="auto" w:fill="FFFFFF"/>
        </w:rPr>
      </w:pPr>
      <w:r>
        <w:rPr>
          <w:rFonts w:ascii="仿宋_GB2312" w:hAnsi="仿宋_GB2312" w:eastAsia="仿宋_GB2312" w:cs="仿宋_GB2312"/>
          <w:color w:val="auto"/>
          <w:sz w:val="32"/>
          <w:szCs w:val="32"/>
          <w:shd w:val="clear" w:color="auto" w:fill="FFFFFF"/>
        </w:rPr>
        <w:t>西湾智慧（广东）信息科技有限公司是一家国有资本控股的混合所有制企业，聚焦智慧产城、数据要素、网络智能三大业务，深耕智慧城市、智慧园区、数据资产和低空经济领域。公司坚持“创新技术+成熟产品+标准运营”模式，技术人员占比75%，本科及以上占比90%，近三年研发投入超千万元，拥有市级重点实验室及技术中心，知识产权超百项。公司已形成智慧城市信息数字化管理系统、地空一体智能运控平台、“数智拓客”AI招商平台等核心产品，并获多项行业奖项。在人工智能赋能新型工业化方面，公司通过AI招商、无人机智能巡航、智慧园区运维、BIM融合管理等场景应用，提升招商决策、城市治理、应急响应、能源管控和园区运营效率，持续推动产业数字化、智能化转型。</w:t>
      </w:r>
    </w:p>
    <w:p w14:paraId="1A7FCD1E">
      <w:pPr>
        <w:snapToGrid w:val="0"/>
        <w:spacing w:line="560" w:lineRule="exact"/>
        <w:rPr>
          <w:rFonts w:hint="eastAsia" w:ascii="黑体" w:hAnsi="黑体" w:eastAsia="黑体" w:cs="黑体"/>
          <w:color w:val="auto"/>
          <w:sz w:val="32"/>
          <w:szCs w:val="32"/>
          <w:shd w:val="clear" w:color="auto" w:fill="FFFFFF"/>
        </w:rPr>
      </w:pPr>
    </w:p>
    <w:p w14:paraId="71757A70">
      <w:pPr>
        <w:snapToGrid w:val="0"/>
        <w:spacing w:line="560" w:lineRule="exact"/>
        <w:ind w:firstLine="640"/>
        <w:rPr>
          <w:rFonts w:hint="eastAsia" w:ascii="黑体" w:hAnsi="黑体" w:eastAsia="黑体" w:cs="黑体"/>
          <w:color w:val="auto"/>
          <w:sz w:val="32"/>
          <w:szCs w:val="32"/>
          <w:shd w:val="clear" w:color="auto" w:fill="FFFFFF"/>
        </w:rPr>
      </w:pPr>
      <w:r>
        <w:rPr>
          <w:rFonts w:hint="eastAsia" w:ascii="黑体" w:hAnsi="黑体" w:eastAsia="黑体" w:cs="黑体"/>
          <w:color w:val="auto"/>
          <w:sz w:val="32"/>
          <w:szCs w:val="32"/>
          <w:shd w:val="clear" w:color="auto" w:fill="FFFFFF"/>
        </w:rPr>
        <w:t>二、案例内容介绍</w:t>
      </w:r>
    </w:p>
    <w:p w14:paraId="730EBE0E">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在法律服务和政企办公场景中，用户普遍面临知识资料分散、检索效率低、重复咨询多、文书处理耗时、敏感数据</w:t>
      </w:r>
      <w:r>
        <w:rPr>
          <w:rFonts w:hint="eastAsia" w:ascii="仿宋_GB2312" w:hAnsi="仿宋_GB2312" w:eastAsia="仿宋_GB2312" w:cs="仿宋_GB2312"/>
          <w:color w:val="auto"/>
          <w:sz w:val="32"/>
          <w:szCs w:val="32"/>
          <w:shd w:val="clear" w:color="auto" w:fill="FFFFFF"/>
          <w:lang w:eastAsia="zh-CN"/>
        </w:rPr>
        <w:t>不易</w:t>
      </w:r>
      <w:r>
        <w:rPr>
          <w:rFonts w:hint="eastAsia" w:ascii="仿宋_GB2312" w:hAnsi="仿宋_GB2312" w:eastAsia="仿宋_GB2312" w:cs="仿宋_GB2312"/>
          <w:color w:val="auto"/>
          <w:sz w:val="32"/>
          <w:szCs w:val="32"/>
          <w:shd w:val="clear" w:color="auto" w:fill="FFFFFF"/>
        </w:rPr>
        <w:t>上云等问题。本案例以问小数盒子智能硬件作为边缘侧AI入口，结合OpenClaw 技能体系、xClaws Manager管理能力、本地知识库、检索增强生成、文档解析、工具调用、权限控制和日志留痕等技术，构建“法律数字员工+AI办公助手”。系统可接入法律法规、政策文件、合同模板、内部制度、办事指南、会议资料和业务SOP，为法务、合规、行政、人事及综合办人员提供法规问答、合同辅助审查、制度检索、风险要点提示、文书起草、会议纪要生成和流程咨询等服务。其亮点在于本地部署、安全可控、依据可回溯、开箱即用、低成本复制，既能支撑专业法律服务辅助，也能覆盖日常AI办公高频需求。</w:t>
      </w:r>
    </w:p>
    <w:p w14:paraId="3750ECDE">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应用前，法规检索、合同条款查阅、制度咨询、会议纪要整理和办公文书起草主要依赖人工完成，资料查询链路长、重复问答占用人力。应用后，通过问小数盒子标准终端和法律/办公知识库，常见法律与制度问题自助响应率达到90%；合同、制度、政策资料检索时间缩短50%；会议纪要和文书初稿生成效率提升70%；法务、行政等岗位重复性咨询处理量下降60%；敏感资料可在本地知识库管理，减少数据外发风险。该模式可通过复制设备、知识库和场景技能快速推广至多部门、多窗口、多项目组。</w:t>
      </w:r>
    </w:p>
    <w:p w14:paraId="466C2DFB">
      <w:pPr>
        <w:snapToGrid w:val="0"/>
        <w:spacing w:line="560" w:lineRule="exact"/>
        <w:ind w:firstLine="640"/>
        <w:rPr>
          <w:rFonts w:hint="eastAsia" w:ascii="黑体" w:hAnsi="黑体" w:eastAsia="黑体" w:cs="黑体"/>
          <w:color w:val="auto"/>
          <w:sz w:val="32"/>
          <w:szCs w:val="32"/>
          <w:shd w:val="clear" w:color="auto" w:fill="FFFFFF"/>
        </w:rPr>
      </w:pPr>
      <w:r>
        <w:rPr>
          <w:rFonts w:hint="eastAsia" w:ascii="黑体" w:hAnsi="黑体" w:eastAsia="黑体" w:cs="黑体"/>
          <w:color w:val="auto"/>
          <w:sz w:val="32"/>
          <w:szCs w:val="32"/>
          <w:shd w:val="clear" w:color="auto" w:fill="FFFFFF"/>
        </w:rPr>
        <w:t>三、案例所获得荣誉、复制推广情况等</w:t>
      </w:r>
    </w:p>
    <w:p w14:paraId="794966A2">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问小数盒子已形成“智能硬件+智能体技能+本地知识库+管理工具+场景交付”的标准化产品形态，可重点复制到企业法务、公共法律服务、律所服务、合规管理、行政办公、制度咨询、会议协同和园区企业服务等场景。获得2025年“数据要素×”大赛广东分赛商业价值奖。</w:t>
      </w:r>
    </w:p>
    <w:p w14:paraId="66079D39">
      <w:pPr>
        <w:snapToGrid w:val="0"/>
        <w:rPr>
          <w:color w:val="auto"/>
        </w:rPr>
      </w:pPr>
      <w:r>
        <w:rPr>
          <w:color w:val="auto"/>
        </w:rPr>
        <w:pict>
          <v:shape id="_x0000_i1042" o:spt="75" type="#_x0000_t75" style="height:232.95pt;width:414.45pt;" filled="f" o:preferrelative="t" stroked="f" coordsize="21600,21600">
            <v:path/>
            <v:fill on="f" focussize="0,0"/>
            <v:stroke on="f" joinstyle="miter"/>
            <v:imagedata r:id="rId67" o:title=""/>
            <o:lock v:ext="edit" aspectratio="t"/>
            <w10:wrap type="none"/>
            <w10:anchorlock/>
          </v:shape>
        </w:pict>
      </w:r>
    </w:p>
    <w:p w14:paraId="743DF7FB">
      <w:pPr>
        <w:snapToGrid w:val="0"/>
        <w:rPr>
          <w:color w:val="auto"/>
        </w:rPr>
      </w:pPr>
    </w:p>
    <w:p w14:paraId="34F30A04">
      <w:pPr>
        <w:snapToGrid w:val="0"/>
        <w:rPr>
          <w:color w:val="auto"/>
        </w:rPr>
      </w:pPr>
      <w:r>
        <w:rPr>
          <w:color w:val="auto"/>
        </w:rPr>
        <w:pict>
          <v:shape id="_x0000_i1043" o:spt="75" type="#_x0000_t75" style="height:232.35pt;width:415.05pt;" filled="f" o:preferrelative="t" stroked="f" coordsize="21600,21600">
            <v:path/>
            <v:fill on="f" focussize="0,0"/>
            <v:stroke on="f" joinstyle="miter"/>
            <v:imagedata r:id="rId68" o:title=""/>
            <o:lock v:ext="edit" aspectratio="t"/>
            <w10:wrap type="none"/>
            <w10:anchorlock/>
          </v:shape>
        </w:pict>
      </w:r>
    </w:p>
    <w:p w14:paraId="50A6E1FE">
      <w:pPr>
        <w:spacing w:after="120"/>
        <w:jc w:val="left"/>
        <w:rPr>
          <w:rFonts w:ascii="楷体" w:hAnsi="楷体" w:eastAsia="楷体"/>
          <w:color w:val="auto"/>
        </w:rPr>
      </w:pPr>
    </w:p>
    <w:p w14:paraId="1DBF5574">
      <w:pPr>
        <w:pStyle w:val="12"/>
        <w:pageBreakBefore/>
        <w:rPr>
          <w:color w:val="auto"/>
        </w:rPr>
      </w:pPr>
      <w:bookmarkStart w:id="31" w:name="_Toc9494"/>
      <w:r>
        <w:rPr>
          <w:color w:val="auto"/>
        </w:rPr>
        <w:t>案例 03　安保云-视频监控云平台AI算法服务</w:t>
      </w:r>
      <w:bookmarkEnd w:id="31"/>
    </w:p>
    <w:p w14:paraId="0F5C0708">
      <w:pPr>
        <w:spacing w:after="40"/>
        <w:jc w:val="left"/>
        <w:rPr>
          <w:rFonts w:ascii="楷体" w:hAnsi="楷体" w:eastAsia="楷体"/>
          <w:color w:val="auto"/>
          <w:sz w:val="22"/>
        </w:rPr>
      </w:pPr>
      <w:r>
        <w:rPr>
          <w:rFonts w:ascii="楷体" w:hAnsi="楷体" w:eastAsia="楷体"/>
          <w:color w:val="auto"/>
          <w:sz w:val="22"/>
        </w:rPr>
        <w:t>申报单位：中山兴中餐饮管理有限公司</w:t>
      </w:r>
    </w:p>
    <w:p w14:paraId="0268C143">
      <w:pPr>
        <w:snapToGrid w:val="0"/>
        <w:spacing w:line="560" w:lineRule="exact"/>
        <w:rPr>
          <w:rFonts w:hint="eastAsia" w:ascii="仿宋_GB2312" w:hAnsi="仿宋_GB2312" w:eastAsia="仿宋_GB2312" w:cs="仿宋_GB2312"/>
          <w:color w:val="auto"/>
          <w:sz w:val="32"/>
          <w:szCs w:val="32"/>
          <w:shd w:val="clear" w:color="auto" w:fill="FFFFFF"/>
        </w:rPr>
      </w:pPr>
    </w:p>
    <w:p w14:paraId="52A2798B">
      <w:pPr>
        <w:snapToGrid w:val="0"/>
        <w:spacing w:line="560" w:lineRule="exact"/>
        <w:ind w:firstLine="640"/>
        <w:outlineLvl w:val="0"/>
        <w:rPr>
          <w:rFonts w:hint="eastAsia" w:ascii="黑体" w:hAnsi="黑体" w:eastAsia="黑体" w:cs="黑体"/>
          <w:color w:val="auto"/>
          <w:sz w:val="32"/>
          <w:szCs w:val="32"/>
          <w:shd w:val="clear" w:color="auto" w:fill="FFFFFF"/>
        </w:rPr>
      </w:pPr>
      <w:r>
        <w:rPr>
          <w:rFonts w:hint="eastAsia" w:ascii="黑体" w:hAnsi="黑体" w:eastAsia="黑体" w:cs="黑体"/>
          <w:color w:val="auto"/>
          <w:sz w:val="32"/>
          <w:szCs w:val="32"/>
          <w:shd w:val="clear" w:color="auto" w:fill="FFFFFF"/>
        </w:rPr>
        <w:t>一、案例基本情况</w:t>
      </w:r>
    </w:p>
    <w:p w14:paraId="6FF0BCCF">
      <w:pPr>
        <w:snapToGrid w:val="0"/>
        <w:spacing w:line="560" w:lineRule="exact"/>
        <w:ind w:firstLine="640"/>
        <w:rPr>
          <w:rFonts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（一）案例名称：安保云</w:t>
      </w:r>
      <w:r>
        <w:rPr>
          <w:rFonts w:hint="eastAsia" w:ascii="仿宋_GB2312" w:hAnsi="仿宋_GB2312" w:eastAsia="仿宋_GB2312"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rPr>
        <w:t>视频监控云平台AI算法服务。</w:t>
      </w:r>
    </w:p>
    <w:p w14:paraId="62054F96">
      <w:pPr>
        <w:snapToGrid w:val="0"/>
        <w:spacing w:line="560" w:lineRule="exact"/>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（二）人工智能技术应用方：中山兴中餐饮管理有限公司。</w:t>
      </w:r>
    </w:p>
    <w:p w14:paraId="38804792">
      <w:pPr>
        <w:snapToGrid w:val="0"/>
        <w:spacing w:line="560" w:lineRule="exact"/>
        <w:ind w:firstLine="640"/>
        <w:rPr>
          <w:rFonts w:hint="eastAsia" w:ascii="仿宋_GB2312" w:hAnsi="仿宋_GB2312" w:eastAsia="仿宋_GB2312" w:cs="仿宋_GB2312"/>
          <w:b/>
          <w:bCs/>
          <w:color w:val="auto"/>
          <w:sz w:val="32"/>
          <w:szCs w:val="32"/>
          <w:shd w:val="clear" w:color="auto" w:fill="FFFFFF"/>
        </w:rPr>
      </w:pPr>
      <w:r>
        <w:rPr>
          <w:rFonts w:hint="eastAsia" w:ascii="仿宋_GB2312" w:hAnsi="仿宋_GB2312" w:eastAsia="仿宋_GB2312" w:cs="仿宋_GB2312"/>
          <w:b/>
          <w:bCs/>
          <w:color w:val="auto"/>
          <w:sz w:val="32"/>
          <w:szCs w:val="32"/>
          <w:shd w:val="clear" w:color="auto" w:fill="FFFFFF"/>
        </w:rPr>
        <w:t>应用企业简介：</w:t>
      </w:r>
      <w:r>
        <w:rPr>
          <w:rFonts w:hint="eastAsia" w:ascii="仿宋_GB2312" w:hAnsi="仿宋_GB2312" w:eastAsia="仿宋_GB2312" w:cs="仿宋_GB2312"/>
          <w:color w:val="auto"/>
          <w:sz w:val="32"/>
          <w:szCs w:val="32"/>
          <w:shd w:val="clear" w:color="auto" w:fill="FFFFFF"/>
        </w:rPr>
        <w:t>中山兴中餐饮管理有限公司深耕团餐与食材供应链，主营主食热链配送、生鲜食材供应、食堂运营、食品检测及营养咨询等服务，服务覆盖中山校园、机关及企事业单位，辐射珠海、肇庆等地。以“心系舌尖、食安为先”为理念，坚守食品安全底线，致力打造国企标杆餐饮服务品牌。</w:t>
      </w:r>
    </w:p>
    <w:p w14:paraId="141993C6">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（三）人工智能技术供给方：中山市保安服务有限公司。</w:t>
      </w:r>
    </w:p>
    <w:p w14:paraId="1CE8A54E">
      <w:pPr>
        <w:snapToGrid w:val="0"/>
        <w:spacing w:line="560" w:lineRule="exact"/>
        <w:ind w:firstLine="640"/>
        <w:jc w:val="left"/>
        <w:rPr>
          <w:rFonts w:hint="eastAsia" w:ascii="黑体" w:hAnsi="黑体" w:eastAsia="黑体" w:cs="黑体"/>
          <w:color w:val="auto"/>
          <w:sz w:val="32"/>
          <w:szCs w:val="32"/>
          <w:shd w:val="clear" w:color="auto" w:fill="FFFFFF"/>
        </w:rPr>
      </w:pPr>
      <w:r>
        <w:rPr>
          <w:rFonts w:hint="eastAsia" w:ascii="仿宋_GB2312" w:hAnsi="仿宋_GB2312" w:eastAsia="仿宋_GB2312" w:cs="仿宋_GB2312"/>
          <w:b/>
          <w:bCs/>
          <w:color w:val="auto"/>
          <w:sz w:val="32"/>
          <w:szCs w:val="32"/>
          <w:shd w:val="clear" w:color="auto" w:fill="FFFFFF"/>
        </w:rPr>
        <w:t>供给企业简介：</w:t>
      </w:r>
      <w:r>
        <w:rPr>
          <w:rFonts w:hint="eastAsia" w:ascii="仿宋_GB2312" w:hAnsi="仿宋_GB2312" w:eastAsia="仿宋_GB2312" w:cs="仿宋_GB2312"/>
          <w:color w:val="auto"/>
          <w:sz w:val="32"/>
          <w:szCs w:val="32"/>
          <w:shd w:val="clear" w:color="auto" w:fill="FFFFFF"/>
        </w:rPr>
        <w:t>兴中集团旗下中山市保安服务有限公司深耕安保行业数十年，构建了以人防派驻、武装押运、技术防范为核心，涵盖物业管理、印章雕刻、现金清分、劳务派遣等多元业务的综合安保服务体系。秉持“科技赋能、专业守护”理念，公司推进智慧安防转型，打造数字化安保管理平台，着力提升城市安全服务能级。</w:t>
      </w:r>
    </w:p>
    <w:p w14:paraId="4BE8ADB9">
      <w:pPr>
        <w:snapToGrid w:val="0"/>
        <w:spacing w:line="560" w:lineRule="exact"/>
        <w:ind w:firstLine="640"/>
        <w:outlineLvl w:val="0"/>
        <w:rPr>
          <w:rFonts w:hint="eastAsia" w:ascii="黑体" w:hAnsi="黑体" w:eastAsia="黑体" w:cs="黑体"/>
          <w:color w:val="auto"/>
          <w:sz w:val="32"/>
          <w:szCs w:val="32"/>
          <w:shd w:val="clear" w:color="auto" w:fill="FFFFFF"/>
        </w:rPr>
      </w:pPr>
      <w:r>
        <w:rPr>
          <w:rFonts w:hint="eastAsia" w:ascii="黑体" w:hAnsi="黑体" w:eastAsia="黑体" w:cs="黑体"/>
          <w:color w:val="auto"/>
          <w:sz w:val="32"/>
          <w:szCs w:val="32"/>
          <w:shd w:val="clear" w:color="auto" w:fill="FFFFFF"/>
        </w:rPr>
        <w:t>二、案例内容介绍</w:t>
      </w:r>
    </w:p>
    <w:p w14:paraId="61324751">
      <w:pPr>
        <w:snapToGrid w:val="0"/>
        <w:spacing w:line="560" w:lineRule="exact"/>
        <w:ind w:firstLine="640"/>
        <w:outlineLvl w:val="1"/>
        <w:rPr>
          <w:rFonts w:ascii="楷体_GB2312" w:hAnsi="楷体_GB2312" w:eastAsia="楷体_GB2312" w:cs="楷体_GB2312"/>
          <w:color w:val="auto"/>
          <w:sz w:val="32"/>
          <w:szCs w:val="32"/>
          <w:shd w:val="clear" w:color="auto" w:fill="FFFFFF"/>
        </w:rPr>
      </w:pPr>
      <w:r>
        <w:rPr>
          <w:rFonts w:hint="eastAsia" w:ascii="楷体_GB2312" w:hAnsi="楷体_GB2312" w:eastAsia="楷体_GB2312" w:cs="楷体_GB2312"/>
          <w:color w:val="auto"/>
          <w:sz w:val="32"/>
          <w:szCs w:val="32"/>
          <w:shd w:val="clear" w:color="auto" w:fill="FFFFFF"/>
        </w:rPr>
        <w:t>（一）案例背景及实现</w:t>
      </w:r>
    </w:p>
    <w:p w14:paraId="6288BE3E">
      <w:pPr>
        <w:snapToGrid w:val="0"/>
        <w:spacing w:line="560" w:lineRule="exact"/>
        <w:ind w:firstLine="640"/>
        <w:jc w:val="left"/>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本案例针对兴中餐饮后厨依赖人工巡检、监管滞后、漏判率高、取证难等痛点，依托现有安保云视频监控平台，部署AI智能分析算法，打造后厨全流程智能监管体系。</w:t>
      </w:r>
    </w:p>
    <w:p w14:paraId="1804A20B">
      <w:pPr>
        <w:snapToGrid w:val="0"/>
        <w:spacing w:line="560" w:lineRule="exact"/>
        <w:ind w:firstLine="640"/>
        <w:jc w:val="left"/>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项目采用图像识别、行为分析、智能预警等AI技术，实现未穿工服、未戴帽、未戴口罩、抽烟、玩手机、鼠患6项明厨亮灶场景自动识别。系统7×24小时实时监测，违规行为即时预警，通过平台、APP、短信多渠道推送，形成“识别—预警—取证—追溯”闭环管理。</w:t>
      </w:r>
    </w:p>
    <w:p w14:paraId="3A7EEA98">
      <w:pPr>
        <w:snapToGrid w:val="0"/>
        <w:spacing w:line="560" w:lineRule="exact"/>
        <w:ind w:firstLine="640"/>
        <w:jc w:val="left"/>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案例亮点突出：复用现有监控设备与平台，大幅降低改造成本、缩短落地周期；AI替代人工巡检，提升监管效率与覆盖率，减少漏判误判；数据可统计可溯源，强化食品安全规范化管理，为国企餐饮安全监管提供可复制的数字化解决方案。</w:t>
      </w:r>
    </w:p>
    <w:p w14:paraId="2AEF8ABE">
      <w:pPr>
        <w:snapToGrid w:val="0"/>
        <w:spacing w:line="560" w:lineRule="exact"/>
        <w:ind w:firstLine="640"/>
        <w:outlineLvl w:val="1"/>
        <w:rPr>
          <w:rFonts w:hint="eastAsia" w:ascii="楷体_GB2312" w:hAnsi="楷体_GB2312" w:eastAsia="楷体_GB2312" w:cs="楷体_GB2312"/>
          <w:color w:val="auto"/>
          <w:sz w:val="32"/>
          <w:szCs w:val="32"/>
          <w:shd w:val="clear" w:color="auto" w:fill="FFFFFF"/>
        </w:rPr>
      </w:pPr>
      <w:r>
        <w:rPr>
          <w:rFonts w:hint="eastAsia" w:ascii="楷体_GB2312" w:hAnsi="楷体_GB2312" w:eastAsia="楷体_GB2312" w:cs="楷体_GB2312"/>
          <w:color w:val="auto"/>
          <w:sz w:val="32"/>
          <w:szCs w:val="32"/>
          <w:shd w:val="clear" w:color="auto" w:fill="FFFFFF"/>
        </w:rPr>
        <w:t>（二）具体应用成效</w:t>
      </w:r>
    </w:p>
    <w:p w14:paraId="447698AA">
      <w:pPr>
        <w:snapToGrid w:val="0"/>
        <w:spacing w:line="560" w:lineRule="exact"/>
        <w:ind w:firstLine="640"/>
        <w:rPr>
          <w:rFonts w:hint="eastAsia" w:ascii="楷体_GB2312" w:hAnsi="楷体_GB2312" w:eastAsia="楷体_GB2312" w:cs="楷体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AI算法应用后，监管效率、响应速度、管理规范度全面提升：从人工巡检转为7×24小时智能实时监控，违规漏判率下降；实现实时预警、多渠道推送、全程留痕，处置效率提高；后厨人员着装、佩戴防护用品、禁止行为等规范执行更到位，食品安全管控更严格；复用现有设备与平台，无需重复投入，人力成本降低、落地周期缩短，形成标准化、可追溯的数字化监管闭环。</w:t>
      </w:r>
    </w:p>
    <w:p w14:paraId="01711577">
      <w:pPr>
        <w:snapToGrid w:val="0"/>
        <w:spacing w:line="560" w:lineRule="exact"/>
        <w:ind w:firstLine="358" w:firstLineChars="112"/>
        <w:outlineLvl w:val="0"/>
        <w:rPr>
          <w:rFonts w:hint="eastAsia" w:ascii="仿宋_GB2312" w:hAnsi="仿宋_GB2312" w:eastAsia="仿宋_GB2312" w:cs="仿宋_GB2312"/>
          <w:color w:val="auto"/>
          <w:sz w:val="32"/>
          <w:szCs w:val="32"/>
          <w:shd w:val="clear" w:color="auto" w:fill="FFFFFF"/>
        </w:rPr>
      </w:pPr>
      <w:r>
        <w:rPr>
          <w:rFonts w:hint="eastAsia" w:ascii="黑体" w:hAnsi="黑体" w:eastAsia="黑体" w:cs="黑体"/>
          <w:color w:val="auto"/>
          <w:sz w:val="32"/>
          <w:szCs w:val="32"/>
          <w:shd w:val="clear" w:color="auto" w:fill="FFFFFF"/>
        </w:rPr>
        <w:br w:type="page"/>
      </w:r>
      <w:r>
        <w:rPr>
          <w:rFonts w:hint="eastAsia" w:ascii="黑体" w:hAnsi="黑体" w:eastAsia="黑体" w:cs="黑体"/>
          <w:color w:val="auto"/>
          <w:sz w:val="32"/>
          <w:szCs w:val="32"/>
          <w:shd w:val="clear" w:color="auto" w:fill="FFFFFF"/>
        </w:rPr>
        <w:t>三、案例所获得荣誉、复制推广情况等</w:t>
      </w:r>
    </w:p>
    <w:p w14:paraId="2465BABC">
      <w:pPr>
        <w:snapToGrid w:val="0"/>
        <w:spacing w:line="560" w:lineRule="exact"/>
        <w:ind w:firstLine="640"/>
        <w:outlineLvl w:val="1"/>
        <w:rPr>
          <w:rFonts w:ascii="楷体_GB2312" w:hAnsi="楷体_GB2312" w:eastAsia="楷体_GB2312" w:cs="楷体_GB2312"/>
          <w:color w:val="auto"/>
          <w:sz w:val="32"/>
          <w:szCs w:val="32"/>
          <w:shd w:val="clear" w:color="auto" w:fill="FFFFFF"/>
        </w:rPr>
      </w:pPr>
      <w:r>
        <w:rPr>
          <w:rFonts w:hint="eastAsia" w:ascii="楷体_GB2312" w:hAnsi="楷体_GB2312" w:eastAsia="楷体_GB2312" w:cs="楷体_GB2312"/>
          <w:color w:val="auto"/>
          <w:sz w:val="32"/>
          <w:szCs w:val="32"/>
          <w:shd w:val="clear" w:color="auto" w:fill="FFFFFF"/>
        </w:rPr>
        <w:t>（一）算法系统取得软著证书</w:t>
      </w:r>
    </w:p>
    <w:p w14:paraId="2A885AF2">
      <w:pPr>
        <w:snapToGrid w:val="0"/>
        <w:spacing w:line="560" w:lineRule="exact"/>
        <w:ind w:firstLine="640"/>
        <w:outlineLvl w:val="1"/>
        <w:rPr>
          <w:rFonts w:hint="eastAsia" w:ascii="楷体_GB2312" w:hAnsi="楷体_GB2312" w:eastAsia="楷体_GB2312" w:cs="楷体_GB2312"/>
          <w:color w:val="auto"/>
          <w:sz w:val="32"/>
          <w:szCs w:val="32"/>
          <w:shd w:val="clear" w:color="auto" w:fill="FFFFFF"/>
        </w:rPr>
      </w:pPr>
      <w:r>
        <w:rPr>
          <w:rFonts w:hint="eastAsia" w:ascii="楷体_GB2312" w:hAnsi="楷体_GB2312" w:eastAsia="楷体_GB2312" w:cs="楷体_GB2312"/>
          <w:color w:val="auto"/>
          <w:sz w:val="32"/>
          <w:szCs w:val="32"/>
          <w:shd w:val="clear" w:color="auto" w:fill="FFFFFF"/>
        </w:rPr>
        <w:t>（二）</w:t>
      </w:r>
      <w:r>
        <w:rPr>
          <w:rFonts w:hint="eastAsia" w:ascii="楷体_GB2312" w:hAnsi="楷体_GB2312" w:eastAsia="楷体_GB2312" w:cs="楷体_GB2312"/>
          <w:color w:val="auto"/>
          <w:sz w:val="32"/>
          <w:szCs w:val="32"/>
          <w:shd w:val="clear" w:color="auto" w:fill="FFFFFF"/>
        </w:rPr>
        <w:pict>
          <v:shape id="_x0000_s1055" o:spid="_x0000_s1055" o:spt="75" alt="证书-实时视频多目标跟踪与分析系统_01" type="#_x0000_t75" style="position:absolute;left:0pt;margin-left:3.75pt;margin-top:2.5pt;height:489.45pt;width:361.75pt;mso-wrap-distance-bottom:0pt;mso-wrap-distance-top:0pt;z-index:251680768;mso-width-relative:page;mso-height-relative:page;" filled="f" o:preferrelative="t" stroked="f" coordsize="21600,21600">
            <v:path/>
            <v:fill on="f" focussize="0,0"/>
            <v:stroke on="f" joinstyle="miter"/>
            <v:imagedata r:id="rId69" o:title="证书-实时视频多目标跟踪与分析系统_01"/>
            <o:lock v:ext="edit" aspectratio="t"/>
            <w10:wrap type="topAndBottom"/>
          </v:shape>
        </w:pict>
      </w:r>
      <w:r>
        <w:rPr>
          <w:rFonts w:hint="eastAsia" w:ascii="楷体_GB2312" w:hAnsi="楷体_GB2312" w:eastAsia="楷体_GB2312" w:cs="楷体_GB2312"/>
          <w:color w:val="auto"/>
          <w:sz w:val="32"/>
          <w:szCs w:val="32"/>
          <w:shd w:val="clear" w:color="auto" w:fill="FFFFFF"/>
        </w:rPr>
        <w:t>其他单位复制推广情况</w:t>
      </w:r>
    </w:p>
    <w:p w14:paraId="4E6449F4">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新纪元面粉厂：机动车违停+车辆识别算法</w:t>
      </w:r>
    </w:p>
    <w:p w14:paraId="695A403C">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兴中广场：非机动车识别算法</w:t>
      </w:r>
    </w:p>
    <w:p w14:paraId="2A401EB4">
      <w:pPr>
        <w:snapToGrid w:val="0"/>
        <w:spacing w:line="560" w:lineRule="exact"/>
        <w:ind w:firstLine="640"/>
        <w:rPr>
          <w:rFonts w:ascii="楷体_GB2312" w:hAnsi="楷体_GB2312" w:eastAsia="楷体_GB2312" w:cs="楷体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翠亨生命科学院保安岗：人员睡岗、离岗识别算法</w:t>
      </w:r>
    </w:p>
    <w:p w14:paraId="0F31B82A">
      <w:pPr>
        <w:snapToGrid w:val="0"/>
        <w:spacing w:line="560" w:lineRule="exact"/>
        <w:ind w:firstLine="358" w:firstLineChars="112"/>
        <w:outlineLvl w:val="0"/>
        <w:rPr>
          <w:rFonts w:hint="eastAsia" w:ascii="黑体" w:hAnsi="黑体" w:eastAsia="黑体" w:cs="黑体"/>
          <w:color w:val="auto"/>
          <w:sz w:val="32"/>
          <w:szCs w:val="32"/>
          <w:shd w:val="clear" w:color="auto" w:fill="FFFFFF"/>
        </w:rPr>
      </w:pPr>
      <w:r>
        <w:rPr>
          <w:rFonts w:hint="eastAsia" w:ascii="黑体" w:hAnsi="黑体" w:eastAsia="黑体" w:cs="黑体"/>
          <w:color w:val="auto"/>
          <w:sz w:val="32"/>
          <w:szCs w:val="32"/>
          <w:shd w:val="clear" w:color="auto" w:fill="FFFFFF"/>
        </w:rPr>
        <w:br w:type="page"/>
      </w:r>
      <w:r>
        <w:rPr>
          <w:rFonts w:hint="eastAsia" w:ascii="黑体" w:hAnsi="黑体" w:eastAsia="黑体" w:cs="黑体"/>
          <w:color w:val="auto"/>
          <w:sz w:val="32"/>
          <w:szCs w:val="32"/>
          <w:shd w:val="clear" w:color="auto" w:fill="FFFFFF"/>
        </w:rPr>
        <w:t>四、案例相关介绍图片</w:t>
      </w:r>
    </w:p>
    <w:p w14:paraId="3045CEDE">
      <w:pPr>
        <w:snapToGrid w:val="0"/>
        <w:spacing w:line="560" w:lineRule="exact"/>
        <w:ind w:firstLine="358" w:firstLineChars="112"/>
        <w:outlineLvl w:val="1"/>
        <w:rPr>
          <w:rFonts w:hint="eastAsia" w:ascii="楷体_GB2312" w:hAnsi="楷体_GB2312" w:eastAsia="楷体_GB2312" w:cs="楷体_GB2312"/>
          <w:color w:val="auto"/>
          <w:sz w:val="32"/>
          <w:szCs w:val="32"/>
          <w:shd w:val="clear" w:color="auto" w:fill="FFFFFF"/>
        </w:rPr>
      </w:pPr>
      <w:r>
        <w:rPr>
          <w:rFonts w:hint="eastAsia" w:ascii="楷体_GB2312" w:hAnsi="楷体_GB2312" w:eastAsia="楷体_GB2312" w:cs="楷体_GB2312"/>
          <w:color w:val="auto"/>
          <w:sz w:val="32"/>
          <w:szCs w:val="32"/>
          <w:shd w:val="clear" w:color="auto" w:fill="FFFFFF"/>
        </w:rPr>
        <w:pict>
          <v:shape id="_x0000_s1056" o:spid="_x0000_s1056" o:spt="75" type="#_x0000_t75" style="position:absolute;left:0pt;margin-left:-19.15pt;margin-top:33.85pt;height:255.1pt;width:453.55pt;mso-wrap-distance-bottom:0pt;mso-wrap-distance-top:0pt;z-index:251681792;mso-width-relative:page;mso-height-relative:page;" filled="f" o:preferrelative="t" stroked="f" coordsize="21600,21600">
            <v:path/>
            <v:fill on="f" focussize="0,0"/>
            <v:stroke on="f" joinstyle="miter"/>
            <v:imagedata r:id="rId70" o:title=""/>
            <o:lock v:ext="edit" aspectratio="f"/>
            <w10:wrap type="topAndBottom"/>
          </v:shape>
        </w:pict>
      </w:r>
      <w:r>
        <w:rPr>
          <w:rFonts w:hint="eastAsia" w:ascii="楷体_GB2312" w:hAnsi="楷体_GB2312" w:eastAsia="楷体_GB2312" w:cs="楷体_GB2312"/>
          <w:color w:val="auto"/>
          <w:sz w:val="32"/>
          <w:szCs w:val="32"/>
          <w:shd w:val="clear" w:color="auto" w:fill="FFFFFF"/>
        </w:rPr>
        <w:t>（一）平台监测告警界面</w:t>
      </w:r>
    </w:p>
    <w:p w14:paraId="19344B55">
      <w:pPr>
        <w:snapToGrid w:val="0"/>
        <w:spacing w:line="560" w:lineRule="exact"/>
        <w:ind w:firstLine="358" w:firstLineChars="112"/>
        <w:outlineLvl w:val="1"/>
        <w:rPr>
          <w:rFonts w:hint="eastAsia" w:ascii="楷体_GB2312" w:hAnsi="楷体_GB2312" w:eastAsia="楷体_GB2312" w:cs="楷体_GB2312"/>
          <w:color w:val="auto"/>
          <w:sz w:val="32"/>
          <w:szCs w:val="32"/>
          <w:shd w:val="clear" w:color="auto" w:fill="FFFFFF"/>
        </w:rPr>
      </w:pPr>
      <w:r>
        <w:rPr>
          <w:rFonts w:hint="eastAsia" w:ascii="楷体_GB2312" w:hAnsi="楷体_GB2312" w:eastAsia="楷体_GB2312" w:cs="楷体_GB2312"/>
          <w:color w:val="auto"/>
          <w:sz w:val="32"/>
          <w:szCs w:val="32"/>
          <w:shd w:val="clear" w:color="auto" w:fill="FFFFFF"/>
        </w:rPr>
        <w:t>（二）告警弹窗界面</w:t>
      </w:r>
    </w:p>
    <w:p w14:paraId="47002DD7">
      <w:pPr>
        <w:snapToGrid w:val="0"/>
        <w:spacing w:line="560" w:lineRule="exact"/>
        <w:rPr>
          <w:rFonts w:ascii="仿宋_GB2312" w:hAnsi="仿宋_GB2312" w:eastAsia="仿宋_GB2312" w:cs="仿宋_GB2312"/>
          <w:b/>
          <w:bCs/>
          <w:color w:val="auto"/>
          <w:sz w:val="32"/>
          <w:szCs w:val="32"/>
          <w:shd w:val="clear" w:color="auto" w:fill="FFFFFF"/>
        </w:rPr>
      </w:pPr>
      <w:r>
        <w:rPr>
          <w:color w:val="auto"/>
        </w:rPr>
        <w:pict>
          <v:shape id="_x0000_s1057" o:spid="_x0000_s1057" o:spt="75" type="#_x0000_t75" style="position:absolute;left:0pt;margin-left:27.55pt;margin-top:28.45pt;height:232pt;width:406.85pt;mso-wrap-distance-bottom:0pt;mso-wrap-distance-top:0pt;z-index:251682816;mso-width-relative:page;mso-height-relative:page;" filled="f" o:preferrelative="t" stroked="f" coordsize="21600,21600">
            <v:path/>
            <v:fill on="f" focussize="0,0"/>
            <v:stroke on="f"/>
            <v:imagedata r:id="rId71" o:title=""/>
            <o:lock v:ext="edit" aspectratio="f"/>
            <w10:wrap type="topAndBottom"/>
          </v:shape>
        </w:pict>
      </w:r>
    </w:p>
    <w:p w14:paraId="0D634592">
      <w:pPr>
        <w:snapToGrid w:val="0"/>
        <w:spacing w:line="560" w:lineRule="exact"/>
        <w:rPr>
          <w:rFonts w:ascii="仿宋_GB2312" w:hAnsi="仿宋_GB2312" w:eastAsia="仿宋_GB2312" w:cs="仿宋_GB2312"/>
          <w:b/>
          <w:bCs/>
          <w:color w:val="auto"/>
          <w:sz w:val="32"/>
          <w:szCs w:val="32"/>
          <w:shd w:val="clear" w:color="auto" w:fill="FFFFFF"/>
        </w:rPr>
      </w:pPr>
    </w:p>
    <w:p w14:paraId="5255C73D">
      <w:pPr>
        <w:snapToGrid w:val="0"/>
        <w:spacing w:line="560" w:lineRule="exact"/>
        <w:jc w:val="both"/>
        <w:rPr>
          <w:rFonts w:hint="eastAsia" w:ascii="方正小标宋简体" w:hAnsi="方正小标宋简体" w:eastAsia="方正小标宋简体" w:cs="方正小标宋简体"/>
          <w:color w:val="auto"/>
          <w:sz w:val="44"/>
          <w:szCs w:val="44"/>
          <w:shd w:val="clear" w:color="auto" w:fill="FFFFFF"/>
        </w:rPr>
      </w:pPr>
    </w:p>
    <w:p w14:paraId="4571CF95">
      <w:pPr>
        <w:pStyle w:val="12"/>
        <w:pageBreakBefore/>
        <w:rPr>
          <w:color w:val="auto"/>
        </w:rPr>
      </w:pPr>
      <w:bookmarkStart w:id="32" w:name="_Toc9959"/>
      <w:r>
        <w:rPr>
          <w:color w:val="auto"/>
        </w:rPr>
        <w:t>案例 04　基于AI视觉的卸猪通道自动计数与数据采集平台</w:t>
      </w:r>
      <w:bookmarkEnd w:id="32"/>
    </w:p>
    <w:p w14:paraId="60A8876E">
      <w:pPr>
        <w:spacing w:after="40"/>
        <w:jc w:val="left"/>
        <w:rPr>
          <w:rFonts w:ascii="方正小标宋简体" w:hAnsi="方正小标宋简体" w:eastAsia="方正小标宋简体" w:cs="方正小标宋简体"/>
          <w:color w:val="auto"/>
          <w:sz w:val="44"/>
          <w:szCs w:val="44"/>
          <w:shd w:val="clear" w:color="auto" w:fill="FFFFFF"/>
        </w:rPr>
      </w:pPr>
      <w:r>
        <w:rPr>
          <w:rFonts w:ascii="楷体" w:hAnsi="楷体" w:eastAsia="楷体"/>
          <w:color w:val="auto"/>
          <w:sz w:val="22"/>
        </w:rPr>
        <w:t>申报单位：广东民昇食品有限公司</w:t>
      </w:r>
    </w:p>
    <w:p w14:paraId="2304E1A7">
      <w:pPr>
        <w:snapToGrid w:val="0"/>
        <w:spacing w:line="560" w:lineRule="exact"/>
        <w:rPr>
          <w:rFonts w:hint="eastAsia" w:ascii="仿宋_GB2312" w:hAnsi="仿宋_GB2312" w:eastAsia="仿宋_GB2312" w:cs="仿宋_GB2312"/>
          <w:color w:val="auto"/>
          <w:sz w:val="32"/>
          <w:szCs w:val="32"/>
          <w:shd w:val="clear" w:color="auto" w:fill="FFFFFF"/>
        </w:rPr>
      </w:pPr>
    </w:p>
    <w:p w14:paraId="77A42A35">
      <w:pPr>
        <w:snapToGrid w:val="0"/>
        <w:spacing w:line="560" w:lineRule="exact"/>
        <w:ind w:firstLine="640"/>
        <w:rPr>
          <w:rFonts w:hint="eastAsia" w:ascii="黑体" w:hAnsi="黑体" w:eastAsia="黑体" w:cs="黑体"/>
          <w:color w:val="auto"/>
          <w:sz w:val="32"/>
          <w:szCs w:val="32"/>
          <w:shd w:val="clear" w:color="auto" w:fill="FFFFFF"/>
        </w:rPr>
      </w:pPr>
      <w:r>
        <w:rPr>
          <w:rFonts w:hint="eastAsia" w:ascii="黑体" w:hAnsi="黑体" w:eastAsia="黑体" w:cs="黑体"/>
          <w:color w:val="auto"/>
          <w:sz w:val="32"/>
          <w:szCs w:val="32"/>
          <w:shd w:val="clear" w:color="auto" w:fill="FFFFFF"/>
        </w:rPr>
        <w:t>一、案例基本情况</w:t>
      </w:r>
    </w:p>
    <w:p w14:paraId="3C9F5171">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楷体_GB2312" w:hAnsi="楷体_GB2312" w:eastAsia="楷体_GB2312" w:cs="楷体_GB2312"/>
          <w:color w:val="auto"/>
          <w:sz w:val="32"/>
          <w:szCs w:val="32"/>
          <w:shd w:val="clear" w:color="auto" w:fill="FFFFFF"/>
        </w:rPr>
        <w:t>（一）案例名称</w:t>
      </w:r>
      <w:r>
        <w:rPr>
          <w:rFonts w:hint="eastAsia" w:ascii="仿宋_GB2312" w:hAnsi="仿宋_GB2312" w:eastAsia="仿宋_GB2312" w:cs="仿宋_GB2312"/>
          <w:color w:val="auto"/>
          <w:sz w:val="32"/>
          <w:szCs w:val="32"/>
          <w:shd w:val="clear" w:color="auto" w:fill="FFFFFF"/>
        </w:rPr>
        <w:t>：基于AI视觉的卸猪通道自动计数与数据采集平台</w:t>
      </w:r>
    </w:p>
    <w:p w14:paraId="1FCAD7DB">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楷体_GB2312" w:hAnsi="楷体_GB2312" w:eastAsia="楷体_GB2312" w:cs="楷体_GB2312"/>
          <w:color w:val="auto"/>
          <w:sz w:val="32"/>
          <w:szCs w:val="32"/>
          <w:shd w:val="clear" w:color="auto" w:fill="FFFFFF"/>
        </w:rPr>
        <w:t>（二）人工智能技术应用方</w:t>
      </w:r>
      <w:r>
        <w:rPr>
          <w:rFonts w:hint="eastAsia" w:ascii="仿宋_GB2312" w:hAnsi="仿宋_GB2312" w:eastAsia="仿宋_GB2312" w:cs="仿宋_GB2312"/>
          <w:color w:val="auto"/>
          <w:sz w:val="32"/>
          <w:szCs w:val="32"/>
          <w:shd w:val="clear" w:color="auto" w:fill="FFFFFF"/>
        </w:rPr>
        <w:t>：广东民昇食品有限公司。</w:t>
      </w:r>
    </w:p>
    <w:p w14:paraId="27A5FEB1">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楷体_GB2312" w:hAnsi="楷体_GB2312" w:eastAsia="楷体_GB2312" w:cs="楷体_GB2312"/>
          <w:color w:val="auto"/>
          <w:sz w:val="32"/>
          <w:szCs w:val="32"/>
          <w:shd w:val="clear" w:color="auto" w:fill="FFFFFF"/>
        </w:rPr>
        <w:t>（三）人工智能技术供给方</w:t>
      </w:r>
      <w:r>
        <w:rPr>
          <w:rFonts w:hint="eastAsia" w:ascii="仿宋_GB2312" w:hAnsi="仿宋_GB2312" w:eastAsia="仿宋_GB2312" w:cs="仿宋_GB2312"/>
          <w:color w:val="auto"/>
          <w:sz w:val="32"/>
          <w:szCs w:val="32"/>
          <w:shd w:val="clear" w:color="auto" w:fill="FFFFFF"/>
        </w:rPr>
        <w:t>：</w:t>
      </w:r>
      <w:r>
        <w:rPr>
          <w:rFonts w:hint="eastAsia" w:ascii="仿宋_GB2312" w:hAnsi="仿宋_GB2312" w:eastAsia="仿宋_GB2312" w:cs="仿宋_GB2312"/>
          <w:color w:val="auto"/>
          <w:sz w:val="32"/>
          <w:szCs w:val="32"/>
          <w:shd w:val="clear" w:color="auto" w:fill="FFFFFF"/>
          <w:lang w:val="en-US" w:eastAsia="zh-CN"/>
        </w:rPr>
        <w:t>企业自研</w:t>
      </w:r>
      <w:r>
        <w:rPr>
          <w:rFonts w:hint="eastAsia" w:ascii="仿宋_GB2312" w:hAnsi="仿宋_GB2312" w:eastAsia="仿宋_GB2312" w:cs="仿宋_GB2312"/>
          <w:color w:val="auto"/>
          <w:sz w:val="32"/>
          <w:szCs w:val="32"/>
          <w:shd w:val="clear" w:color="auto" w:fill="FFFFFF"/>
        </w:rPr>
        <w:t>。</w:t>
      </w:r>
    </w:p>
    <w:p w14:paraId="7AFCE582">
      <w:pPr>
        <w:snapToGrid w:val="0"/>
        <w:spacing w:line="560" w:lineRule="exact"/>
        <w:ind w:firstLine="640"/>
        <w:rPr>
          <w:rFonts w:ascii="仿宋_GB2312" w:hAnsi="仿宋_GB2312" w:eastAsia="仿宋_GB2312" w:cs="仿宋_GB2312"/>
          <w:bCs/>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广东民昇食品有限公司成立于2021年，为国家高新技术企业、广东省农业龙头企业，是中山市首家具备冰鲜猪牛羊肉出口港澳资质的企业。公司投资超4亿元建设“5G智慧肉类冷链集配加工中心”，其中信息化、数字化、智能化投入超3000万元，是广东地区唯一以数据驱动运营的现代化屠宰场。公司已建成ERP、MES、PHM、WMS、TMS、SCM、SCRM等九大核心业务系统，构建了“一云、一网、一平台、多系统”的智能工厂架构。公司“AI+可溯源生猪精细化自动屠宰关键技术研究”项目入选2024年中山市重大科技专项，是广东省农业部门首个AI+屠宰试点。</w:t>
      </w:r>
    </w:p>
    <w:p w14:paraId="1AF253A9">
      <w:pPr>
        <w:snapToGrid w:val="0"/>
        <w:spacing w:line="560" w:lineRule="exact"/>
        <w:rPr>
          <w:rFonts w:hint="eastAsia" w:ascii="黑体" w:hAnsi="黑体" w:eastAsia="黑体" w:cs="黑体"/>
          <w:color w:val="auto"/>
          <w:sz w:val="32"/>
          <w:szCs w:val="32"/>
          <w:shd w:val="clear" w:color="auto" w:fill="FFFFFF"/>
        </w:rPr>
      </w:pPr>
    </w:p>
    <w:p w14:paraId="46CFBB30">
      <w:pPr>
        <w:snapToGrid w:val="0"/>
        <w:spacing w:line="560" w:lineRule="exact"/>
        <w:ind w:firstLine="640"/>
        <w:rPr>
          <w:rFonts w:hint="eastAsia" w:ascii="黑体" w:hAnsi="黑体" w:eastAsia="黑体" w:cs="黑体"/>
          <w:color w:val="auto"/>
          <w:sz w:val="32"/>
          <w:szCs w:val="32"/>
          <w:shd w:val="clear" w:color="auto" w:fill="FFFFFF"/>
        </w:rPr>
      </w:pPr>
      <w:r>
        <w:rPr>
          <w:rFonts w:hint="eastAsia" w:ascii="黑体" w:hAnsi="黑体" w:eastAsia="黑体" w:cs="黑体"/>
          <w:color w:val="auto"/>
          <w:sz w:val="32"/>
          <w:szCs w:val="32"/>
          <w:shd w:val="clear" w:color="auto" w:fill="FFFFFF"/>
        </w:rPr>
        <w:t>二、案例内容介绍</w:t>
      </w:r>
    </w:p>
    <w:p w14:paraId="61325A99">
      <w:pPr>
        <w:snapToGrid w:val="0"/>
        <w:spacing w:line="560" w:lineRule="exact"/>
        <w:ind w:firstLine="640"/>
        <w:rPr>
          <w:rFonts w:ascii="楷体_GB2312" w:hAnsi="楷体_GB2312" w:eastAsia="楷体_GB2312" w:cs="楷体_GB2312"/>
          <w:color w:val="auto"/>
          <w:sz w:val="32"/>
          <w:szCs w:val="32"/>
          <w:shd w:val="clear" w:color="auto" w:fill="FFFFFF"/>
        </w:rPr>
      </w:pPr>
      <w:r>
        <w:rPr>
          <w:rFonts w:hint="eastAsia" w:ascii="楷体_GB2312" w:hAnsi="楷体_GB2312" w:eastAsia="楷体_GB2312" w:cs="楷体_GB2312"/>
          <w:color w:val="auto"/>
          <w:sz w:val="32"/>
          <w:szCs w:val="32"/>
          <w:shd w:val="clear" w:color="auto" w:fill="FFFFFF"/>
        </w:rPr>
        <w:t>（一）包括案例背景、采用的人工智能关键技术、所实现的功能和亮点优势</w:t>
      </w:r>
    </w:p>
    <w:p w14:paraId="47A16A21">
      <w:pPr>
        <w:snapToGrid w:val="0"/>
        <w:spacing w:line="560" w:lineRule="exact"/>
        <w:ind w:firstLine="640"/>
        <w:rPr>
          <w:rFonts w:hint="eastAsia" w:ascii="仿宋_GB2312" w:hAnsi="仿宋_GB2312" w:eastAsia="仿宋_GB2312" w:cs="仿宋_GB2312"/>
          <w:bCs/>
          <w:color w:val="auto"/>
          <w:sz w:val="32"/>
          <w:szCs w:val="32"/>
          <w:shd w:val="clear" w:color="auto" w:fill="FFFFFF"/>
        </w:rPr>
      </w:pPr>
      <w:r>
        <w:rPr>
          <w:rFonts w:hint="eastAsia" w:ascii="仿宋_GB2312" w:hAnsi="仿宋_GB2312" w:eastAsia="仿宋_GB2312" w:cs="仿宋_GB2312"/>
          <w:bCs/>
          <w:color w:val="auto"/>
          <w:sz w:val="32"/>
          <w:szCs w:val="32"/>
          <w:shd w:val="clear" w:color="auto" w:fill="FFFFFF"/>
        </w:rPr>
        <w:t>传统猪场卸猪通道生猪计数依靠人工逐头清点，存在耗时久、效率低、易因人为主观疲劳导致计数不准、数据需手动录入滞后，且场内网络信号弱、难以数字化管理等行业痛点。对此，广东民昇食品联合深圳喜为智慧，搭建本平台。</w:t>
      </w:r>
    </w:p>
    <w:p w14:paraId="2C894FB6">
      <w:pPr>
        <w:snapToGrid w:val="0"/>
        <w:spacing w:line="560" w:lineRule="exact"/>
        <w:ind w:firstLine="640"/>
        <w:rPr>
          <w:rFonts w:hint="eastAsia" w:ascii="仿宋_GB2312" w:hAnsi="仿宋_GB2312" w:eastAsia="仿宋_GB2312" w:cs="仿宋_GB2312"/>
          <w:bCs/>
          <w:color w:val="auto"/>
          <w:sz w:val="32"/>
          <w:szCs w:val="32"/>
          <w:shd w:val="clear" w:color="auto" w:fill="FFFFFF"/>
        </w:rPr>
      </w:pPr>
      <w:r>
        <w:rPr>
          <w:rFonts w:hint="eastAsia" w:ascii="仿宋_GB2312" w:hAnsi="仿宋_GB2312" w:eastAsia="仿宋_GB2312" w:cs="仿宋_GB2312"/>
          <w:bCs/>
          <w:color w:val="auto"/>
          <w:sz w:val="32"/>
          <w:szCs w:val="32"/>
          <w:shd w:val="clear" w:color="auto" w:fill="FFFFFF"/>
        </w:rPr>
        <w:t>平台以YOLOv8n轻量化检测模型为基础，经生猪专项训练，模型识别精度优异，通过深度可分离卷积、INT8量化精简模型、提速增效；搭配DeepSORT多目标跟踪算法与卡尔曼滤波、轻量化ReID特征，精准跟踪猪只规避重计漏计。针对猪只重叠堆垛场景，运用关键点检测与软性NMS技术，依托海量场景样本库专项训练，大幅提升重叠识别能力，且支持离线运行，适配猪场弱网环境。</w:t>
      </w:r>
    </w:p>
    <w:p w14:paraId="6B953738">
      <w:pPr>
        <w:snapToGrid w:val="0"/>
        <w:spacing w:line="560" w:lineRule="exact"/>
        <w:ind w:firstLine="640"/>
        <w:rPr>
          <w:rFonts w:hint="eastAsia" w:ascii="仿宋_GB2312" w:hAnsi="仿宋_GB2312" w:eastAsia="仿宋_GB2312" w:cs="仿宋_GB2312"/>
          <w:bCs/>
          <w:color w:val="auto"/>
          <w:sz w:val="32"/>
          <w:szCs w:val="32"/>
          <w:shd w:val="clear" w:color="auto" w:fill="FFFFFF"/>
        </w:rPr>
      </w:pPr>
      <w:r>
        <w:rPr>
          <w:rFonts w:hint="eastAsia" w:ascii="仿宋_GB2312" w:hAnsi="仿宋_GB2312" w:eastAsia="仿宋_GB2312" w:cs="仿宋_GB2312"/>
          <w:bCs/>
          <w:color w:val="auto"/>
          <w:sz w:val="32"/>
          <w:szCs w:val="32"/>
          <w:shd w:val="clear" w:color="auto" w:fill="FFFFFF"/>
        </w:rPr>
        <w:t>系统实现生猪自动识别实时计数，准确率达99.9%以上、响应速度快，数据可同步至物联网管理平台，自动关联预约与生产订单，形成数据闭环，还可依托5G实现远程查看监管，大幅替代人工、提质增效。</w:t>
      </w:r>
    </w:p>
    <w:p w14:paraId="47B55CD2">
      <w:pPr>
        <w:snapToGrid w:val="0"/>
        <w:spacing w:line="560" w:lineRule="exact"/>
        <w:ind w:firstLine="640"/>
        <w:rPr>
          <w:rFonts w:hint="eastAsia" w:ascii="楷体_GB2312" w:hAnsi="楷体_GB2312" w:eastAsia="楷体_GB2312" w:cs="楷体_GB2312"/>
          <w:bCs/>
          <w:color w:val="auto"/>
          <w:sz w:val="32"/>
          <w:szCs w:val="32"/>
          <w:shd w:val="clear" w:color="auto" w:fill="FFFFFF"/>
        </w:rPr>
      </w:pPr>
      <w:r>
        <w:rPr>
          <w:rFonts w:hint="eastAsia" w:ascii="楷体_GB2312" w:hAnsi="楷体_GB2312" w:eastAsia="楷体_GB2312" w:cs="楷体_GB2312"/>
          <w:bCs/>
          <w:color w:val="auto"/>
          <w:sz w:val="32"/>
          <w:szCs w:val="32"/>
          <w:shd w:val="clear" w:color="auto" w:fill="FFFFFF"/>
        </w:rPr>
        <w:t>（二）具体应用成效。</w:t>
      </w:r>
    </w:p>
    <w:p w14:paraId="5DD58F37">
      <w:pPr>
        <w:snapToGrid w:val="0"/>
        <w:spacing w:line="560" w:lineRule="exact"/>
        <w:ind w:firstLine="640"/>
        <w:rPr>
          <w:rFonts w:ascii="仿宋_GB2312" w:hAnsi="仿宋_GB2312" w:eastAsia="仿宋_GB2312" w:cs="仿宋_GB2312"/>
          <w:bCs/>
          <w:color w:val="auto"/>
          <w:sz w:val="32"/>
          <w:szCs w:val="32"/>
          <w:shd w:val="clear" w:color="auto" w:fill="FFFFFF"/>
        </w:rPr>
      </w:pPr>
      <w:r>
        <w:rPr>
          <w:rFonts w:hint="eastAsia" w:ascii="仿宋_GB2312" w:hAnsi="仿宋_GB2312" w:eastAsia="仿宋_GB2312" w:cs="仿宋_GB2312"/>
          <w:bCs/>
          <w:color w:val="auto"/>
          <w:sz w:val="32"/>
          <w:szCs w:val="32"/>
          <w:shd w:val="clear" w:color="auto" w:fill="FFFFFF"/>
        </w:rPr>
        <w:t>系统建成后，计数准确率达到100%，计数效率提升90%，人工成本降低80%。相较于传统人工计数，项目总投资约60万元，每年可节约人工成本约25万元，规避计数误差带来经济损失约15万元。计数结果自动与进场预约单、生产订单关联，实现车辆入场数据的自动核验，为屠宰排产提供精准数据支撑。</w:t>
      </w:r>
    </w:p>
    <w:p w14:paraId="67D5BF8C">
      <w:pPr>
        <w:snapToGrid w:val="0"/>
        <w:spacing w:line="560" w:lineRule="exact"/>
        <w:ind w:firstLine="640"/>
        <w:rPr>
          <w:rFonts w:hint="eastAsia" w:ascii="黑体" w:hAnsi="黑体" w:eastAsia="黑体" w:cs="黑体"/>
          <w:color w:val="auto"/>
          <w:sz w:val="32"/>
          <w:szCs w:val="32"/>
          <w:shd w:val="clear" w:color="auto" w:fill="FFFFFF"/>
        </w:rPr>
      </w:pPr>
      <w:r>
        <w:rPr>
          <w:rFonts w:hint="eastAsia" w:ascii="黑体" w:hAnsi="黑体" w:eastAsia="黑体" w:cs="黑体"/>
          <w:color w:val="auto"/>
          <w:sz w:val="32"/>
          <w:szCs w:val="32"/>
          <w:shd w:val="clear" w:color="auto" w:fill="FFFFFF"/>
        </w:rPr>
        <w:t>三、案例所获得荣誉、复制推广情况等</w:t>
      </w:r>
    </w:p>
    <w:p w14:paraId="2350BB12">
      <w:pPr>
        <w:snapToGrid w:val="0"/>
        <w:spacing w:line="560" w:lineRule="exact"/>
        <w:ind w:firstLine="640"/>
        <w:rPr>
          <w:rFonts w:hint="eastAsia" w:ascii="楷体_GB2312" w:hAnsi="楷体_GB2312" w:eastAsia="楷体_GB2312" w:cs="楷体_GB2312"/>
          <w:color w:val="auto"/>
          <w:sz w:val="32"/>
          <w:szCs w:val="32"/>
          <w:shd w:val="clear" w:color="auto" w:fill="FFFFFF"/>
        </w:rPr>
      </w:pPr>
      <w:r>
        <w:rPr>
          <w:rFonts w:hint="eastAsia" w:ascii="楷体_GB2312" w:hAnsi="楷体_GB2312" w:eastAsia="楷体_GB2312" w:cs="楷体_GB2312"/>
          <w:color w:val="auto"/>
          <w:sz w:val="32"/>
          <w:szCs w:val="32"/>
          <w:shd w:val="clear" w:color="auto" w:fill="FFFFFF"/>
        </w:rPr>
        <w:t>（一）案例所获得荣誉</w:t>
      </w:r>
    </w:p>
    <w:p w14:paraId="152932CB">
      <w:pPr>
        <w:snapToGrid w:val="0"/>
        <w:spacing w:line="560" w:lineRule="exact"/>
        <w:ind w:firstLine="640"/>
        <w:rPr>
          <w:rFonts w:hint="eastAsia" w:ascii="仿宋_GB2312" w:hAnsi="仿宋_GB2312" w:eastAsia="仿宋_GB2312" w:cs="仿宋_GB2312"/>
          <w:color w:val="auto"/>
          <w:sz w:val="32"/>
          <w:szCs w:val="32"/>
          <w:shd w:val="clear" w:color="auto" w:fill="FFFFFF"/>
          <w:lang w:eastAsia="zh-CN"/>
        </w:rPr>
      </w:pPr>
      <w:r>
        <w:rPr>
          <w:rFonts w:hint="eastAsia" w:ascii="仿宋_GB2312" w:hAnsi="仿宋_GB2312" w:eastAsia="仿宋_GB2312" w:cs="仿宋_GB2312"/>
          <w:color w:val="auto"/>
          <w:sz w:val="32"/>
          <w:szCs w:val="32"/>
          <w:shd w:val="clear" w:color="auto" w:fill="FFFFFF"/>
          <w:lang w:val="en-US" w:eastAsia="zh-CN"/>
        </w:rPr>
        <w:t>该</w:t>
      </w:r>
      <w:r>
        <w:rPr>
          <w:rFonts w:hint="eastAsia" w:ascii="仿宋_GB2312" w:hAnsi="仿宋_GB2312" w:eastAsia="仿宋_GB2312" w:cs="仿宋_GB2312"/>
          <w:color w:val="auto"/>
          <w:sz w:val="32"/>
          <w:szCs w:val="32"/>
          <w:shd w:val="clear" w:color="auto" w:fill="FFFFFF"/>
        </w:rPr>
        <w:t>核心技术“AI+可溯源生猪精细化自动屠宰关键技术研究”获中山市重大科技专项立项</w:t>
      </w:r>
      <w:r>
        <w:rPr>
          <w:rFonts w:hint="eastAsia" w:ascii="仿宋_GB2312" w:hAnsi="仿宋_GB2312" w:eastAsia="仿宋_GB2312"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rPr>
        <w:t>系统</w:t>
      </w:r>
      <w:r>
        <w:rPr>
          <w:rFonts w:hint="eastAsia" w:ascii="仿宋_GB2312" w:hAnsi="仿宋_GB2312" w:eastAsia="仿宋_GB2312" w:cs="仿宋_GB2312"/>
          <w:color w:val="auto"/>
          <w:sz w:val="32"/>
          <w:szCs w:val="32"/>
          <w:shd w:val="clear" w:color="auto" w:fill="FFFFFF"/>
          <w:lang w:eastAsia="zh-CN"/>
        </w:rPr>
        <w:t>经过</w:t>
      </w:r>
      <w:r>
        <w:rPr>
          <w:rFonts w:hint="eastAsia" w:ascii="仿宋_GB2312" w:hAnsi="仿宋_GB2312" w:eastAsia="仿宋_GB2312" w:cs="仿宋_GB2312"/>
          <w:color w:val="auto"/>
          <w:sz w:val="32"/>
          <w:szCs w:val="32"/>
          <w:shd w:val="clear" w:color="auto" w:fill="FFFFFF"/>
        </w:rPr>
        <w:t>长期机器学习优化，AI数猪准确率达100%，为行业领先水平</w:t>
      </w:r>
      <w:r>
        <w:rPr>
          <w:rFonts w:hint="eastAsia" w:ascii="仿宋_GB2312" w:hAnsi="仿宋_GB2312" w:eastAsia="仿宋_GB2312" w:cs="仿宋_GB2312"/>
          <w:color w:val="auto"/>
          <w:sz w:val="32"/>
          <w:szCs w:val="32"/>
          <w:shd w:val="clear" w:color="auto" w:fill="FFFFFF"/>
          <w:lang w:eastAsia="zh-CN"/>
        </w:rPr>
        <w:t>。</w:t>
      </w:r>
    </w:p>
    <w:p w14:paraId="171EA63C">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该方案已向大湾区120家屠宰企业推广，成为卸猪通道计数的行业标准解决方案。系统采用轻量化AI模型，普通手机即可运行，无需购置专用硬件；公司计划2026年内进一步扩大推广范围，覆盖更多中小型屠宰企业，助力行业数字化升级。</w:t>
      </w:r>
    </w:p>
    <w:p w14:paraId="4B227C2E">
      <w:pPr>
        <w:snapToGrid w:val="0"/>
        <w:spacing w:line="560" w:lineRule="exact"/>
        <w:ind w:firstLine="640"/>
        <w:rPr>
          <w:rFonts w:hint="eastAsia" w:ascii="仿宋_GB2312" w:hAnsi="仿宋_GB2312" w:eastAsia="仿宋_GB2312" w:cs="仿宋_GB2312"/>
          <w:bCs/>
          <w:color w:val="auto"/>
          <w:sz w:val="32"/>
          <w:szCs w:val="32"/>
          <w:shd w:val="clear" w:color="auto" w:fill="FFFFFF"/>
        </w:rPr>
      </w:pPr>
      <w:r>
        <w:rPr>
          <w:rFonts w:ascii="Microsoft YaHei UI" w:hAnsi="Microsoft YaHei UI" w:eastAsia="Microsoft YaHei UI" w:cs="Microsoft YaHei UI"/>
          <w:color w:val="auto"/>
          <w:spacing w:val="8"/>
          <w:sz w:val="24"/>
          <w:szCs w:val="24"/>
          <w:shd w:val="clear" w:color="auto" w:fill="FFFFFF"/>
        </w:rPr>
        <w:pict>
          <v:shape id="_x0000_s1061" o:spid="_x0000_s1061" o:spt="75" alt="IMG_256" type="#_x0000_t75" style="position:absolute;left:0pt;margin-left:2.9pt;margin-top:12.9pt;height:235pt;width:414.7pt;mso-wrap-distance-bottom:0pt;mso-wrap-distance-left:9pt;mso-wrap-distance-right:9pt;mso-wrap-distance-top:0pt;z-index:251683840;mso-width-relative:page;mso-height-relative:page;" filled="f" o:preferrelative="t" stroked="f" coordsize="21600,21600">
            <v:path/>
            <v:fill on="f" focussize="0,0"/>
            <v:stroke on="f" joinstyle="miter"/>
            <v:imagedata r:id="rId72" o:title="IMG_256"/>
            <o:lock v:ext="edit" aspectratio="t"/>
            <w10:wrap type="square"/>
          </v:shape>
        </w:pict>
      </w:r>
      <w:r>
        <w:rPr>
          <w:rFonts w:ascii="Microsoft YaHei UI" w:hAnsi="Microsoft YaHei UI" w:eastAsia="Microsoft YaHei UI" w:cs="Microsoft YaHei UI"/>
          <w:color w:val="auto"/>
          <w:spacing w:val="8"/>
          <w:sz w:val="24"/>
          <w:szCs w:val="24"/>
          <w:shd w:val="clear" w:color="auto" w:fill="FFFFFF"/>
        </w:rPr>
        <w:pict>
          <v:shape id="_x0000_s1062" o:spid="_x0000_s1062" o:spt="75" alt="IMG_256" type="#_x0000_t75" style="position:absolute;left:0pt;margin-left:2.9pt;margin-top:319.35pt;height:235pt;width:414.7pt;mso-wrap-distance-bottom:0pt;mso-wrap-distance-top:0pt;z-index:251684864;mso-width-relative:page;mso-height-relative:page;" filled="f" o:preferrelative="t" stroked="f" coordsize="21600,21600">
            <v:path/>
            <v:fill on="f" focussize="0,0"/>
            <v:stroke on="f" joinstyle="miter"/>
            <v:imagedata r:id="rId73" o:title="IMG_256"/>
            <o:lock v:ext="edit" aspectratio="t"/>
            <w10:wrap type="topAndBottom"/>
          </v:shape>
        </w:pict>
      </w:r>
    </w:p>
    <w:p w14:paraId="07FFEA8C">
      <w:pPr>
        <w:spacing w:after="40"/>
        <w:jc w:val="left"/>
        <w:rPr>
          <w:rFonts w:ascii="楷体" w:hAnsi="楷体" w:eastAsia="楷体"/>
          <w:color w:val="auto"/>
          <w:sz w:val="22"/>
        </w:rPr>
      </w:pPr>
    </w:p>
    <w:p w14:paraId="36291525">
      <w:pPr>
        <w:pStyle w:val="12"/>
        <w:pageBreakBefore/>
        <w:rPr>
          <w:color w:val="auto"/>
        </w:rPr>
      </w:pPr>
      <w:bookmarkStart w:id="33" w:name="_Toc4600"/>
      <w:r>
        <w:rPr>
          <w:color w:val="auto"/>
        </w:rPr>
        <w:t>案例 05　AI赋能水产养殖智能管理系统</w:t>
      </w:r>
      <w:bookmarkEnd w:id="33"/>
    </w:p>
    <w:p w14:paraId="4FD02E6F">
      <w:pPr>
        <w:spacing w:after="40"/>
        <w:jc w:val="left"/>
        <w:rPr>
          <w:rFonts w:ascii="方正小标宋简体" w:hAnsi="方正小标宋简体" w:eastAsia="方正小标宋简体" w:cs="方正小标宋简体"/>
          <w:color w:val="auto"/>
          <w:sz w:val="44"/>
          <w:szCs w:val="44"/>
          <w:shd w:val="clear" w:color="auto" w:fill="FFFFFF"/>
        </w:rPr>
      </w:pPr>
      <w:r>
        <w:rPr>
          <w:rFonts w:ascii="楷体" w:hAnsi="楷体" w:eastAsia="楷体"/>
          <w:color w:val="auto"/>
          <w:sz w:val="22"/>
        </w:rPr>
        <w:t>申报单位：鱼宝宝水产（中山）有限公司</w:t>
      </w:r>
    </w:p>
    <w:p w14:paraId="694B53FC">
      <w:pPr>
        <w:snapToGrid w:val="0"/>
        <w:spacing w:line="560" w:lineRule="exact"/>
        <w:rPr>
          <w:rFonts w:hint="eastAsia" w:ascii="仿宋_GB2312" w:hAnsi="仿宋_GB2312" w:eastAsia="仿宋_GB2312" w:cs="仿宋_GB2312"/>
          <w:color w:val="auto"/>
          <w:sz w:val="32"/>
          <w:szCs w:val="32"/>
          <w:shd w:val="clear" w:color="auto" w:fill="FFFFFF"/>
        </w:rPr>
      </w:pPr>
    </w:p>
    <w:p w14:paraId="5FA5FC6F">
      <w:pPr>
        <w:snapToGrid w:val="0"/>
        <w:spacing w:line="560" w:lineRule="exact"/>
        <w:ind w:firstLine="640"/>
        <w:rPr>
          <w:rFonts w:hint="eastAsia" w:ascii="黑体" w:hAnsi="黑体" w:eastAsia="黑体" w:cs="黑体"/>
          <w:color w:val="auto"/>
          <w:sz w:val="32"/>
          <w:szCs w:val="32"/>
          <w:shd w:val="clear" w:color="auto" w:fill="FFFFFF"/>
        </w:rPr>
      </w:pPr>
      <w:r>
        <w:rPr>
          <w:rFonts w:hint="eastAsia" w:ascii="黑体" w:hAnsi="黑体" w:eastAsia="黑体" w:cs="黑体"/>
          <w:color w:val="auto"/>
          <w:sz w:val="32"/>
          <w:szCs w:val="32"/>
          <w:shd w:val="clear" w:color="auto" w:fill="FFFFFF"/>
        </w:rPr>
        <w:t>一、案例基本情况</w:t>
      </w:r>
    </w:p>
    <w:p w14:paraId="19AFD8D3">
      <w:pPr>
        <w:snapToGrid w:val="0"/>
        <w:spacing w:line="560" w:lineRule="exact"/>
        <w:ind w:firstLine="640"/>
        <w:rPr>
          <w:rFonts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（一）案例名称：AI赋能水产养殖智能管理系统。</w:t>
      </w:r>
    </w:p>
    <w:p w14:paraId="04AE5F4A">
      <w:pPr>
        <w:snapToGrid w:val="0"/>
        <w:spacing w:line="560" w:lineRule="exact"/>
        <w:ind w:firstLine="640" w:firstLineChars="20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（二）人工智能技术应用方：鱼宝宝水产（中山）有限公司。</w:t>
      </w:r>
    </w:p>
    <w:p w14:paraId="7BBA52B8">
      <w:pPr>
        <w:snapToGrid w:val="0"/>
        <w:spacing w:line="560" w:lineRule="exact"/>
        <w:ind w:firstLine="640"/>
        <w:rPr>
          <w:rFonts w:hint="eastAsia" w:ascii="黑体" w:hAnsi="黑体" w:eastAsia="黑体" w:cs="黑体"/>
          <w:color w:val="auto"/>
          <w:sz w:val="32"/>
          <w:szCs w:val="32"/>
          <w:shd w:val="clear" w:color="auto" w:fill="FFFFFF"/>
        </w:rPr>
      </w:pPr>
      <w:r>
        <w:rPr>
          <w:rFonts w:hint="eastAsia" w:ascii="仿宋_GB2312" w:hAnsi="仿宋_GB2312" w:eastAsia="仿宋_GB2312" w:cs="仿宋_GB2312"/>
          <w:b/>
          <w:bCs/>
          <w:color w:val="auto"/>
          <w:sz w:val="32"/>
          <w:szCs w:val="32"/>
          <w:shd w:val="clear" w:color="auto" w:fill="FFFFFF"/>
        </w:rPr>
        <w:t>应用企业简介：</w:t>
      </w:r>
      <w:r>
        <w:rPr>
          <w:rFonts w:hint="eastAsia" w:ascii="仿宋_GB2312" w:hAnsi="仿宋_GB2312" w:eastAsia="仿宋_GB2312" w:cs="仿宋_GB2312"/>
          <w:b w:val="0"/>
          <w:bCs w:val="0"/>
          <w:color w:val="auto"/>
          <w:sz w:val="32"/>
          <w:szCs w:val="32"/>
          <w:shd w:val="clear" w:color="auto" w:fill="FFFFFF"/>
        </w:rPr>
        <w:t>鱼宝宝水产（中山）有限公司成立于2025年，养殖面积322亩，主养高品质生鱼。公司的团队既有资深的物联网和人工智能技术研发人员，也有从事水产养殖四十年的行业专家。企业通过跨界融合、科技赋能传统养殖技术，使得养殖基地摆脱“靠天吃饭、靠经验吃饭”的老路，而是将先进的流程管理与成熟的养殖工艺相结合，产品定向供应头部餐饮企业。</w:t>
      </w:r>
    </w:p>
    <w:p w14:paraId="255EFEE5">
      <w:pPr>
        <w:snapToGrid w:val="0"/>
        <w:spacing w:line="560" w:lineRule="exact"/>
        <w:ind w:firstLine="640"/>
        <w:rPr>
          <w:rFonts w:hint="eastAsia" w:ascii="黑体" w:hAnsi="黑体" w:eastAsia="黑体" w:cs="黑体"/>
          <w:color w:val="auto"/>
          <w:sz w:val="32"/>
          <w:szCs w:val="32"/>
          <w:shd w:val="clear" w:color="auto" w:fill="FFFFFF"/>
        </w:rPr>
      </w:pPr>
      <w:r>
        <w:rPr>
          <w:rFonts w:hint="eastAsia" w:ascii="黑体" w:hAnsi="黑体" w:eastAsia="黑体" w:cs="黑体"/>
          <w:color w:val="auto"/>
          <w:sz w:val="32"/>
          <w:szCs w:val="32"/>
          <w:shd w:val="clear" w:color="auto" w:fill="FFFFFF"/>
        </w:rPr>
        <w:t>二、案例内容介绍</w:t>
      </w:r>
    </w:p>
    <w:p w14:paraId="068E6E4F">
      <w:pPr>
        <w:snapToGrid w:val="0"/>
        <w:spacing w:line="560" w:lineRule="exact"/>
        <w:ind w:firstLine="640"/>
        <w:rPr>
          <w:rFonts w:hint="eastAsia" w:ascii="楷体_GB2312" w:hAnsi="楷体_GB2312" w:eastAsia="楷体_GB2312" w:cs="楷体_GB2312"/>
          <w:color w:val="auto"/>
          <w:sz w:val="32"/>
          <w:szCs w:val="32"/>
          <w:shd w:val="clear" w:color="auto" w:fill="FFFFFF"/>
        </w:rPr>
      </w:pPr>
      <w:r>
        <w:rPr>
          <w:rFonts w:hint="eastAsia" w:ascii="楷体_GB2312" w:hAnsi="楷体_GB2312" w:eastAsia="楷体_GB2312" w:cs="楷体_GB2312"/>
          <w:color w:val="auto"/>
          <w:sz w:val="32"/>
          <w:szCs w:val="32"/>
          <w:shd w:val="clear" w:color="auto" w:fill="FFFFFF"/>
        </w:rPr>
        <w:t>（一）包括案例背景、采用的人工智能关键技术、所实现的功能和亮点优势</w:t>
      </w:r>
    </w:p>
    <w:p w14:paraId="2F766A3D">
      <w:pPr>
        <w:snapToGrid w:val="0"/>
        <w:spacing w:line="560" w:lineRule="exact"/>
        <w:ind w:firstLine="640"/>
        <w:rPr>
          <w:rFonts w:hint="eastAsia" w:ascii="楷体_GB2312" w:hAnsi="楷体_GB2312" w:eastAsia="楷体_GB2312" w:cs="楷体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水产养殖基地部署了一套覆盖养殖全周期的智能感知系统——水质监测探头实时采集溶氧、PH、温度等关键指标，气象站同步记录风速、气压、光照等环境参数，黑光高清摄像头则24小时关注着鱼群的活动状态。整个智能管理系统的核心是AI分析模型，基于多年积累的养殖数据，由资深专家进行专业调校，能够对水质变化趋势进行预测，对鱼群的异常行为进行识别，并辅助判断是否存在疾病早期征兆。比如，系统可以在溶氧下降之前发出预警，指导增氧设备提前介入；可以在鱼群出现离群、浮头等细微异常时及时报警，为病害防控争取宝贵的时间，实现从“灾后补救”向“主动预警”的转变。在控制端，增氧机、投喂设备等都已经接入远程控制系统，系统可以根据水质数据和预设策略自动运行，也可以由管理人员在手机上手动或远程调控。在智能化手段的支撑下，同等人力可以管理更大的规模，劳动强度显著下降，管理的及时性和精准度却大幅提升。与此同时，所有生产数据自动上云，从投苗、投喂、用药到出塘，形成完整可追溯的电子档案。这不仅满足了企业自身的管理需求，也为对接高端市场对食品安全的严格要求提供了有力支撑。</w:t>
      </w:r>
    </w:p>
    <w:p w14:paraId="3682EA3C">
      <w:pPr>
        <w:snapToGrid w:val="0"/>
        <w:spacing w:line="560" w:lineRule="exact"/>
        <w:ind w:firstLine="640"/>
        <w:rPr>
          <w:rFonts w:hint="eastAsia" w:ascii="楷体_GB2312" w:hAnsi="楷体_GB2312" w:eastAsia="楷体_GB2312" w:cs="楷体_GB2312"/>
          <w:color w:val="auto"/>
          <w:sz w:val="32"/>
          <w:szCs w:val="32"/>
          <w:shd w:val="clear" w:color="auto" w:fill="FFFFFF"/>
        </w:rPr>
      </w:pPr>
      <w:r>
        <w:rPr>
          <w:rFonts w:hint="eastAsia" w:ascii="楷体_GB2312" w:hAnsi="楷体_GB2312" w:eastAsia="楷体_GB2312" w:cs="楷体_GB2312"/>
          <w:color w:val="auto"/>
          <w:sz w:val="32"/>
          <w:szCs w:val="32"/>
          <w:shd w:val="clear" w:color="auto" w:fill="FFFFFF"/>
        </w:rPr>
        <w:t>（二）具体应用成效。</w:t>
      </w:r>
    </w:p>
    <w:p w14:paraId="74985FCE">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智能体系给传统水产养殖带来多方面提升。一是养殖效益更明显，饲料利用更加精准，浪费明显减少，人工成本也得到有效控制，综合效益稳步提升。二是产品质量更有保障，疾病防控从被动应对转向主动预警，用药量显著下降，产品品质更加稳定可靠。三是对生态更环保，由于投喂精准、水质调控及时，残饵和药物排放大幅减少，尾水排放量也明显降低，实现了经济效益与环境效益的协同。</w:t>
      </w:r>
    </w:p>
    <w:p w14:paraId="41D9766E">
      <w:pPr>
        <w:snapToGrid w:val="0"/>
        <w:spacing w:line="560" w:lineRule="exact"/>
        <w:ind w:firstLine="640"/>
        <w:rPr>
          <w:rFonts w:hint="eastAsia" w:ascii="黑体" w:hAnsi="黑体" w:eastAsia="黑体" w:cs="黑体"/>
          <w:color w:val="auto"/>
          <w:sz w:val="32"/>
          <w:szCs w:val="32"/>
          <w:shd w:val="clear" w:color="auto" w:fill="FFFFFF"/>
        </w:rPr>
      </w:pPr>
      <w:r>
        <w:rPr>
          <w:rFonts w:hint="eastAsia" w:ascii="黑体" w:hAnsi="黑体" w:eastAsia="黑体" w:cs="黑体"/>
          <w:color w:val="auto"/>
          <w:sz w:val="32"/>
          <w:szCs w:val="32"/>
          <w:shd w:val="clear" w:color="auto" w:fill="FFFFFF"/>
        </w:rPr>
        <w:t>三、案例所获得荣誉、复制推广情况等</w:t>
      </w:r>
    </w:p>
    <w:p w14:paraId="436F7CDF">
      <w:pPr>
        <w:snapToGrid w:val="0"/>
        <w:spacing w:line="56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pict>
          <v:shape id="_x0000_s1063" o:spid="_x0000_s1063" o:spt="75" alt="鱼宝宝水产" type="#_x0000_t75" style="position:absolute;left:0pt;margin-left:62.1pt;margin-top:418.6pt;height:194.05pt;width:200.35pt;mso-wrap-distance-bottom:0pt;mso-wrap-distance-top:0pt;z-index:251685888;mso-width-relative:page;mso-height-relative:page;" filled="f" o:preferrelative="t" stroked="f" coordsize="21600,21600">
            <v:path/>
            <v:fill on="f" focussize="0,0"/>
            <v:stroke on="f" joinstyle="miter"/>
            <v:imagedata r:id="rId74" o:title="鱼宝宝水产"/>
            <o:lock v:ext="edit" aspectratio="t"/>
            <w10:wrap type="topAndBottom"/>
          </v:shape>
        </w:pict>
      </w:r>
      <w:r>
        <w:rPr>
          <w:rFonts w:hint="eastAsia" w:ascii="仿宋_GB2312" w:hAnsi="仿宋_GB2312" w:eastAsia="仿宋_GB2312" w:cs="仿宋_GB2312"/>
          <w:color w:val="auto"/>
          <w:sz w:val="32"/>
          <w:szCs w:val="32"/>
          <w:shd w:val="clear" w:color="auto" w:fill="FFFFFF"/>
        </w:rPr>
        <w:t>鱼宝宝水产养殖基地的探索具有超出单个农场的示范意义，正是新质生产力在农业领域的生动体现。数据正在成为新的农资，算力正在成为新的农具，算法正在成为新的农技。过去，“老师傅的经验”往往随着人的离开而流失，难以传承和复制；如今，这些宝贵的经验被转化为可迭代、可复用的数字模型，为养殖技术的大规模推广和标准化输出开辟了新的可能。</w:t>
      </w:r>
    </w:p>
    <w:p w14:paraId="3DF08620">
      <w:pPr>
        <w:snapToGrid w:val="0"/>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pict>
          <v:shape id="_x0000_s1064" o:spid="_x0000_s1064" o:spt="75" alt="鱼宝宝水产2" type="#_x0000_t75" style="position:absolute;left:0pt;margin-left:29.45pt;margin-top:15pt;height:213.05pt;width:353.45pt;mso-wrap-distance-bottom:0pt;mso-wrap-distance-top:0pt;z-index:251686912;mso-width-relative:page;mso-height-relative:page;" filled="f" o:preferrelative="t" stroked="f" coordsize="21600,21600">
            <v:path/>
            <v:fill on="f" focussize="0,0"/>
            <v:stroke on="f" joinstyle="miter"/>
            <v:imagedata r:id="rId75" o:title="鱼宝宝水产2"/>
            <o:lock v:ext="edit" aspectratio="t"/>
            <w10:wrap type="topAndBottom"/>
          </v:shape>
        </w:pict>
      </w:r>
    </w:p>
    <w:p w14:paraId="541B78A5">
      <w:pPr>
        <w:snapToGrid w:val="0"/>
        <w:ind w:firstLine="640"/>
        <w:rPr>
          <w:rFonts w:hint="eastAsia" w:ascii="仿宋_GB2312" w:hAnsi="仿宋_GB2312" w:eastAsia="仿宋_GB2312" w:cs="仿宋_GB2312"/>
          <w:color w:val="auto"/>
          <w:sz w:val="32"/>
          <w:szCs w:val="32"/>
          <w:shd w:val="clear" w:color="auto" w:fill="FFFFFF"/>
        </w:rPr>
      </w:pPr>
    </w:p>
    <w:p w14:paraId="0885E0F7">
      <w:pPr>
        <w:snapToGrid w:val="0"/>
        <w:ind w:firstLine="640"/>
        <w:rPr>
          <w:rFonts w:hint="eastAsia" w:ascii="仿宋_GB2312" w:hAnsi="仿宋_GB2312" w:eastAsia="仿宋_GB2312" w:cs="仿宋_GB2312"/>
          <w:color w:val="auto"/>
          <w:sz w:val="32"/>
          <w:szCs w:val="32"/>
          <w:shd w:val="clear" w:color="auto" w:fill="FFFFFF"/>
        </w:rPr>
      </w:pPr>
    </w:p>
    <w:p w14:paraId="6E450DDA">
      <w:pPr>
        <w:snapToGrid w:val="0"/>
        <w:ind w:firstLine="640"/>
        <w:rPr>
          <w:rFonts w:hint="eastAsia" w:ascii="仿宋_GB2312" w:hAnsi="仿宋_GB2312" w:eastAsia="仿宋_GB2312" w:cs="仿宋_GB2312"/>
          <w:color w:val="auto"/>
          <w:sz w:val="32"/>
          <w:szCs w:val="32"/>
          <w:shd w:val="clear" w:color="auto" w:fill="FFFFFF"/>
        </w:rPr>
      </w:pPr>
    </w:p>
    <w:p w14:paraId="66743523">
      <w:pPr>
        <w:spacing w:after="40"/>
        <w:jc w:val="left"/>
        <w:rPr>
          <w:rFonts w:ascii="楷体" w:hAnsi="楷体" w:eastAsia="楷体"/>
          <w:color w:val="auto"/>
          <w:sz w:val="22"/>
        </w:rPr>
      </w:pPr>
    </w:p>
    <w:sectPr>
      <w:headerReference r:id="rId5" w:type="first"/>
      <w:footerReference r:id="rId8" w:type="first"/>
      <w:headerReference r:id="rId3" w:type="default"/>
      <w:footerReference r:id="rId6" w:type="default"/>
      <w:headerReference r:id="rId4" w:type="even"/>
      <w:footerReference r:id="rId7" w:type="even"/>
      <w:pgSz w:w="11906" w:h="16838"/>
      <w:pgMar w:top="1440" w:right="1588" w:bottom="1440" w:left="1588" w:header="851" w:footer="992"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AD51191-C6EB-46EE-B312-6802F525B5B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0010101010101"/>
    <w:charset w:val="86"/>
    <w:family w:val="auto"/>
    <w:pitch w:val="default"/>
    <w:sig w:usb0="00000001" w:usb1="080E0000" w:usb2="00000000" w:usb3="00000000" w:csb0="00040000" w:csb1="00000000"/>
    <w:embedRegular r:id="rId2" w:fontKey="{8CB58BB2-68DB-4284-A32F-046B2FB21744}"/>
  </w:font>
  <w:font w:name="楷体_GB2312">
    <w:panose1 w:val="02010609030101010101"/>
    <w:charset w:val="86"/>
    <w:family w:val="modern"/>
    <w:pitch w:val="default"/>
    <w:sig w:usb0="00000001" w:usb1="080E0000" w:usb2="00000000" w:usb3="00000000" w:csb0="00040000" w:csb1="00000000"/>
    <w:embedRegular r:id="rId3" w:fontKey="{DAE2BC38-1E91-41E1-8F3F-170CCEAF944D}"/>
  </w:font>
  <w:font w:name="仿宋_GB2312">
    <w:panose1 w:val="02010609030101010101"/>
    <w:charset w:val="86"/>
    <w:family w:val="modern"/>
    <w:pitch w:val="default"/>
    <w:sig w:usb0="00000001" w:usb1="080E0000" w:usb2="00000000" w:usb3="00000000" w:csb0="00040000" w:csb1="00000000"/>
    <w:embedRegular r:id="rId4" w:fontKey="{A88779E9-866E-4232-BA6D-E8762F1457C9}"/>
  </w:font>
  <w:font w:name="等线">
    <w:panose1 w:val="02010600030101010101"/>
    <w:charset w:val="86"/>
    <w:family w:val="auto"/>
    <w:pitch w:val="default"/>
    <w:sig w:usb0="A00002BF" w:usb1="38CF7CFA" w:usb2="00000016" w:usb3="00000000" w:csb0="0004000F" w:csb1="00000000"/>
    <w:embedRegular r:id="rId5" w:fontKey="{C1F09491-4ED9-44B2-828E-06C897E62E84}"/>
  </w:font>
  <w:font w:name="楷体">
    <w:panose1 w:val="02010609060101010101"/>
    <w:charset w:val="86"/>
    <w:family w:val="modern"/>
    <w:pitch w:val="default"/>
    <w:sig w:usb0="800002BF" w:usb1="38CF7CFA" w:usb2="00000016" w:usb3="00000000" w:csb0="00040001" w:csb1="00000000"/>
    <w:embedRegular r:id="rId6" w:fontKey="{79B41B6A-97CB-49B7-982B-47469DD81660}"/>
  </w:font>
  <w:font w:name="方正仿宋_GB2312">
    <w:altName w:val="微软雅黑"/>
    <w:panose1 w:val="00000000000000000000"/>
    <w:charset w:val="86"/>
    <w:family w:val="auto"/>
    <w:pitch w:val="default"/>
    <w:sig w:usb0="00000000" w:usb1="00000000" w:usb2="00000012" w:usb3="00000000" w:csb0="00040001" w:csb1="00000000"/>
    <w:embedRegular r:id="rId7" w:fontKey="{0AC286F8-4C45-4BE0-AA8F-0B7929BC7066}"/>
  </w:font>
  <w:font w:name="微软雅黑">
    <w:panose1 w:val="020B0503020204020204"/>
    <w:charset w:val="86"/>
    <w:family w:val="auto"/>
    <w:pitch w:val="default"/>
    <w:sig w:usb0="80000287" w:usb1="2ACF3C50" w:usb2="00000016" w:usb3="00000000" w:csb0="0004001F" w:csb1="00000000"/>
  </w:font>
  <w:font w:name="方正">
    <w:altName w:val="宋体"/>
    <w:panose1 w:val="00000000000000000000"/>
    <w:charset w:val="86"/>
    <w:family w:val="roman"/>
    <w:pitch w:val="default"/>
    <w:sig w:usb0="00000000" w:usb1="00000000" w:usb2="00000000" w:usb3="00000000" w:csb0="00040001" w:csb1="00000000"/>
    <w:embedRegular r:id="rId8" w:fontKey="{07CA14A0-979B-4C0B-B6E7-583C9122FB5E}"/>
  </w:font>
  <w:font w:name="Segoe UI">
    <w:panose1 w:val="020B0502040204020203"/>
    <w:charset w:val="00"/>
    <w:family w:val="swiss"/>
    <w:pitch w:val="default"/>
    <w:sig w:usb0="E4002EFF" w:usb1="C000E47F" w:usb2="00000009" w:usb3="00000000" w:csb0="200001FF" w:csb1="00000000"/>
    <w:embedRegular r:id="rId9" w:fontKey="{E5F4EBC3-A650-450C-A02F-393A7AEA0F3E}"/>
  </w:font>
  <w:font w:name="Microsoft YaHei UI">
    <w:panose1 w:val="020B0503020204020204"/>
    <w:charset w:val="86"/>
    <w:family w:val="swiss"/>
    <w:pitch w:val="default"/>
    <w:sig w:usb0="80000287" w:usb1="2ACF3C50" w:usb2="00000016" w:usb3="00000000" w:csb0="0004001F" w:csb1="00000000"/>
    <w:embedRegular r:id="rId10" w:fontKey="{6676B2AA-E879-42AC-898C-1B65AF194DE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A32AB8">
    <w:pPr>
      <w:pStyle w:val="2"/>
      <w:jc w:val="center"/>
      <w:rPr>
        <w:rFonts w:ascii="宋体" w:hAnsi="宋体" w:eastAsia="宋体"/>
        <w:sz w:val="21"/>
      </w:rPr>
    </w:pPr>
    <w:r>
      <w:rPr>
        <w:rFonts w:hint="eastAsia" w:ascii="宋体" w:hAnsi="宋体" w:eastAsia="宋体"/>
        <w:sz w:val="21"/>
      </w:rPr>
      <w:t>—</w:t>
    </w:r>
    <w:r>
      <w:rPr>
        <w:rFonts w:ascii="宋体" w:hAnsi="宋体" w:eastAsia="宋体"/>
        <w:sz w:val="21"/>
      </w:rPr>
      <w:t xml:space="preserve"> </w:t>
    </w:r>
    <w:r>
      <w:rPr>
        <w:rFonts w:ascii="宋体" w:hAnsi="宋体" w:eastAsia="宋体"/>
        <w:sz w:val="21"/>
      </w:rPr>
      <w:fldChar w:fldCharType="begin"/>
    </w:r>
    <w:r>
      <w:rPr>
        <w:rFonts w:ascii="宋体" w:hAnsi="宋体" w:eastAsia="宋体"/>
        <w:sz w:val="21"/>
      </w:rPr>
      <w:instrText xml:space="preserve"> PAGE PAGE </w:instrText>
    </w:r>
    <w:r>
      <w:rPr>
        <w:rFonts w:ascii="宋体" w:hAnsi="宋体" w:eastAsia="宋体"/>
        <w:sz w:val="21"/>
      </w:rPr>
      <w:fldChar w:fldCharType="separate"/>
    </w:r>
    <w:r>
      <w:rPr>
        <w:rFonts w:ascii="宋体" w:hAnsi="宋体" w:eastAsia="宋体"/>
        <w:sz w:val="21"/>
      </w:rPr>
      <w:t>147</w:t>
    </w:r>
    <w:r>
      <w:rPr>
        <w:rFonts w:ascii="宋体" w:hAnsi="宋体" w:eastAsia="宋体"/>
        <w:sz w:val="21"/>
      </w:rPr>
      <w:fldChar w:fldCharType="end"/>
    </w:r>
    <w:r>
      <w:rPr>
        <w:rFonts w:ascii="宋体" w:hAnsi="宋体" w:eastAsia="宋体"/>
        <w:sz w:val="21"/>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631497">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5EB5BB">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3624BA">
    <w:pPr>
      <w:pStyle w:val="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7A4BFE">
    <w:pPr>
      <w:pStyle w:val="3"/>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48417E">
    <w:pPr>
      <w:pStyle w:val="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F22C88"/>
    <w:multiLevelType w:val="singleLevel"/>
    <w:tmpl w:val="80F22C88"/>
    <w:lvl w:ilvl="0" w:tentative="0">
      <w:start w:val="1"/>
      <w:numFmt w:val="decimal"/>
      <w:suff w:val="space"/>
      <w:lvlText w:val="%1."/>
      <w:lvlJc w:val="left"/>
    </w:lvl>
  </w:abstractNum>
  <w:abstractNum w:abstractNumId="1">
    <w:nsid w:val="A38F62F3"/>
    <w:multiLevelType w:val="singleLevel"/>
    <w:tmpl w:val="A38F62F3"/>
    <w:lvl w:ilvl="0" w:tentative="0">
      <w:start w:val="1"/>
      <w:numFmt w:val="decimal"/>
      <w:suff w:val="space"/>
      <w:lvlText w:val="%1."/>
      <w:lvlJc w:val="left"/>
    </w:lvl>
  </w:abstractNum>
  <w:abstractNum w:abstractNumId="2">
    <w:nsid w:val="B81DBF7C"/>
    <w:multiLevelType w:val="singleLevel"/>
    <w:tmpl w:val="B81DBF7C"/>
    <w:lvl w:ilvl="0" w:tentative="0">
      <w:start w:val="1"/>
      <w:numFmt w:val="decimal"/>
      <w:suff w:val="space"/>
      <w:lvlText w:val="%1."/>
      <w:lvlJc w:val="left"/>
    </w:lvl>
  </w:abstractNum>
  <w:abstractNum w:abstractNumId="3">
    <w:nsid w:val="DF41C313"/>
    <w:multiLevelType w:val="singleLevel"/>
    <w:tmpl w:val="DF41C313"/>
    <w:lvl w:ilvl="0" w:tentative="0">
      <w:start w:val="1"/>
      <w:numFmt w:val="decimal"/>
      <w:lvlText w:val="%1."/>
      <w:lvlJc w:val="left"/>
      <w:pPr>
        <w:tabs>
          <w:tab w:val="left" w:pos="420"/>
        </w:tabs>
        <w:ind w:left="845" w:hanging="425"/>
      </w:pPr>
      <w:rPr>
        <w:rFonts w:hint="default"/>
      </w:rPr>
    </w:lvl>
  </w:abstractNum>
  <w:abstractNum w:abstractNumId="4">
    <w:nsid w:val="EF30AE69"/>
    <w:multiLevelType w:val="singleLevel"/>
    <w:tmpl w:val="EF30AE69"/>
    <w:lvl w:ilvl="0" w:tentative="0">
      <w:start w:val="1"/>
      <w:numFmt w:val="decimal"/>
      <w:lvlText w:val="%1."/>
      <w:lvlJc w:val="left"/>
      <w:pPr>
        <w:tabs>
          <w:tab w:val="left" w:pos="420"/>
        </w:tabs>
        <w:ind w:left="845" w:hanging="425"/>
      </w:pPr>
      <w:rPr>
        <w:rFonts w:hint="default"/>
      </w:rPr>
    </w:lvl>
  </w:abstractNum>
  <w:abstractNum w:abstractNumId="5">
    <w:nsid w:val="148C0371"/>
    <w:multiLevelType w:val="singleLevel"/>
    <w:tmpl w:val="148C0371"/>
    <w:lvl w:ilvl="0" w:tentative="0">
      <w:start w:val="2"/>
      <w:numFmt w:val="chineseCounting"/>
      <w:suff w:val="nothing"/>
      <w:lvlText w:val="（%1）"/>
      <w:lvlJc w:val="left"/>
      <w:rPr>
        <w:rFonts w:hint="eastAsia"/>
      </w:rPr>
    </w:lvl>
  </w:abstractNum>
  <w:abstractNum w:abstractNumId="6">
    <w:nsid w:val="4F33D5DD"/>
    <w:multiLevelType w:val="singleLevel"/>
    <w:tmpl w:val="4F33D5DD"/>
    <w:lvl w:ilvl="0" w:tentative="0">
      <w:start w:val="1"/>
      <w:numFmt w:val="decimal"/>
      <w:lvlText w:val="%1."/>
      <w:lvlJc w:val="left"/>
      <w:pPr>
        <w:tabs>
          <w:tab w:val="left" w:pos="840"/>
        </w:tabs>
        <w:ind w:left="1265" w:hanging="425"/>
      </w:pPr>
      <w:rPr>
        <w:rFonts w:hint="default"/>
      </w:rPr>
    </w:lvl>
  </w:abstractNum>
  <w:abstractNum w:abstractNumId="7">
    <w:nsid w:val="4FA1D80F"/>
    <w:multiLevelType w:val="singleLevel"/>
    <w:tmpl w:val="4FA1D80F"/>
    <w:lvl w:ilvl="0" w:tentative="0">
      <w:start w:val="1"/>
      <w:numFmt w:val="decimal"/>
      <w:lvlText w:val="%1."/>
      <w:lvlJc w:val="left"/>
      <w:pPr>
        <w:tabs>
          <w:tab w:val="left" w:pos="840"/>
        </w:tabs>
        <w:ind w:left="1265" w:hanging="425"/>
      </w:pPr>
      <w:rPr>
        <w:rFonts w:hint="default"/>
      </w:rPr>
    </w:lvl>
  </w:abstractNum>
  <w:abstractNum w:abstractNumId="8">
    <w:nsid w:val="560C32EE"/>
    <w:multiLevelType w:val="singleLevel"/>
    <w:tmpl w:val="560C32EE"/>
    <w:lvl w:ilvl="0" w:tentative="0">
      <w:start w:val="1"/>
      <w:numFmt w:val="decimal"/>
      <w:suff w:val="space"/>
      <w:lvlText w:val="%1."/>
      <w:lvlJc w:val="left"/>
    </w:lvl>
  </w:abstractNum>
  <w:abstractNum w:abstractNumId="9">
    <w:nsid w:val="6B54F1F9"/>
    <w:multiLevelType w:val="singleLevel"/>
    <w:tmpl w:val="6B54F1F9"/>
    <w:lvl w:ilvl="0" w:tentative="0">
      <w:start w:val="1"/>
      <w:numFmt w:val="decimal"/>
      <w:suff w:val="space"/>
      <w:lvlText w:val="%1."/>
      <w:lvlJc w:val="left"/>
    </w:lvl>
  </w:abstractNum>
  <w:num w:numId="1">
    <w:abstractNumId w:val="9"/>
  </w:num>
  <w:num w:numId="2">
    <w:abstractNumId w:val="0"/>
  </w:num>
  <w:num w:numId="3">
    <w:abstractNumId w:val="7"/>
  </w:num>
  <w:num w:numId="4">
    <w:abstractNumId w:val="1"/>
  </w:num>
  <w:num w:numId="5">
    <w:abstractNumId w:val="6"/>
  </w:num>
  <w:num w:numId="6">
    <w:abstractNumId w:val="3"/>
  </w:num>
  <w:num w:numId="7">
    <w:abstractNumId w:val="4"/>
  </w:num>
  <w:num w:numId="8">
    <w:abstractNumId w:val="5"/>
  </w:num>
  <w:num w:numId="9">
    <w:abstractNumId w:val="8"/>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5BCA"/>
    <w:rsid w:val="000B5BCA"/>
    <w:rsid w:val="00403389"/>
    <w:rsid w:val="006241AC"/>
    <w:rsid w:val="00BD43F0"/>
    <w:rsid w:val="1852540F"/>
    <w:rsid w:val="1B75304D"/>
    <w:rsid w:val="1DE22732"/>
    <w:rsid w:val="23461B9F"/>
    <w:rsid w:val="422C3F15"/>
    <w:rsid w:val="5682264D"/>
    <w:rsid w:val="657341AA"/>
    <w:rsid w:val="68F709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5"/>
    <w:unhideWhenUsed/>
    <w:qFormat/>
    <w:uiPriority w:val="99"/>
    <w:pPr>
      <w:tabs>
        <w:tab w:val="center" w:pos="4153"/>
        <w:tab w:val="right" w:pos="8306"/>
      </w:tabs>
      <w:snapToGrid w:val="0"/>
      <w:jc w:val="left"/>
    </w:pPr>
    <w:rPr>
      <w:sz w:val="18"/>
      <w:szCs w:val="18"/>
    </w:rPr>
  </w:style>
  <w:style w:type="paragraph" w:styleId="3">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toc 1"/>
    <w:basedOn w:val="1"/>
    <w:next w:val="1"/>
    <w:autoRedefine/>
    <w:unhideWhenUsed/>
    <w:qFormat/>
    <w:uiPriority w:val="39"/>
  </w:style>
  <w:style w:type="paragraph" w:styleId="5">
    <w:name w:val="toc 2"/>
    <w:basedOn w:val="1"/>
    <w:next w:val="1"/>
    <w:autoRedefine/>
    <w:unhideWhenUsed/>
    <w:qFormat/>
    <w:uiPriority w:val="39"/>
    <w:pPr>
      <w:ind w:left="420" w:leftChars="200"/>
    </w:pPr>
  </w:style>
  <w:style w:type="paragraph" w:styleId="6">
    <w:name w:val="Normal (Web)"/>
    <w:basedOn w:val="1"/>
    <w:qFormat/>
    <w:uiPriority w:val="0"/>
    <w:rPr>
      <w:rFonts w:ascii="Calibri" w:hAnsi="Calibri" w:eastAsia="宋体" w:cs="Times New Roman"/>
      <w:sz w:val="24"/>
      <w:szCs w:val="24"/>
    </w:rPr>
  </w:style>
  <w:style w:type="table" w:customStyle="1" w:styleId="9">
    <w:name w:val="三线表1"/>
    <w:basedOn w:val="7"/>
    <w:qFormat/>
    <w:uiPriority w:val="99"/>
    <w:pPr>
      <w:spacing w:before="60" w:after="60"/>
    </w:pPr>
    <w:rPr>
      <w:rFonts w:ascii="Times New Roman" w:hAnsi="Times New Roman" w:eastAsia="宋体" w:cs="Times New Roman"/>
      <w:kern w:val="0"/>
      <w:sz w:val="22"/>
      <w:szCs w:val="20"/>
    </w:rPr>
    <w:tblPr>
      <w:tblBorders>
        <w:top w:val="single" w:color="auto" w:sz="12" w:space="0"/>
        <w:bottom w:val="single" w:color="auto" w:sz="12" w:space="0"/>
      </w:tblBorders>
    </w:tblPr>
    <w:tblStylePr w:type="firstRow">
      <w:tcPr>
        <w:tcBorders>
          <w:top w:val="single" w:color="auto" w:sz="12" w:space="0"/>
          <w:left w:val="nil"/>
          <w:bottom w:val="single" w:color="auto" w:sz="6" w:space="0"/>
          <w:right w:val="nil"/>
          <w:insideH w:val="nil"/>
          <w:insideV w:val="nil"/>
          <w:tl2br w:val="nil"/>
          <w:tr2bl w:val="nil"/>
        </w:tcBorders>
      </w:tcPr>
    </w:tblStylePr>
  </w:style>
  <w:style w:type="paragraph" w:customStyle="1" w:styleId="10">
    <w:name w:val="案例集一级"/>
    <w:basedOn w:val="1"/>
    <w:link w:val="11"/>
    <w:qFormat/>
    <w:uiPriority w:val="0"/>
    <w:pPr>
      <w:pBdr>
        <w:bottom w:val="single" w:color="828282" w:sz="4" w:space="0"/>
      </w:pBdr>
      <w:spacing w:after="440"/>
      <w:jc w:val="center"/>
      <w:outlineLvl w:val="0"/>
    </w:pPr>
    <w:rPr>
      <w:rFonts w:ascii="黑体" w:hAnsi="黑体" w:eastAsia="黑体"/>
      <w:b/>
      <w:color w:val="000000"/>
      <w:sz w:val="40"/>
    </w:rPr>
  </w:style>
  <w:style w:type="character" w:customStyle="1" w:styleId="11">
    <w:name w:val="案例集一级 字符"/>
    <w:basedOn w:val="8"/>
    <w:link w:val="10"/>
    <w:qFormat/>
    <w:uiPriority w:val="0"/>
    <w:rPr>
      <w:rFonts w:ascii="黑体" w:hAnsi="黑体" w:eastAsia="黑体"/>
      <w:b/>
      <w:color w:val="000000"/>
      <w:sz w:val="40"/>
    </w:rPr>
  </w:style>
  <w:style w:type="paragraph" w:customStyle="1" w:styleId="12">
    <w:name w:val="案例集二级"/>
    <w:basedOn w:val="1"/>
    <w:link w:val="13"/>
    <w:qFormat/>
    <w:uiPriority w:val="0"/>
    <w:pPr>
      <w:pBdr>
        <w:bottom w:val="single" w:color="BEBEBE" w:sz="4" w:space="0"/>
      </w:pBdr>
      <w:spacing w:after="160"/>
      <w:jc w:val="left"/>
      <w:outlineLvl w:val="1"/>
    </w:pPr>
    <w:rPr>
      <w:rFonts w:ascii="黑体" w:hAnsi="黑体" w:eastAsia="黑体"/>
      <w:b/>
      <w:color w:val="000000"/>
      <w:sz w:val="28"/>
    </w:rPr>
  </w:style>
  <w:style w:type="character" w:customStyle="1" w:styleId="13">
    <w:name w:val="案例集二级 字符"/>
    <w:basedOn w:val="8"/>
    <w:link w:val="12"/>
    <w:qFormat/>
    <w:uiPriority w:val="0"/>
    <w:rPr>
      <w:rFonts w:ascii="黑体" w:hAnsi="黑体" w:eastAsia="黑体"/>
      <w:b/>
      <w:color w:val="000000"/>
      <w:sz w:val="28"/>
    </w:rPr>
  </w:style>
  <w:style w:type="character" w:customStyle="1" w:styleId="14">
    <w:name w:val="页眉 字符"/>
    <w:basedOn w:val="8"/>
    <w:link w:val="3"/>
    <w:qFormat/>
    <w:uiPriority w:val="99"/>
    <w:rPr>
      <w:sz w:val="18"/>
      <w:szCs w:val="18"/>
    </w:rPr>
  </w:style>
  <w:style w:type="character" w:customStyle="1" w:styleId="15">
    <w:name w:val="页脚 字符"/>
    <w:basedOn w:val="8"/>
    <w:link w:val="2"/>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9" Type="http://schemas.openxmlformats.org/officeDocument/2006/relationships/fontTable" Target="fontTable.xml"/><Relationship Id="rId78" Type="http://schemas.openxmlformats.org/officeDocument/2006/relationships/customXml" Target="../customXml/item2.xml"/><Relationship Id="rId77" Type="http://schemas.openxmlformats.org/officeDocument/2006/relationships/numbering" Target="numbering.xml"/><Relationship Id="rId76" Type="http://schemas.openxmlformats.org/officeDocument/2006/relationships/customXml" Target="../customXml/item1.xml"/><Relationship Id="rId75" Type="http://schemas.openxmlformats.org/officeDocument/2006/relationships/image" Target="media/image63.png"/><Relationship Id="rId74" Type="http://schemas.openxmlformats.org/officeDocument/2006/relationships/image" Target="media/image62.png"/><Relationship Id="rId73" Type="http://schemas.openxmlformats.org/officeDocument/2006/relationships/image" Target="media/image61.jpeg"/><Relationship Id="rId72" Type="http://schemas.openxmlformats.org/officeDocument/2006/relationships/image" Target="media/image60.jpeg"/><Relationship Id="rId71" Type="http://schemas.openxmlformats.org/officeDocument/2006/relationships/image" Target="media/image59.png"/><Relationship Id="rId70" Type="http://schemas.openxmlformats.org/officeDocument/2006/relationships/image" Target="media/image58.png"/><Relationship Id="rId7" Type="http://schemas.openxmlformats.org/officeDocument/2006/relationships/footer" Target="footer2.xml"/><Relationship Id="rId69" Type="http://schemas.openxmlformats.org/officeDocument/2006/relationships/image" Target="media/image57.png"/><Relationship Id="rId68" Type="http://schemas.openxmlformats.org/officeDocument/2006/relationships/image" Target="media/image56.png"/><Relationship Id="rId67" Type="http://schemas.openxmlformats.org/officeDocument/2006/relationships/image" Target="media/image55.png"/><Relationship Id="rId66" Type="http://schemas.openxmlformats.org/officeDocument/2006/relationships/image" Target="media/image54.png"/><Relationship Id="rId65" Type="http://schemas.openxmlformats.org/officeDocument/2006/relationships/image" Target="media/image53.png"/><Relationship Id="rId64" Type="http://schemas.openxmlformats.org/officeDocument/2006/relationships/image" Target="media/image52.png"/><Relationship Id="rId63" Type="http://schemas.openxmlformats.org/officeDocument/2006/relationships/image" Target="media/image51.png"/><Relationship Id="rId62" Type="http://schemas.openxmlformats.org/officeDocument/2006/relationships/image" Target="media/image50.jpeg"/><Relationship Id="rId61" Type="http://schemas.openxmlformats.org/officeDocument/2006/relationships/image" Target="media/image49.jpeg"/><Relationship Id="rId60" Type="http://schemas.openxmlformats.org/officeDocument/2006/relationships/image" Target="media/image48.jpeg"/><Relationship Id="rId6" Type="http://schemas.openxmlformats.org/officeDocument/2006/relationships/footer" Target="footer1.xml"/><Relationship Id="rId59" Type="http://schemas.openxmlformats.org/officeDocument/2006/relationships/image" Target="media/image47.jpeg"/><Relationship Id="rId58" Type="http://schemas.openxmlformats.org/officeDocument/2006/relationships/image" Target="media/image46.jpeg"/><Relationship Id="rId57" Type="http://schemas.openxmlformats.org/officeDocument/2006/relationships/image" Target="media/image45.jpeg"/><Relationship Id="rId56" Type="http://schemas.openxmlformats.org/officeDocument/2006/relationships/image" Target="media/image44.jpeg"/><Relationship Id="rId55" Type="http://schemas.openxmlformats.org/officeDocument/2006/relationships/image" Target="media/image43.jpeg"/><Relationship Id="rId54" Type="http://schemas.openxmlformats.org/officeDocument/2006/relationships/image" Target="media/image42.jpeg"/><Relationship Id="rId53" Type="http://schemas.openxmlformats.org/officeDocument/2006/relationships/image" Target="media/image41.png"/><Relationship Id="rId52" Type="http://schemas.openxmlformats.org/officeDocument/2006/relationships/image" Target="media/image40.png"/><Relationship Id="rId51" Type="http://schemas.openxmlformats.org/officeDocument/2006/relationships/image" Target="media/image39.png"/><Relationship Id="rId50" Type="http://schemas.openxmlformats.org/officeDocument/2006/relationships/image" Target="media/image38.png"/><Relationship Id="rId5" Type="http://schemas.openxmlformats.org/officeDocument/2006/relationships/header" Target="header3.xml"/><Relationship Id="rId49" Type="http://schemas.openxmlformats.org/officeDocument/2006/relationships/image" Target="media/image37.png"/><Relationship Id="rId48" Type="http://schemas.openxmlformats.org/officeDocument/2006/relationships/image" Target="media/image36.png"/><Relationship Id="rId47" Type="http://schemas.openxmlformats.org/officeDocument/2006/relationships/image" Target="media/image35.png"/><Relationship Id="rId46" Type="http://schemas.openxmlformats.org/officeDocument/2006/relationships/image" Target="media/image34.jpeg"/><Relationship Id="rId45" Type="http://schemas.openxmlformats.org/officeDocument/2006/relationships/image" Target="media/image33.jpeg"/><Relationship Id="rId44" Type="http://schemas.openxmlformats.org/officeDocument/2006/relationships/image" Target="media/image32.jpeg"/><Relationship Id="rId43" Type="http://schemas.openxmlformats.org/officeDocument/2006/relationships/image" Target="media/image31.jpeg"/><Relationship Id="rId42" Type="http://schemas.openxmlformats.org/officeDocument/2006/relationships/image" Target="media/image30.png"/><Relationship Id="rId41" Type="http://schemas.openxmlformats.org/officeDocument/2006/relationships/image" Target="media/image29.png"/><Relationship Id="rId40" Type="http://schemas.openxmlformats.org/officeDocument/2006/relationships/image" Target="media/image28.png"/><Relationship Id="rId4" Type="http://schemas.openxmlformats.org/officeDocument/2006/relationships/header" Target="header2.xml"/><Relationship Id="rId39" Type="http://schemas.openxmlformats.org/officeDocument/2006/relationships/image" Target="media/image27.png"/><Relationship Id="rId38" Type="http://schemas.openxmlformats.org/officeDocument/2006/relationships/image" Target="media/image26.png"/><Relationship Id="rId37" Type="http://schemas.openxmlformats.org/officeDocument/2006/relationships/image" Target="media/image25.jpeg"/><Relationship Id="rId36" Type="http://schemas.openxmlformats.org/officeDocument/2006/relationships/image" Target="media/image24.jpeg"/><Relationship Id="rId35" Type="http://schemas.openxmlformats.org/officeDocument/2006/relationships/image" Target="media/image23.jpeg"/><Relationship Id="rId34" Type="http://schemas.openxmlformats.org/officeDocument/2006/relationships/image" Target="media/image22.jpeg"/><Relationship Id="rId33" Type="http://schemas.openxmlformats.org/officeDocument/2006/relationships/image" Target="media/image21.jpeg"/><Relationship Id="rId32" Type="http://schemas.openxmlformats.org/officeDocument/2006/relationships/image" Target="media/image20.jpeg"/><Relationship Id="rId31" Type="http://schemas.openxmlformats.org/officeDocument/2006/relationships/image" Target="media/image19.png"/><Relationship Id="rId30" Type="http://schemas.openxmlformats.org/officeDocument/2006/relationships/image" Target="media/image18.jpeg"/><Relationship Id="rId3" Type="http://schemas.openxmlformats.org/officeDocument/2006/relationships/header" Target="header1.xml"/><Relationship Id="rId29" Type="http://schemas.openxmlformats.org/officeDocument/2006/relationships/image" Target="media/image17.jpeg"/><Relationship Id="rId28" Type="http://schemas.openxmlformats.org/officeDocument/2006/relationships/image" Target="media/image16.png"/><Relationship Id="rId27" Type="http://schemas.openxmlformats.org/officeDocument/2006/relationships/image" Target="https://kedaotech.feishu.cn/space/api/box/stream/download/asynccode/?code=YTRhYTYwNGY5ZGNjZDNkZjFlY2I2YTBmNDRmMWQ4MmVfWmNvcU9tY2lPMVRBZTBLN3poODBZQUk2VTRqeVdjVVdfVG9rZW46RHY4MmJQRzBxb1ZlMWt4OE54V2NMb0VXbmpoXzE3ODc3MTA4NjI6MTc4NzcxNDQ2Ml9WNA%2525252526add_watermark=true%2525252526scene_type=CCM" TargetMode="External"/><Relationship Id="rId26" Type="http://schemas.openxmlformats.org/officeDocument/2006/relationships/image" Target="media/image15.png"/><Relationship Id="rId25" Type="http://schemas.openxmlformats.org/officeDocument/2006/relationships/image" Target="https://my.feishu.cn/space/api/box/stream/download/asynccode/?code=ZjE2ZjYzY2VlZjQ1NmM3Njk4ODUyOGQzZjY1ZDA5Y2ZfQkN0Y3BhMEJIRnBNS3FPWFRQcVlZYkdOU0UwWmJqTUlfVG9rZW46SVFEV2JQWFBlbzlnMVh4MFVYM2Nsd2N3bndkXzE3ODc2NDg4NzM6MTc4NzY1MjQ3M19WNA%2525252526add_watermark=true%2525252526scene_type=CCM_DOUBAO" TargetMode="External"/><Relationship Id="rId24" Type="http://schemas.openxmlformats.org/officeDocument/2006/relationships/image" Target="media/image14.png"/><Relationship Id="rId23" Type="http://schemas.openxmlformats.org/officeDocument/2006/relationships/image" Target="https://my.feishu.cn/space/api/box/stream/download/asynccode/?code=M2IxZjVkOGJkYWMyZDRmYmM4ZTRjZDcyNTA1OTEwNzdfMUlEUG4yMHh2NFhkYjRQZUxKQ0F3TE9wY2QwUThuZzRfVG9rZW46VzVramJQN3hNb2pUdER4YXlLOWNJOFN0blljXzE3ODc2NDg4NzM6MTc4NzY1MjQ3M19WNA%2525252526add_watermark=true%2525252526scene_type=CCM_DOUBAO" TargetMode="External"/><Relationship Id="rId22" Type="http://schemas.openxmlformats.org/officeDocument/2006/relationships/image" Target="media/image13.jpeg"/><Relationship Id="rId21" Type="http://schemas.openxmlformats.org/officeDocument/2006/relationships/image" Target="media/image12.png"/><Relationship Id="rId20" Type="http://schemas.openxmlformats.org/officeDocument/2006/relationships/image" Target="media/image11.jpe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jpeg"/><Relationship Id="rId16" Type="http://schemas.openxmlformats.org/officeDocument/2006/relationships/image" Target="media/image7.jpe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Info spid="_x0000_s1027"/>
    <customShpInfo spid="_x0000_s1033"/>
    <customShpInfo spid="_x0000_s1032"/>
    <customShpInfo spid="_x0000_s1034"/>
    <customShpInfo spid="_x0000_s1035"/>
    <customShpInfo spid="_x0000_s1067"/>
    <customShpInfo spid="_x0000_s1037"/>
    <customShpInfo spid="_x0000_s1036"/>
    <customShpInfo spid="_x0000_s1038"/>
    <customShpInfo spid="_x0000_s1039"/>
    <customShpInfo spid="_x0000_s1040"/>
    <customShpInfo spid="_x0000_s1042"/>
    <customShpInfo spid="_x0000_s1044"/>
    <customShpInfo spid="_x0000_s1046"/>
    <customShpInfo spid="_x0000_s1047"/>
    <customShpInfo spid="_x0000_s1051"/>
    <customShpInfo spid="_x0000_s1052"/>
    <customShpInfo spid="_x0000_s1053"/>
    <customShpInfo spid="_x0000_s1055"/>
    <customShpInfo spid="_x0000_s1056"/>
    <customShpInfo spid="_x0000_s1057"/>
    <customShpInfo spid="_x0000_s1061"/>
    <customShpInfo spid="_x0000_s1062"/>
    <customShpInfo spid="_x0000_s1063"/>
    <customShpInfo spid="_x0000_s1064"/>
  </customShpExts>
</s:customData>
</file>

<file path=customXml/item2.xml><?xml version="1.0" encoding="utf-8"?>
<contractReview xmlns="http://schemas.wps.cn/vas-ai-hub/contract-review">
  <reviewItems>
    <reviewItem>
      <errorID>782a2417-b24e-42c6-aef6-966d0fb628b3</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34E5B213</paraID>
      <start>129</start>
      <end>130</end>
      <status>modified</status>
      <modifiedWord>—</modifiedWord>
      <trackRevisions>false</trackRevisions>
    </reviewItem>
    <reviewItem>
      <errorID>d418e34d-e6eb-4e7f-b254-4f4a8b926065</errorID>
      <errorWord>，</errorWord>
      <group>L1_Word</group>
      <groupName>字词问题</groupName>
      <ability>L2_Typo</ability>
      <abilityName>字词错误</abilityName>
      <candidateList>
        <item>，以</item>
      </candidateList>
      <explain/>
      <paraID>2D7E3F7B</paraID>
      <start>60</start>
      <end>61</end>
      <status>ignored</status>
      <modifiedWord/>
      <trackRevisions>false</trackRevisions>
    </reviewItem>
    <reviewItem>
      <errorID>c7720b15-9bdc-4635-8db6-02ab49a95b8f</errorID>
      <errorWord>作</errorWord>
      <group>L1_Word</group>
      <groupName>字词问题</groupName>
      <ability>L2_Typo</ability>
      <abilityName>字词错误</abilityName>
      <candidateList>
        <item>作权</item>
      </candidateList>
      <explain/>
      <paraID>31FF8D29</paraID>
      <start>137</start>
      <end>139</end>
      <status>modified</status>
      <modifiedWord>作权</modifiedWord>
      <trackRevisions>false</trackRevisions>
    </reviewItem>
    <reviewItem>
      <errorID>90e8052f-ac00-44aa-a7de-429417f502d0</errorID>
      <errorWord>MM</errorWord>
      <group>L1_Official</group>
      <groupName>公文格式问题</groupName>
      <ability>L2_Official</ability>
      <abilityName>公文要素检查</abilityName>
      <candidateList/>
      <explain>公文中禁止出现该词语</explain>
      <paraID>3E64142F</paraID>
      <start>45</start>
      <end>47</end>
      <status>ignored</status>
      <modifiedWord/>
      <trackRevisions>false</trackRevisions>
    </reviewItem>
    <reviewItem>
      <errorID>6e628569-2c19-4849-8f1d-6cbb92f4e931</errorID>
      <errorWord>依托本</errorWord>
      <group>L1_Word</group>
      <groupName>字词问题</groupName>
      <ability>L2_Typo</ability>
      <abilityName>字词错误</abilityName>
      <candidateList>
        <item>依托</item>
      </candidateList>
      <explain/>
      <paraID>1D7426D8</paraID>
      <start>13</start>
      <end>16</end>
      <status>ignored</status>
      <modifiedWord/>
      <trackRevisions>false</trackRevisions>
    </reviewItem>
    <reviewItem>
      <errorID>0b3aadeb-62e2-4292-9b77-784c7ad678f2</errorID>
      <errorWord>、为</errorWord>
      <group>L1_Word</group>
      <groupName>字词问题</groupName>
      <ability>L2_Typo</ability>
      <abilityName>字词错误</abilityName>
      <candidateList>
        <item>、</item>
      </candidateList>
      <explain/>
      <paraID>6584A61B</paraID>
      <start>13</start>
      <end>14</end>
      <status>modified</status>
      <modifiedWord>、</modifiedWord>
      <trackRevisions>false</trackRevisions>
    </reviewItem>
    <reviewItem>
      <errorID>559e7e64-2cf3-4cf8-a4df-fb6babeba67f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7DC7ACE9</paraID>
      <start>0</start>
      <end>2</end>
      <status>modified</status>
      <modifiedWord>1.</modifiedWord>
      <trackRevisions>false</trackRevisions>
    </reviewItem>
    <reviewItem>
      <errorID>65d88da7-3274-403a-b552-06cb26e576b9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E755282</paraID>
      <start>0</start>
      <end>2</end>
      <status>modified</status>
      <modifiedWord>2.</modifiedWord>
      <trackRevisions>false</trackRevisions>
    </reviewItem>
    <reviewItem>
      <errorID>d3d9d297-c54d-4545-ac52-70c895f91292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BCCDECC</paraID>
      <start>0</start>
      <end>2</end>
      <status>modified</status>
      <modifiedWord>3.</modifiedWord>
      <trackRevisions>false</trackRevisions>
    </reviewItem>
    <reviewItem>
      <errorID>e4199910-d160-473f-9d77-857fa7e2a50d</errorID>
      <errorWord>12%-15%</errorWord>
      <group>L1_Knowledge</group>
      <groupName>知识性问题</groupName>
      <ability>L2_Knowledge</ability>
      <abilityName>其他知识</abilityName>
      <candidateList>
        <item>12%—15%</item>
      </candidateList>
      <explain>1. “12%-15%”中的单位“%”仅出现在后一个数字上，容易引起歧义；根据《现代汉语标点符号数字用法规范手册》，数字表示范围两边需要使用统一的格式。2. 根据标点国标 4.13 中的规则，数字、时间或地域连接符应使用（视觉上更长的）“—”或“～”。</explain>
      <paraID>6BBC8BF1</paraID>
      <start>15</start>
      <end>22</end>
      <status>modified</status>
      <modifiedWord>12%—15%</modifiedWord>
      <trackRevisions>false</trackRevisions>
    </reviewItem>
    <reviewItem>
      <errorID>969f9c6e-0581-4db4-8967-1efbf0b1ccb0</errorID>
      <errorWord>坚守绿色低碳</errorWord>
      <group>L1_Political</group>
      <groupName>政治性问题</groupName>
      <ability>L2_Keyword</ability>
      <abilityName>固定表述</abilityName>
      <candidateList>
        <item>坚持绿色低碳</item>
      </candidateList>
      <explain>词汇“坚持绿色低碳”在特定场景下为固定表述形式，请确认此处的“坚守绿色低碳”是否存在不当。</explain>
      <paraID> FB025EE</paraID>
      <start>60</start>
      <end>66</end>
      <status>modified</status>
      <modifiedWord>坚持绿色低碳</modifiedWord>
      <trackRevisions>false</trackRevisions>
    </reviewItem>
    <reviewItem>
      <errorID>e432823c-e9b9-44c4-ab13-5ac8b571b6a3</errorID>
      <errorWord>国家级专精特新小巨人企业</errorWord>
      <group>L1_Political</group>
      <groupName>政治性问题</groupName>
      <ability>L2_Keyword</ability>
      <abilityName>固定表述</abilityName>
      <candidateList>
        <item>国家级专精特新“小巨人”企业</item>
      </candidateList>
      <explain>注意检查当前固定表述标点是否使用规范。</explain>
      <paraID>716A0B4C</paraID>
      <start>6</start>
      <end>20</end>
      <status>modified</status>
      <modifiedWord>国家级专精特新“小巨人”企业</modifiedWord>
      <trackRevisions>false</trackRevisions>
    </reviewItem>
    <reviewItem>
      <errorID>5ec5ca65-284d-4fe3-bb09-368965c27ee7</errorID>
      <errorWord>（</errorWord>
      <group>L1_Punc</group>
      <groupName>标点问题</groupName>
      <ability>L2_Punc_CN</ability>
      <abilityName>标点符号检查</abilityName>
      <candidateList/>
      <explain>同一形式括号套用。</explain>
      <paraID> 91FF9BB</paraID>
      <start>99</start>
      <end>100</end>
      <status>ignored</status>
      <modifiedWord/>
      <trackRevisions>false</trackRevisions>
    </reviewItem>
    <reviewItem>
      <errorID>da0dec65-e124-4b35-84d9-8e175265c61b</errorID>
      <errorWord>）</errorWord>
      <group>L1_Punc</group>
      <groupName>标点问题</groupName>
      <ability>L2_Punc_CN</ability>
      <abilityName>标点符号检查</abilityName>
      <candidateList/>
      <explain>同一形式括号套用。</explain>
      <paraID> 91FF9BB</paraID>
      <start>102</start>
      <end>103</end>
      <status>ignored</status>
      <modifiedWord/>
      <trackRevisions>false</trackRevisions>
    </reviewItem>
    <reviewItem>
      <errorID>51558003-41d8-49b9-a527-8d8600506564</errorID>
      <errorWord>,</errorWord>
      <group>L1_Format</group>
      <groupName>格式问题</groupName>
      <ability>L2_HalfPunc_CN</ability>
      <abilityName>全半角检查</abilityName>
      <candidateList>
        <item>，</item>
      </candidateList>
      <explain>文本全半角错误。</explain>
      <paraID>182FAEC9</paraID>
      <start>17</start>
      <end>18</end>
      <status>modified</status>
      <modifiedWord>，</modifiedWord>
      <trackRevisions>false</trackRevisions>
    </reviewItem>
    <reviewItem>
      <errorID>c3da244d-b702-4af8-9546-970b3357e7fd</errorID>
      <errorWord>,</errorWord>
      <group>L1_Format</group>
      <groupName>格式问题</groupName>
      <ability>L2_HalfPunc_CN</ability>
      <abilityName>全半角检查</abilityName>
      <candidateList>
        <item>，</item>
      </candidateList>
      <explain>文本全半角错误。</explain>
      <paraID>182FAEC9</paraID>
      <start>71</start>
      <end>72</end>
      <status>modified</status>
      <modifiedWord>，</modifiedWord>
      <trackRevisions>false</trackRevisions>
    </reviewItem>
    <reviewItem>
      <errorID>df80c7a8-04d8-451e-a7f9-3561e6eb2ada</errorID>
      <errorWord>,</errorWord>
      <group>L1_Format</group>
      <groupName>格式问题</groupName>
      <ability>L2_HalfPunc_CN</ability>
      <abilityName>全半角检查</abilityName>
      <candidateList>
        <item>，</item>
      </candidateList>
      <explain>文本全半角错误。</explain>
      <paraID>182FAEC9</paraID>
      <start>93</start>
      <end>94</end>
      <status>modified</status>
      <modifiedWord>，</modifiedWord>
      <trackRevisions>false</trackRevisions>
    </reviewItem>
    <reviewItem>
      <errorID>845a47e3-17b5-4a07-beca-c5df5f45f361</errorID>
      <errorWord>,</errorWord>
      <group>L1_Format</group>
      <groupName>格式问题</groupName>
      <ability>L2_HalfPunc_CN</ability>
      <abilityName>全半角检查</abilityName>
      <candidateList>
        <item>，</item>
      </candidateList>
      <explain>文本全半角错误。</explain>
      <paraID>182FAEC9</paraID>
      <start>121</start>
      <end>122</end>
      <status>modified</status>
      <modifiedWord>，</modifiedWord>
      <trackRevisions>false</trackRevisions>
    </reviewItem>
    <reviewItem>
      <errorID>924a0c94-7544-4792-b950-a1a153f72b6e</errorID>
      <errorWord>,</errorWord>
      <group>L1_Format</group>
      <groupName>格式问题</groupName>
      <ability>L2_HalfPunc_CN</ability>
      <abilityName>全半角检查</abilityName>
      <candidateList>
        <item>，</item>
      </candidateList>
      <explain>文本全半角错误。</explain>
      <paraID>182FAEC9</paraID>
      <start>135</start>
      <end>136</end>
      <status>modified</status>
      <modifiedWord>，</modifiedWord>
      <trackRevisions>false</trackRevisions>
    </reviewItem>
    <reviewItem>
      <errorID>b29f296f-e907-4608-b4d1-c1140a22efc3</errorID>
      <errorWord>,</errorWord>
      <group>L1_Format</group>
      <groupName>格式问题</groupName>
      <ability>L2_HalfPunc_CN</ability>
      <abilityName>全半角检查</abilityName>
      <candidateList>
        <item>，</item>
      </candidateList>
      <explain>文本全半角错误。</explain>
      <paraID>182FAEC9</paraID>
      <start>153</start>
      <end>154</end>
      <status>modified</status>
      <modifiedWord>，</modifiedWord>
      <trackRevisions>false</trackRevisions>
    </reviewItem>
    <reviewItem>
      <errorID>21297624-55ce-4f05-9b80-0bc2a15e5078</errorID>
      <errorWord>,</errorWord>
      <group>L1_Format</group>
      <groupName>格式问题</groupName>
      <ability>L2_HalfPunc_CN</ability>
      <abilityName>全半角检查</abilityName>
      <candidateList>
        <item>，</item>
      </candidateList>
      <explain>文本全半角错误。</explain>
      <paraID>182FAEC9</paraID>
      <start>188</start>
      <end>189</end>
      <status>modified</status>
      <modifiedWord>，</modifiedWord>
      <trackRevisions>false</trackRevisions>
    </reviewItem>
    <reviewItem>
      <errorID>33e5f649-21ef-4f9e-9d5a-f6af47c71666</errorID>
      <errorWord>,</errorWord>
      <group>L1_Format</group>
      <groupName>格式问题</groupName>
      <ability>L2_HalfPunc_CN</ability>
      <abilityName>全半角检查</abilityName>
      <candidateList>
        <item>，</item>
      </candidateList>
      <explain>文本全半角错误。</explain>
      <paraID>182FAEC9</paraID>
      <start>220</start>
      <end>221</end>
      <status>modified</status>
      <modifiedWord>，</modifiedWord>
      <trackRevisions>false</trackRevisions>
    </reviewItem>
    <reviewItem>
      <errorID>bc3cd8d3-1994-421a-83e4-e0c6abde770a</errorID>
      <errorWord>彻底杜绝</errorWord>
      <group>L1_Word</group>
      <groupName>字词问题</groupName>
      <ability>L2_Typo</ability>
      <abilityName>字词错误</abilityName>
      <candidateList>
        <item>杜绝</item>
      </candidateList>
      <explain/>
      <paraID>20CCE3E8</paraID>
      <start>118</start>
      <end>120</end>
      <status>modified</status>
      <modifiedWord>杜绝</modifiedWord>
      <trackRevisions>false</trackRevisions>
    </reviewItem>
    <reviewItem>
      <errorID>256137e1-6e0d-4279-9f51-c6f29f74f8f3</errorID>
      <errorWord>,</errorWord>
      <group>L1_Format</group>
      <groupName>格式问题</groupName>
      <ability>L2_HalfPunc_CN</ability>
      <abilityName>全半角检查</abilityName>
      <candidateList>
        <item>，</item>
      </candidateList>
      <explain>文本全半角错误。</explain>
      <paraID> 307940B</paraID>
      <start>10</start>
      <end>11</end>
      <status>modified</status>
      <modifiedWord>，</modifiedWord>
      <trackRevisions>false</trackRevisions>
    </reviewItem>
    <reviewItem>
      <errorID>05381199-d914-4d32-88fb-06f52b459ae9</errorID>
      <errorWord>,</errorWord>
      <group>L1_Format</group>
      <groupName>格式问题</groupName>
      <ability>L2_HalfPunc_CN</ability>
      <abilityName>全半角检查</abilityName>
      <candidateList>
        <item>，</item>
      </candidateList>
      <explain>文本全半角错误。</explain>
      <paraID> 307940B</paraID>
      <start>36</start>
      <end>37</end>
      <status>modified</status>
      <modifiedWord>，</modifiedWord>
      <trackRevisions>false</trackRevisions>
    </reviewItem>
    <reviewItem>
      <errorID>09bdfcd2-1f11-4602-9372-7150bf9d8699</errorID>
      <errorWord>,</errorWord>
      <group>L1_Format</group>
      <groupName>格式问题</groupName>
      <ability>L2_HalfPunc_CN</ability>
      <abilityName>全半角检查</abilityName>
      <candidateList>
        <item>，</item>
      </candidateList>
      <explain>文本全半角错误。</explain>
      <paraID> 307940B</paraID>
      <start>46</start>
      <end>47</end>
      <status>modified</status>
      <modifiedWord>，</modifiedWord>
      <trackRevisions>false</trackRevisions>
    </reviewItem>
    <reviewItem>
      <errorID>6188eff8-1b33-4230-9457-306cd320e30f</errorID>
      <errorWord>,</errorWord>
      <group>L1_Format</group>
      <groupName>格式问题</groupName>
      <ability>L2_HalfPunc_CN</ability>
      <abilityName>全半角检查</abilityName>
      <candidateList>
        <item>，</item>
      </candidateList>
      <explain>文本全半角错误。</explain>
      <paraID> 307940B</paraID>
      <start>80</start>
      <end>81</end>
      <status>modified</status>
      <modifiedWord>，</modifiedWord>
      <trackRevisions>false</trackRevisions>
    </reviewItem>
    <reviewItem>
      <errorID>3f28d4f9-e92e-4899-b0cb-189a5c06f630</errorID>
      <errorWord>,</errorWord>
      <group>L1_Format</group>
      <groupName>格式问题</groupName>
      <ability>L2_HalfPunc_CN</ability>
      <abilityName>全半角检查</abilityName>
      <candidateList>
        <item>，</item>
      </candidateList>
      <explain>文本全半角错误。</explain>
      <paraID> 307940B</paraID>
      <start>104</start>
      <end>105</end>
      <status>modified</status>
      <modifiedWord>，</modifiedWord>
      <trackRevisions>false</trackRevisions>
    </reviewItem>
    <reviewItem>
      <errorID>f86d14de-44c5-42d5-b8ed-0bc6cfdaa826</errorID>
      <errorWord>,</errorWord>
      <group>L1_Format</group>
      <groupName>格式问题</groupName>
      <ability>L2_HalfPunc_CN</ability>
      <abilityName>全半角检查</abilityName>
      <candidateList>
        <item>，</item>
      </candidateList>
      <explain>文本全半角错误。</explain>
      <paraID> 307940B</paraID>
      <start>159</start>
      <end>160</end>
      <status>modified</status>
      <modifiedWord>，</modifiedWord>
      <trackRevisions>false</trackRevisions>
    </reviewItem>
    <reviewItem>
      <errorID>322e2c81-40bc-4c9d-97f8-7bc8d13944db</errorID>
      <errorWord>,</errorWord>
      <group>L1_Format</group>
      <groupName>格式问题</groupName>
      <ability>L2_HalfPunc_CN</ability>
      <abilityName>全半角检查</abilityName>
      <candidateList>
        <item>，</item>
      </candidateList>
      <explain>文本全半角错误。</explain>
      <paraID>62E45EA8</paraID>
      <start>19</start>
      <end>20</end>
      <status>modified</status>
      <modifiedWord>，</modifiedWord>
      <trackRevisions>false</trackRevisions>
    </reviewItem>
    <reviewItem>
      <errorID>c9cc12ad-319c-42e3-bab9-7ff0eee87393</errorID>
      <errorWord>,</errorWord>
      <group>L1_Format</group>
      <groupName>格式问题</groupName>
      <ability>L2_HalfPunc_CN</ability>
      <abilityName>全半角检查</abilityName>
      <candidateList>
        <item>，</item>
      </candidateList>
      <explain>文本全半角错误。</explain>
      <paraID>62E45EA8</paraID>
      <start>39</start>
      <end>40</end>
      <status>modified</status>
      <modifiedWord>，</modifiedWord>
      <trackRevisions>false</trackRevisions>
    </reviewItem>
    <reviewItem>
      <errorID>06d4267e-8abd-44b7-87c1-3da34fc72513</errorID>
      <errorWord>,</errorWord>
      <group>L1_Format</group>
      <groupName>格式问题</groupName>
      <ability>L2_HalfPunc_CN</ability>
      <abilityName>全半角检查</abilityName>
      <candidateList>
        <item>，</item>
      </candidateList>
      <explain>文本全半角错误。</explain>
      <paraID>62E45EA8</paraID>
      <start>53</start>
      <end>54</end>
      <status>modified</status>
      <modifiedWord>，</modifiedWord>
      <trackRevisions>false</trackRevisions>
    </reviewItem>
    <reviewItem>
      <errorID>068cb3c0-0f7a-4748-9964-a9b424faf6fd</errorID>
      <errorWord>,</errorWord>
      <group>L1_Format</group>
      <groupName>格式问题</groupName>
      <ability>L2_HalfPunc_CN</ability>
      <abilityName>全半角检查</abilityName>
      <candidateList>
        <item>，</item>
      </candidateList>
      <explain>文本全半角错误。</explain>
      <paraID>62E45EA8</paraID>
      <start>64</start>
      <end>65</end>
      <status>modified</status>
      <modifiedWord>，</modifiedWord>
      <trackRevisions>false</trackRevisions>
    </reviewItem>
    <reviewItem>
      <errorID>652d1ba9-76fa-4be5-8927-42f353f420a9</errorID>
      <errorWord>,</errorWord>
      <group>L1_Format</group>
      <groupName>格式问题</groupName>
      <ability>L2_HalfPunc_CN</ability>
      <abilityName>全半角检查</abilityName>
      <candidateList>
        <item>，</item>
      </candidateList>
      <explain>文本全半角错误。</explain>
      <paraID>62E45EA8</paraID>
      <start>81</start>
      <end>82</end>
      <status>modified</status>
      <modifiedWord>，</modifiedWord>
      <trackRevisions>false</trackRevisions>
    </reviewItem>
    <reviewItem>
      <errorID>9e54b00c-9001-44aa-ba60-fcabf1716ea1</errorID>
      <errorWord>"</errorWord>
      <group>L1_Format</group>
      <groupName>格式问题</groupName>
      <ability>L2_HalfPunc_CN</ability>
      <abilityName>全半角检查</abilityName>
      <candidateList>
        <item>“</item>
      </candidateList>
      <explain>文本全半角错误。</explain>
      <paraID>50652748</paraID>
      <start>24</start>
      <end>25</end>
      <status>modified</status>
      <modifiedWord>“</modifiedWord>
      <trackRevisions>false</trackRevisions>
    </reviewItem>
    <reviewItem>
      <errorID>6d039956-ec34-4d5d-a462-c3db5ac654e8</errorID>
      <errorWord>"</errorWord>
      <group>L1_Format</group>
      <groupName>格式问题</groupName>
      <ability>L2_HalfPunc_CN</ability>
      <abilityName>全半角检查</abilityName>
      <candidateList>
        <item>”</item>
      </candidateList>
      <explain>文本全半角错误。</explain>
      <paraID>50652748</paraID>
      <start>28</start>
      <end>29</end>
      <status>modified</status>
      <modifiedWord>”</modifiedWord>
      <trackRevisions>false</trackRevisions>
    </reviewItem>
    <reviewItem>
      <errorID>b78a2036-7646-4142-a32d-24c4d7773a10</errorID>
      <errorWord>"</errorWord>
      <group>L1_Format</group>
      <groupName>格式问题</groupName>
      <ability>L2_HalfPunc_CN</ability>
      <abilityName>全半角检查</abilityName>
      <candidateList>
        <item>“</item>
      </candidateList>
      <explain>文本全半角错误。</explain>
      <paraID>50652748</paraID>
      <start>30</start>
      <end>31</end>
      <status>modified</status>
      <modifiedWord>“</modifiedWord>
      <trackRevisions>false</trackRevisions>
    </reviewItem>
    <reviewItem>
      <errorID>e921f443-d30e-4ae3-9dea-a5c75026aa22</errorID>
      <errorWord>"</errorWord>
      <group>L1_Format</group>
      <groupName>格式问题</groupName>
      <ability>L2_HalfPunc_CN</ability>
      <abilityName>全半角检查</abilityName>
      <candidateList>
        <item>”</item>
      </candidateList>
      <explain>文本全半角错误。</explain>
      <paraID>50652748</paraID>
      <start>35</start>
      <end>36</end>
      <status>modified</status>
      <modifiedWord>”</modifiedWord>
      <trackRevisions>false</trackRevisions>
    </reviewItem>
    <reviewItem>
      <errorID>d47c4335-d382-4cfd-bf30-2b843b0c891e</errorID>
      <errorWord>，。</errorWord>
      <group>L1_Punc</group>
      <groupName>标点问题</groupName>
      <ability>L2_Punc_CN</ability>
      <abilityName>标点符号检查</abilityName>
      <candidateList>
        <item>，</item>
      </candidateList>
      <explain/>
      <paraID>503E0DEC</paraID>
      <start>25</start>
      <end>26</end>
      <status>modified</status>
      <modifiedWord>，</modifiedWord>
      <trackRevisions>false</trackRevisions>
    </reviewItem>
    <reviewItem>
      <errorID>ab2b484d-1b5d-48f9-b6a6-8f03fb39e3aa</errorID>
      <errorWord>源</errorWord>
      <group>L1_Word</group>
      <groupName>字词问题</groupName>
      <ability>L2_Typo</ability>
      <abilityName>字词错误</abilityName>
      <candidateList>
        <item>源于</item>
      </candidateList>
      <explain/>
      <paraID>1B74D201</paraID>
      <start>11</start>
      <end>13</end>
      <status>modified</status>
      <modifiedWord>源于</modifiedWord>
      <trackRevisions>false</trackRevisions>
    </reviewItem>
    <reviewItem>
      <errorID>cc4befc8-6a48-4ca3-bc88-2fb6ce62f2ae</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5C4EFBF2</paraID>
      <start>19</start>
      <end>20</end>
      <status>modified</status>
      <modifiedWord>—</modifiedWord>
      <trackRevisions>false</trackRevisions>
    </reviewItem>
    <reviewItem>
      <errorID>ccf246d7-ca30-4345-8e6e-c77cc55c2707</errorID>
      <errorWord>"</errorWord>
      <group>L1_Format</group>
      <groupName>格式问题</groupName>
      <ability>L2_HalfPunc_CN</ability>
      <abilityName>全半角检查</abilityName>
      <candidateList>
        <item>“</item>
      </candidateList>
      <explain>文本全半角错误。</explain>
      <paraID>72B8EC74</paraID>
      <start>6</start>
      <end>7</end>
      <status>modified</status>
      <modifiedWord>“</modifiedWord>
      <trackRevisions>false</trackRevisions>
    </reviewItem>
    <reviewItem>
      <errorID>3ccfba4f-e88a-4a10-b5ec-373400cce491</errorID>
      <errorWord>"</errorWord>
      <group>L1_Format</group>
      <groupName>格式问题</groupName>
      <ability>L2_HalfPunc_CN</ability>
      <abilityName>全半角检查</abilityName>
      <candidateList>
        <item>”</item>
      </candidateList>
      <explain>文本全半角错误。</explain>
      <paraID>72B8EC74</paraID>
      <start>12</start>
      <end>13</end>
      <status>modified</status>
      <modifiedWord>”</modifiedWord>
      <trackRevisions>false</trackRevisions>
    </reviewItem>
    <reviewItem>
      <errorID>a141baf5-b478-40e0-ad3c-c7208a6b8c7c</errorID>
      <errorWord>"</errorWord>
      <group>L1_Format</group>
      <groupName>格式问题</groupName>
      <ability>L2_HalfPunc_CN</ability>
      <abilityName>全半角检查</abilityName>
      <candidateList>
        <item>“</item>
      </candidateList>
      <explain>文本全半角错误。</explain>
      <paraID>72B8EC74</paraID>
      <start>14</start>
      <end>15</end>
      <status>modified</status>
      <modifiedWord>“</modifiedWord>
      <trackRevisions>false</trackRevisions>
    </reviewItem>
    <reviewItem>
      <errorID>e71ca83e-67ad-408c-ac56-644a688f4c87</errorID>
      <errorWord>"</errorWord>
      <group>L1_Format</group>
      <groupName>格式问题</groupName>
      <ability>L2_HalfPunc_CN</ability>
      <abilityName>全半角检查</abilityName>
      <candidateList>
        <item>”</item>
      </candidateList>
      <explain>文本全半角错误。</explain>
      <paraID>72B8EC74</paraID>
      <start>19</start>
      <end>20</end>
      <status>modified</status>
      <modifiedWord>”</modifiedWord>
      <trackRevisions>false</trackRevisions>
    </reviewItem>
    <reviewItem>
      <errorID>83d22fa0-47fe-4552-8ecc-19e266ff6ff8</errorID>
      <errorWord>刷屏</errorWord>
      <group>L1_Official</group>
      <groupName>公文格式问题</groupName>
      <ability>L2_Official</ability>
      <abilityName>公文要素检查</abilityName>
      <candidateList/>
      <explain>公文中禁止出现该词语</explain>
      <paraID>4DB30D62</paraID>
      <start>20</start>
      <end>22</end>
      <status>ignored</status>
      <modifiedWord/>
      <trackRevisions>false</trackRevisions>
    </reviewItem>
    <reviewItem>
      <errorID>80179049-b50b-48b8-ae55-44263641263e</errorID>
      <errorWord>"</errorWord>
      <group>L1_Format</group>
      <groupName>格式问题</groupName>
      <ability>L2_HalfPunc_CN</ability>
      <abilityName>全半角检查</abilityName>
      <candidateList>
        <item>“</item>
      </candidateList>
      <explain>文本全半角错误。</explain>
      <paraID>1EF60022</paraID>
      <start>20</start>
      <end>21</end>
      <status>modified</status>
      <modifiedWord>“</modifiedWord>
      <trackRevisions>false</trackRevisions>
    </reviewItem>
    <reviewItem>
      <errorID>6be870ef-c090-4635-86fa-151e0c9ac8b7</errorID>
      <errorWord>"</errorWord>
      <group>L1_Format</group>
      <groupName>格式问题</groupName>
      <ability>L2_HalfPunc_CN</ability>
      <abilityName>全半角检查</abilityName>
      <candidateList>
        <item>”</item>
      </candidateList>
      <explain>文本全半角错误。</explain>
      <paraID>1EF60022</paraID>
      <start>30</start>
      <end>31</end>
      <status>modified</status>
      <modifiedWord>”</modifiedWord>
      <trackRevisions>false</trackRevisions>
    </reviewItem>
    <reviewItem>
      <errorID>31e790dd-07f1-43fc-ba81-da58d97482d2</errorID>
      <errorWord>"</errorWord>
      <group>L1_Format</group>
      <groupName>格式问题</groupName>
      <ability>L2_HalfPunc_CN</ability>
      <abilityName>全半角检查</abilityName>
      <candidateList>
        <item>“</item>
      </candidateList>
      <explain>文本全半角错误。</explain>
      <paraID>30F9E5EC</paraID>
      <start>24</start>
      <end>25</end>
      <status>modified</status>
      <modifiedWord>“</modifiedWord>
      <trackRevisions>false</trackRevisions>
    </reviewItem>
    <reviewItem>
      <errorID>cb78348a-f279-4f0b-a511-65087e2af7a7</errorID>
      <errorWord>"</errorWord>
      <group>L1_Format</group>
      <groupName>格式问题</groupName>
      <ability>L2_HalfPunc_CN</ability>
      <abilityName>全半角检查</abilityName>
      <candidateList>
        <item>”</item>
      </candidateList>
      <explain>文本全半角错误。</explain>
      <paraID>30F9E5EC</paraID>
      <start>32</start>
      <end>33</end>
      <status>modified</status>
      <modifiedWord>”</modifiedWord>
      <trackRevisions>false</trackRevisions>
    </reviewItem>
    <reviewItem>
      <errorID>333cc378-eb94-48f4-a758-aeb6ab12f40d</errorID>
      <errorWord>司</errorWord>
      <group>L1_Word</group>
      <groupName>字词问题</groupName>
      <ability>L2_Typo</ability>
      <abilityName>字词错误</abilityName>
      <candidateList>
        <item>司于</item>
      </candidateList>
      <explain/>
      <paraID>20ED752E</paraID>
      <start>1</start>
      <end>3</end>
      <status>modified</status>
      <modifiedWord>司于</modifiedWord>
      <trackRevisions>false</trackRevisions>
    </reviewItem>
    <reviewItem>
      <errorID>1a52a59e-7dcb-481b-9e5b-25ea3fc2bf6f</errorID>
      <errorWord>每</errorWord>
      <group>L1_Word</group>
      <groupName>字词问题</groupName>
      <ability>L2_Typo</ability>
      <abilityName>字词错误</abilityName>
      <candidateList>
        <item>每个</item>
      </candidateList>
      <explain/>
      <paraID>6B5C2531</paraID>
      <start>11</start>
      <end>13</end>
      <status>modified</status>
      <modifiedWord>每个</modifiedWord>
      <trackRevisions>false</trackRevisions>
    </reviewItem>
    <reviewItem>
      <errorID>2750ce1c-8aea-473c-8fde-30726754d4b2</errorID>
      <errorWord>MM</errorWord>
      <group>L1_Official</group>
      <groupName>公文格式问题</groupName>
      <ability>L2_Official</ability>
      <abilityName>公文要素检查</abilityName>
      <candidateList/>
      <explain>公文中禁止出现该词语</explain>
      <paraID>3E2BDB13</paraID>
      <start>13</start>
      <end>15</end>
      <status>ignored</status>
      <modifiedWord/>
      <trackRevisions>false</trackRevisions>
    </reviewItem>
    <reviewItem>
      <errorID>72ba178e-e317-470b-930d-e4d68113704c</errorID>
      <errorWord>"</errorWord>
      <group>L1_Format</group>
      <groupName>格式问题</groupName>
      <ability>L2_HalfPunc_CN</ability>
      <abilityName>全半角检查</abilityName>
      <candidateList>
        <item>“</item>
      </candidateList>
      <explain>文本全半角错误。</explain>
      <paraID> 7BDF507</paraID>
      <start>13</start>
      <end>14</end>
      <status>modified</status>
      <modifiedWord>“</modifiedWord>
      <trackRevisions>false</trackRevisions>
    </reviewItem>
    <reviewItem>
      <errorID>29c74cdc-0b9c-429a-aa73-80f4ac03ab21</errorID>
      <errorWord>"</errorWord>
      <group>L1_Format</group>
      <groupName>格式问题</groupName>
      <ability>L2_HalfPunc_CN</ability>
      <abilityName>全半角检查</abilityName>
      <candidateList>
        <item>”</item>
      </candidateList>
      <explain>文本全半角错误。</explain>
      <paraID> 7BDF507</paraID>
      <start>41</start>
      <end>42</end>
      <status>modified</status>
      <modifiedWord>”</modifiedWord>
      <trackRevisions>false</trackRevisions>
    </reviewItem>
    <reviewItem>
      <errorID>ea428bee-5998-49b6-a333-af41727db509</errorID>
      <errorWord>-</errorWord>
      <group>L1_Format</group>
      <groupName>格式问题</groupName>
      <ability>L2_HalfPunc_CN</ability>
      <abilityName>全半角检查</abilityName>
      <candidateList>
        <item>－</item>
      </candidateList>
      <explain>文本全半角错误。</explain>
      <paraID>4FD701A9</paraID>
      <start>4</start>
      <end>5</end>
      <status>modified</status>
      <modifiedWord>－</modifiedWord>
      <trackRevisions>false</trackRevisions>
    </reviewItem>
    <reviewItem>
      <errorID>03b80ca9-384c-4292-b82b-635c2b5c5986</errorID>
      <errorWord>湖南</errorWord>
      <group>L1_Political</group>
      <groupName>政治性问题</groupName>
      <ability>L2_Unpolitical</ability>
      <abilityName>政治敏感错误</abilityName>
      <candidateList/>
      <explain>省级行政单位不能与国家并列。</explain>
      <paraID> 39CA9CA</paraID>
      <start>21</start>
      <end>23</end>
      <status>ignored</status>
      <modifiedWord/>
      <trackRevisions>false</trackRevisions>
    </reviewItem>
    <reviewItem>
      <errorID>efc1fe85-c8dc-4eb8-a497-6813acbd2daf</errorID>
      <errorWord>"</errorWord>
      <group>L1_Format</group>
      <groupName>格式问题</groupName>
      <ability>L2_HalfPunc_CN</ability>
      <abilityName>全半角检查</abilityName>
      <candidateList>
        <item>“</item>
      </candidateList>
      <explain>文本全半角错误。</explain>
      <paraID>295EC885</paraID>
      <start>20</start>
      <end>21</end>
      <status>modified</status>
      <modifiedWord>“</modifiedWord>
      <trackRevisions>false</trackRevisions>
    </reviewItem>
    <reviewItem>
      <errorID>47c31745-1120-4ae7-8efa-41f7e49ae309</errorID>
      <errorWord>"</errorWord>
      <group>L1_Format</group>
      <groupName>格式问题</groupName>
      <ability>L2_HalfPunc_CN</ability>
      <abilityName>全半角检查</abilityName>
      <candidateList>
        <item>”</item>
      </candidateList>
      <explain>文本全半角错误。</explain>
      <paraID>295EC885</paraID>
      <start>28</start>
      <end>29</end>
      <status>modified</status>
      <modifiedWord>”</modifiedWord>
      <trackRevisions>false</trackRevisions>
    </reviewItem>
    <reviewItem>
      <errorID>edc64bdd-583c-4164-8d3f-2c1776068cdb</errorID>
      <errorWord>"</errorWord>
      <group>L1_Format</group>
      <groupName>格式问题</groupName>
      <ability>L2_HalfPunc_CN</ability>
      <abilityName>全半角检查</abilityName>
      <candidateList>
        <item>“</item>
      </candidateList>
      <explain>文本全半角错误。</explain>
      <paraID>295EC885</paraID>
      <start>31</start>
      <end>32</end>
      <status>modified</status>
      <modifiedWord>“</modifiedWord>
      <trackRevisions>false</trackRevisions>
    </reviewItem>
    <reviewItem>
      <errorID>68448e01-a28b-4347-b388-2e82fbc666cb</errorID>
      <errorWord>"</errorWord>
      <group>L1_Format</group>
      <groupName>格式问题</groupName>
      <ability>L2_HalfPunc_CN</ability>
      <abilityName>全半角检查</abilityName>
      <candidateList>
        <item>”</item>
      </candidateList>
      <explain>文本全半角错误。</explain>
      <paraID>295EC885</paraID>
      <start>40</start>
      <end>41</end>
      <status>modified</status>
      <modifiedWord>”</modifiedWord>
      <trackRevisions>false</trackRevisions>
    </reviewItem>
    <reviewItem>
      <errorID>f4b4d9af-a8d8-4484-9f73-7557f077b6b1</errorID>
      <errorWord>"</errorWord>
      <group>L1_Format</group>
      <groupName>格式问题</groupName>
      <ability>L2_HalfPunc_CN</ability>
      <abilityName>全半角检查</abilityName>
      <candidateList>
        <item>“</item>
      </candidateList>
      <explain>文本全半角错误。</explain>
      <paraID>295EC885</paraID>
      <start>47</start>
      <end>48</end>
      <status>modified</status>
      <modifiedWord>“</modifiedWord>
      <trackRevisions>false</trackRevisions>
    </reviewItem>
    <reviewItem>
      <errorID>01da9abe-ea3a-4f6f-ac0c-44073425edcc</errorID>
      <errorWord>"</errorWord>
      <group>L1_Format</group>
      <groupName>格式问题</groupName>
      <ability>L2_HalfPunc_CN</ability>
      <abilityName>全半角检查</abilityName>
      <candidateList>
        <item>”</item>
      </candidateList>
      <explain>文本全半角错误。</explain>
      <paraID>295EC885</paraID>
      <start>52</start>
      <end>53</end>
      <status>modified</status>
      <modifiedWord>”</modifiedWord>
      <trackRevisions>false</trackRevisions>
    </reviewItem>
    <reviewItem>
      <errorID>23bdeb4a-c3b4-4ed1-affe-817f871f2232</errorID>
      <errorWord>"</errorWord>
      <group>L1_Format</group>
      <groupName>格式问题</groupName>
      <ability>L2_HalfPunc_CN</ability>
      <abilityName>全半角检查</abilityName>
      <candidateList>
        <item>“</item>
      </candidateList>
      <explain>文本全半角错误。</explain>
      <paraID>295EC885</paraID>
      <start>55</start>
      <end>56</end>
      <status>modified</status>
      <modifiedWord>“</modifiedWord>
      <trackRevisions>false</trackRevisions>
    </reviewItem>
    <reviewItem>
      <errorID>498af4b0-c29e-4255-badb-c95f991ab700</errorID>
      <errorWord>"</errorWord>
      <group>L1_Format</group>
      <groupName>格式问题</groupName>
      <ability>L2_HalfPunc_CN</ability>
      <abilityName>全半角检查</abilityName>
      <candidateList>
        <item>”</item>
      </candidateList>
      <explain>文本全半角错误。</explain>
      <paraID>295EC885</paraID>
      <start>65</start>
      <end>66</end>
      <status>modified</status>
      <modifiedWord>”</modifiedWord>
      <trackRevisions>false</trackRevisions>
    </reviewItem>
    <reviewItem>
      <errorID>454f339e-66d8-4ab3-be0e-1e44f7a2994a</errorID>
      <errorWord>"</errorWord>
      <group>L1_Format</group>
      <groupName>格式问题</groupName>
      <ability>L2_HalfPunc_CN</ability>
      <abilityName>全半角检查</abilityName>
      <candidateList>
        <item>“</item>
      </candidateList>
      <explain>文本全半角错误。</explain>
      <paraID>295EC885</paraID>
      <start>72</start>
      <end>73</end>
      <status>modified</status>
      <modifiedWord>“</modifiedWord>
      <trackRevisions>false</trackRevisions>
    </reviewItem>
    <reviewItem>
      <errorID>3d6afdf5-ea21-4c58-b0fe-1216928635c5</errorID>
      <errorWord>"</errorWord>
      <group>L1_Format</group>
      <groupName>格式问题</groupName>
      <ability>L2_HalfPunc_CN</ability>
      <abilityName>全半角检查</abilityName>
      <candidateList>
        <item>”</item>
      </candidateList>
      <explain>文本全半角错误。</explain>
      <paraID>295EC885</paraID>
      <start>78</start>
      <end>79</end>
      <status>modified</status>
      <modifiedWord>”</modifiedWord>
      <trackRevisions>false</trackRevisions>
    </reviewItem>
    <reviewItem>
      <errorID>6d83ba8d-e984-435f-ab55-265f5ceadb16</errorID>
      <errorWord>"</errorWord>
      <group>L1_Format</group>
      <groupName>格式问题</groupName>
      <ability>L2_HalfPunc_CN</ability>
      <abilityName>全半角检查</abilityName>
      <candidateList>
        <item>“</item>
      </candidateList>
      <explain>文本全半角错误。</explain>
      <paraID>295EC885</paraID>
      <start>81</start>
      <end>82</end>
      <status>modified</status>
      <modifiedWord>“</modifiedWord>
      <trackRevisions>false</trackRevisions>
    </reviewItem>
    <reviewItem>
      <errorID>1873f0c4-b4fe-4972-bf93-19826e0f228b</errorID>
      <errorWord>"</errorWord>
      <group>L1_Format</group>
      <groupName>格式问题</groupName>
      <ability>L2_HalfPunc_CN</ability>
      <abilityName>全半角检查</abilityName>
      <candidateList>
        <item>”</item>
      </candidateList>
      <explain>文本全半角错误。</explain>
      <paraID>295EC885</paraID>
      <start>92</start>
      <end>93</end>
      <status>modified</status>
      <modifiedWord>”</modifiedWord>
      <trackRevisions>false</trackRevisions>
    </reviewItem>
    <reviewItem>
      <errorID>df69e1df-ce0c-4d5c-9bcc-ac8f7adee3ac</errorID>
      <errorWord>"</errorWord>
      <group>L1_Format</group>
      <groupName>格式问题</groupName>
      <ability>L2_HalfPunc_CN</ability>
      <abilityName>全半角检查</abilityName>
      <candidateList>
        <item>“</item>
      </candidateList>
      <explain>文本全半角错误。</explain>
      <paraID>4738459E</paraID>
      <start>34</start>
      <end>35</end>
      <status>modified</status>
      <modifiedWord>“</modifiedWord>
      <trackRevisions>false</trackRevisions>
    </reviewItem>
    <reviewItem>
      <errorID>8245cbe6-399d-45cb-8941-0b9d9d744960</errorID>
      <errorWord>"</errorWord>
      <group>L1_Format</group>
      <groupName>格式问题</groupName>
      <ability>L2_HalfPunc_CN</ability>
      <abilityName>全半角检查</abilityName>
      <candidateList>
        <item>”</item>
      </candidateList>
      <explain>文本全半角错误。</explain>
      <paraID>4738459E</paraID>
      <start>39</start>
      <end>40</end>
      <status>modified</status>
      <modifiedWord>”</modifiedWord>
      <trackRevisions>false</trackRevisions>
    </reviewItem>
    <reviewItem>
      <errorID>110de274-fecd-4f33-a92a-353b4929889c</errorID>
      <errorWord>"</errorWord>
      <group>L1_Format</group>
      <groupName>格式问题</groupName>
      <ability>L2_HalfPunc_CN</ability>
      <abilityName>全半角检查</abilityName>
      <candidateList>
        <item>“</item>
      </candidateList>
      <explain>文本全半角错误。</explain>
      <paraID>4738459E</paraID>
      <start>43</start>
      <end>44</end>
      <status>modified</status>
      <modifiedWord>“</modifiedWord>
      <trackRevisions>false</trackRevisions>
    </reviewItem>
    <reviewItem>
      <errorID>bbcae8b4-bf7f-4325-9a3e-95a2e3519dcb</errorID>
      <errorWord>"</errorWord>
      <group>L1_Format</group>
      <groupName>格式问题</groupName>
      <ability>L2_HalfPunc_CN</ability>
      <abilityName>全半角检查</abilityName>
      <candidateList>
        <item>”</item>
      </candidateList>
      <explain>文本全半角错误。</explain>
      <paraID>4738459E</paraID>
      <start>48</start>
      <end>49</end>
      <status>modified</status>
      <modifiedWord>”</modifiedWord>
      <trackRevisions>false</trackRevisions>
    </reviewItem>
    <reviewItem>
      <errorID>d7499a06-cb41-4726-8c38-e86b5c777f7d</errorID>
      <errorWord>"</errorWord>
      <group>L1_Format</group>
      <groupName>格式问题</groupName>
      <ability>L2_HalfPunc_CN</ability>
      <abilityName>全半角检查</abilityName>
      <candidateList>
        <item>“</item>
      </candidateList>
      <explain>文本全半角错误。</explain>
      <paraID>4380BD31</paraID>
      <start>7</start>
      <end>8</end>
      <status>modified</status>
      <modifiedWord>“</modifiedWord>
      <trackRevisions>false</trackRevisions>
    </reviewItem>
    <reviewItem>
      <errorID>dad4f7d6-cffc-40d9-a44a-468caf844b5b</errorID>
      <errorWord>"</errorWord>
      <group>L1_Format</group>
      <groupName>格式问题</groupName>
      <ability>L2_HalfPunc_CN</ability>
      <abilityName>全半角检查</abilityName>
      <candidateList>
        <item>”</item>
      </candidateList>
      <explain>文本全半角错误。</explain>
      <paraID>4380BD31</paraID>
      <start>16</start>
      <end>17</end>
      <status>modified</status>
      <modifiedWord>”</modifiedWord>
      <trackRevisions>false</trackRevisions>
    </reviewItem>
    <reviewItem>
      <errorID>6fd383ca-94ea-4842-aca1-adf2f73c2c9a</errorID>
      <errorWord>-</errorWord>
      <group>L1_Format</group>
      <groupName>格式问题</groupName>
      <ability>L2_HalfPunc_CN</ability>
      <abilityName>全半角检查</abilityName>
      <candidateList>
        <item>－</item>
      </candidateList>
      <explain>文本全半角错误。</explain>
      <paraID> C4DF53B</paraID>
      <start>4</start>
      <end>5</end>
      <status>modified</status>
      <modifiedWord>－</modifiedWord>
      <trackRevisions>false</trackRevisions>
    </reviewItem>
    <reviewItem>
      <errorID>d2dc8d88-ecc7-4f16-91ef-ff86cfaa9322</errorID>
      <errorWord>亟需</errorWord>
      <group>L1_Word</group>
      <groupName>字词问题</groupName>
      <ability>L2_Typo</ability>
      <abilityName>字词错误</abilityName>
      <candidateList>
        <item>亟须</item>
      </candidateList>
      <explain>存在发音相同字词的误用。</explain>
      <paraID>3E5F1AD3</paraID>
      <start>104</start>
      <end>106</end>
      <status>modified</status>
      <modifiedWord>亟须</modifiedWord>
      <trackRevisions>false</trackRevisions>
    </reviewItem>
    <reviewItem>
      <errorID>fc1863a5-e097-40ec-80e0-59cd71499a3c</errorID>
      <errorWord>到</errorWord>
      <group>L1_Word</group>
      <groupName>字词问题</groupName>
      <ability>L2_Typo</ability>
      <abilityName>字词错误</abilityName>
      <candidateList>
        <item>至</item>
      </candidateList>
      <explain>存在字形相近字词的误用。</explain>
      <paraID>721A12AB</paraID>
      <start>46</start>
      <end>47</end>
      <status>modified</status>
      <modifiedWord>至</modifiedWord>
      <trackRevisions>false</trackRevisions>
    </reviewItem>
    <reviewItem>
      <errorID>557f8e28-5443-4baf-a33f-f3c62d9edfab</errorID>
      <errorWord>"</errorWord>
      <group>L1_Format</group>
      <groupName>格式问题</groupName>
      <ability>L2_HalfPunc_CN</ability>
      <abilityName>全半角检查</abilityName>
      <candidateList>
        <item>“</item>
      </candidateList>
      <explain>文本全半角错误。</explain>
      <paraID>6CED418A</paraID>
      <start>15</start>
      <end>16</end>
      <status>modified</status>
      <modifiedWord>“</modifiedWord>
      <trackRevisions>false</trackRevisions>
    </reviewItem>
    <reviewItem>
      <errorID>8c059c37-2a32-43b5-a718-e8891ca1a1fe</errorID>
      <errorWord>"</errorWord>
      <group>L1_Format</group>
      <groupName>格式问题</groupName>
      <ability>L2_HalfPunc_CN</ability>
      <abilityName>全半角检查</abilityName>
      <candidateList>
        <item>”</item>
      </candidateList>
      <explain>文本全半角错误。</explain>
      <paraID>6CED418A</paraID>
      <start>23</start>
      <end>24</end>
      <status>modified</status>
      <modifiedWord>”</modifiedWord>
      <trackRevisions>false</trackRevisions>
    </reviewItem>
    <reviewItem>
      <errorID>b5b72133-8867-442d-9962-61cd9794148c</errorID>
      <errorWord>"</errorWord>
      <group>L1_Format</group>
      <groupName>格式问题</groupName>
      <ability>L2_HalfPunc_CN</ability>
      <abilityName>全半角检查</abilityName>
      <candidateList>
        <item>“</item>
      </candidateList>
      <explain>文本全半角错误。</explain>
      <paraID>6CED418A</paraID>
      <start>67</start>
      <end>68</end>
      <status>modified</status>
      <modifiedWord>“</modifiedWord>
      <trackRevisions>false</trackRevisions>
    </reviewItem>
    <reviewItem>
      <errorID>e7c597a0-c1a8-43c3-ba3b-f593a502377d</errorID>
      <errorWord>"</errorWord>
      <group>L1_Format</group>
      <groupName>格式问题</groupName>
      <ability>L2_HalfPunc_CN</ability>
      <abilityName>全半角检查</abilityName>
      <candidateList>
        <item>”</item>
      </candidateList>
      <explain>文本全半角错误。</explain>
      <paraID>6CED418A</paraID>
      <start>96</start>
      <end>97</end>
      <status>modified</status>
      <modifiedWord>”</modifiedWord>
      <trackRevisions>false</trackRevisions>
    </reviewItem>
    <reviewItem>
      <errorID>f60aced4-d49d-4683-b7b8-99fa705dd28b</errorID>
      <errorWord>国家绿色工厂</errorWord>
      <group>L1_Political</group>
      <groupName>政治性问题</groupName>
      <ability>L2_Keyword</ability>
      <abilityName>固定表述</abilityName>
      <candidateList>
        <item>国家级绿色工厂</item>
      </candidateList>
      <explain>词汇“国家级绿色工厂”在特定场景下为固定表述形式，请确认此处的“国家绿色工厂”是否存在不当。</explain>
      <paraID> C1AE673</paraID>
      <start>325</start>
      <end>332</end>
      <status>modified</status>
      <modifiedWord>国家级绿色工厂</modifiedWord>
      <trackRevisions>false</trackRevisions>
    </reviewItem>
    <reviewItem>
      <errorID>7304403d-16fc-4599-b404-30b89bb03681</errorID>
      <errorWord>-</errorWord>
      <group>L1_Format</group>
      <groupName>格式问题</groupName>
      <ability>L2_HalfPunc_CN</ability>
      <abilityName>全半角检查</abilityName>
      <candidateList>
        <item>－</item>
      </candidateList>
      <explain>文本全半角错误。</explain>
      <paraID> C1AE673</paraID>
      <start>374</start>
      <end>375</end>
      <status>modified</status>
      <modifiedWord>－</modifiedWord>
      <trackRevisions>false</trackRevisions>
    </reviewItem>
    <reviewItem>
      <errorID>3d659c57-aa21-408d-ab55-ebfdef1cc837</errorID>
      <errorWord>：</errorWord>
      <group>L1_Format</group>
      <groupName>格式问题</groupName>
      <ability>L2_HalfPunc_CN</ability>
      <abilityName>全半角检查</abilityName>
      <candidateList>
        <item>:</item>
      </candidateList>
      <explain>文本全半角错误。</explain>
      <paraID>7B03B5B5</paraID>
      <start>42</start>
      <end>43</end>
      <status>modified</status>
      <modifiedWord>:</modifiedWord>
      <trackRevisions>false</trackRevisions>
    </reviewItem>
    <reviewItem>
      <errorID>7f88362e-9377-4465-ab24-802af57648bf</errorID>
      <errorWord>：</errorWord>
      <group>L1_Format</group>
      <groupName>格式问题</groupName>
      <ability>L2_HalfPunc_CN</ability>
      <abilityName>全半角检查</abilityName>
      <candidateList>
        <item>:</item>
      </candidateList>
      <explain>文本全半角错误。</explain>
      <paraID>7B03B5B5</paraID>
      <start>46</start>
      <end>47</end>
      <status>modified</status>
      <modifiedWord>:</modifiedWord>
      <trackRevisions>false</trackRevisions>
    </reviewItem>
    <reviewItem>
      <errorID>7c913327-d00f-4931-aef6-ae8c2a694ebb</errorID>
      <errorWord>有点</errorWord>
      <group>L1_Word</group>
      <groupName>字词问题</groupName>
      <ability>L2_Typo</ability>
      <abilityName>字词错误</abilityName>
      <candidateList>
        <item>优点</item>
      </candidateList>
      <explain/>
      <paraID>66EC4260</paraID>
      <start>96</start>
      <end>98</end>
      <status>modified</status>
      <modifiedWord>优点</modifiedWord>
      <trackRevisions>false</trackRevisions>
    </reviewItem>
    <reviewItem>
      <errorID>99e14780-676a-41c1-9478-a17a6f3f30a3</errorID>
      <errorWord>智能家具</errorWord>
      <group>L1_Political</group>
      <groupName>政治性问题</groupName>
      <ability>L2_Keyword</ability>
      <abilityName>固定表述</abilityName>
      <candidateList>
        <item>智能家居</item>
      </candidateList>
      <explain>词汇“智能家居”在特定场景下为固定表述形式，请确认此处的“智能家具”是否存在不当。</explain>
      <paraID>66EC4260</paraID>
      <start>170</start>
      <end>174</end>
      <status>modified</status>
      <modifiedWord>智能家居</modifiedWord>
      <trackRevisions>false</trackRevisions>
    </reviewItem>
    <reviewItem>
      <errorID>16f48dae-08f7-4601-b431-59c3e0f1c828</errorID>
      <errorWord>，</errorWord>
      <group>L1_Word</group>
      <groupName>字词问题</groupName>
      <ability>L2_Typo</ability>
      <abilityName>字词错误</abilityName>
      <candidateList>
        <item>，有</item>
      </candidateList>
      <explain/>
      <paraID>6757779F</paraID>
      <start>30</start>
      <end>32</end>
      <status>modified</status>
      <modifiedWord>，有</modifiedWord>
      <trackRevisions>false</trackRevisions>
    </reviewItem>
    <reviewItem>
      <errorID>7d56976d-31bd-40c2-8fd1-072f1a73d2f5</errorID>
      <errorWord>(</errorWord>
      <group>L1_Format</group>
      <groupName>格式问题</groupName>
      <ability>L2_HalfPunc_CN</ability>
      <abilityName>全半角检查</abilityName>
      <candidateList>
        <item>（</item>
      </candidateList>
      <explain>文本全半角错误。</explain>
      <paraID>404D690D</paraID>
      <start>150</start>
      <end>151</end>
      <status>modified</status>
      <modifiedWord>（</modifiedWord>
      <trackRevisions>false</trackRevisions>
    </reviewItem>
    <reviewItem>
      <errorID>174c2188-6575-4a51-936c-f6a6818f9de8</errorID>
      <errorWord>)</errorWord>
      <group>L1_Format</group>
      <groupName>格式问题</groupName>
      <ability>L2_HalfPunc_CN</ability>
      <abilityName>全半角检查</abilityName>
      <candidateList>
        <item>）</item>
      </candidateList>
      <explain>文本全半角错误。</explain>
      <paraID>404D690D</paraID>
      <start>155</start>
      <end>156</end>
      <status>modified</status>
      <modifiedWord>）</modifiedWord>
      <trackRevisions>false</trackRevisions>
    </reviewItem>
    <reviewItem>
      <errorID>68243f50-5431-49f4-8f6b-a49e19ef1f1a</errorID>
      <errorWord>,</errorWord>
      <group>L1_Format</group>
      <groupName>格式问题</groupName>
      <ability>L2_HalfPunc_CN</ability>
      <abilityName>全半角检查</abilityName>
      <candidateList>
        <item>，</item>
      </candidateList>
      <explain>文本全半角错误。</explain>
      <paraID>404D690D</paraID>
      <start>183</start>
      <end>184</end>
      <status>modified</status>
      <modifiedWord>，</modifiedWord>
      <trackRevisions>false</trackRevisions>
    </reviewItem>
    <reviewItem>
      <errorID>bb9a947a-5198-4ef5-9fae-39f97fe6a568</errorID>
      <errorWord>、等</errorWord>
      <group>L1_Punc</group>
      <groupName>标点问题</groupName>
      <ability>L2_Punc_CN</ability>
      <abilityName>标点符号检查</abilityName>
      <candidateList>
        <item>等</item>
      </candidateList>
      <explain>“及”“和”“等”连词前不宜使用顿号，建议删除（或使用逗号）。</explain>
      <paraID>39A4CF38</paraID>
      <start>66</start>
      <end>67</end>
      <status>modified</status>
      <modifiedWord>等</modifiedWord>
      <trackRevisions>false</trackRevisions>
    </reviewItem>
    <reviewItem>
      <errorID>2f8984eb-9cc0-47f1-bb1b-15657eff2967</errorID>
      <errorWord>"</errorWord>
      <group>L1_Format</group>
      <groupName>格式问题</groupName>
      <ability>L2_HalfPunc_CN</ability>
      <abilityName>全半角检查</abilityName>
      <candidateList>
        <item>“</item>
      </candidateList>
      <explain>文本全半角错误。</explain>
      <paraID>1F1B4B9A</paraID>
      <start>74</start>
      <end>75</end>
      <status>modified</status>
      <modifiedWord>“</modifiedWord>
      <trackRevisions>false</trackRevisions>
    </reviewItem>
    <reviewItem>
      <errorID>c3a3f90b-c610-4434-8cc9-f42fa3d4e833</errorID>
      <errorWord>"</errorWord>
      <group>L1_Format</group>
      <groupName>格式问题</groupName>
      <ability>L2_HalfPunc_CN</ability>
      <abilityName>全半角检查</abilityName>
      <candidateList>
        <item>”</item>
      </candidateList>
      <explain>文本全半角错误。</explain>
      <paraID>1F1B4B9A</paraID>
      <start>79</start>
      <end>80</end>
      <status>modified</status>
      <modifiedWord>”</modifiedWord>
      <trackRevisions>false</trackRevisions>
    </reviewItem>
    <reviewItem>
      <errorID>de0a95ab-502e-4803-9f49-b7a5c1857289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201034A8</paraID>
      <start>0</start>
      <end>2</end>
      <status>modified</status>
      <modifiedWord>2.</modifiedWord>
      <trackRevisions>false</trackRevisions>
    </reviewItem>
    <reviewItem>
      <errorID>f5ced030-fc87-4afb-a34d-c34de99cd727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46BB2C0D</paraID>
      <start>0</start>
      <end>2</end>
      <status>modified</status>
      <modifiedWord>3.</modifiedWord>
      <trackRevisions>false</trackRevisions>
    </reviewItem>
    <reviewItem>
      <errorID>e0346949-0574-4a81-a571-2132520d9f8b</errorID>
      <errorWord>降</errorWord>
      <group>L1_Word</group>
      <groupName>字词问题</groupName>
      <ability>L2_Typo</ability>
      <abilityName>字词错误</abilityName>
      <candidateList>
        <item>降至</item>
      </candidateList>
      <explain/>
      <paraID>46BB2C0D</paraID>
      <start>231</start>
      <end>233</end>
      <status>modified</status>
      <modifiedWord>降至</modifiedWord>
      <trackRevisions>false</trackRevisions>
    </reviewItem>
    <reviewItem>
      <errorID>af3691aa-2b68-447e-a284-9ffe7ba71aaa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9F8F009</paraID>
      <start>0</start>
      <end>2</end>
      <status>modified</status>
      <modifiedWord>4.</modifiedWord>
      <trackRevisions>false</trackRevisions>
    </reviewItem>
    <reviewItem>
      <errorID>2d64f1c6-af4f-40c3-8142-e7d177ec1155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5E438EDF</paraID>
      <start>0</start>
      <end>2</end>
      <status>modified</status>
      <modifiedWord>1.</modifiedWord>
      <trackRevisions>false</trackRevisions>
    </reviewItem>
    <reviewItem>
      <errorID>2e035c79-36c5-45d6-9861-cf6dd4dc16ad</errorID>
      <errorWord>；</errorWord>
      <group>L1_Word</group>
      <groupName>字词问题</groupName>
      <ability>L2_Typo</ability>
      <abilityName>字词错误</abilityName>
      <candidateList>
        <item>；以</item>
      </candidateList>
      <explain/>
      <paraID>25EEF129</paraID>
      <start>41</start>
      <end>43</end>
      <status>modified</status>
      <modifiedWord>；以</modifiedWord>
      <trackRevisions>false</trackRevisions>
    </reviewItem>
    <reviewItem>
      <errorID>890795b9-ba04-40d2-a990-a4141474ad43</errorID>
      <errorWord>,</errorWord>
      <group>L1_Format</group>
      <groupName>格式问题</groupName>
      <ability>L2_HalfPunc_CN</ability>
      <abilityName>全半角检查</abilityName>
      <candidateList>
        <item>，</item>
      </candidateList>
      <explain>文本全半角错误。</explain>
      <paraID>25EEF129</paraID>
      <start>90</start>
      <end>91</end>
      <status>modified</status>
      <modifiedWord>，</modifiedWord>
      <trackRevisions>false</trackRevisions>
    </reviewItem>
    <reviewItem>
      <errorID>bb44feb4-26a1-44b9-aa1c-4ae6569d3d9c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57E86038</paraID>
      <start>0</start>
      <end>2</end>
      <status>modified</status>
      <modifiedWord>2.</modifiedWord>
      <trackRevisions>false</trackRevisions>
    </reviewItem>
    <reviewItem>
      <errorID>f6e80111-08e6-4eea-8a55-e7bc00f19428</errorID>
      <errorWord>20-30万</errorWord>
      <group>L1_Knowledge</group>
      <groupName>知识性问题</groupName>
      <ability>L2_Knowledge</ability>
      <abilityName>其他知识</abilityName>
      <candidateList>
        <item>20万—30万</item>
      </candidateList>
      <explain>1. “20-30万”中的单位“万”仅出现在后一个数字上，容易引起歧义；根据《现代汉语标点符号数字用法规范手册》，数字表示范围两边需要使用统一的格式。2.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7E71029C</paraID>
      <start>59</start>
      <end>66</end>
      <status>modified</status>
      <modifiedWord>20万—30万</modifiedWord>
      <trackRevisions>false</trackRevisions>
    </reviewItem>
    <reviewItem>
      <errorID>34d52f82-87a0-4344-8459-dd67019b0fa6</errorID>
      <errorWord>大</errorWord>
      <group>L1_Word</group>
      <groupName>字词问题</groupName>
      <ability>L2_Typo</ability>
      <abilityName>字词错误</abilityName>
      <candidateList>
        <item>大地</item>
      </candidateList>
      <explain/>
      <paraID>6E76FCDF</paraID>
      <start>9</start>
      <end>11</end>
      <status>modified</status>
      <modifiedWord>大地</modifiedWord>
      <trackRevisions>false</trackRevisions>
    </reviewItem>
    <reviewItem>
      <errorID>64455252-289b-4c71-9bd9-41b4688f8b5c</errorID>
      <errorWord>坐席</errorWord>
      <group>L1_Word</group>
      <groupName>字词问题</groupName>
      <ability>L2_Alias</ability>
      <abilityName>也作/曾用词</abilityName>
      <candidateList>
        <item>座席</item>
      </candidateList>
      <explain>词汇[坐席]为不规范表述或旧称，其规范书面表述为[座席]。</explain>
      <paraID>168A6262</paraID>
      <start>8</start>
      <end>10</end>
      <status>modified</status>
      <modifiedWord>座席</modifiedWord>
      <trackRevisions>false</trackRevisions>
    </reviewItem>
    <reviewItem>
      <errorID>40153fbc-33db-47b9-a463-ddfd79e33f38</errorID>
      <errorWord>坐席</errorWord>
      <group>L1_Word</group>
      <groupName>字词问题</groupName>
      <ability>L2_Alias</ability>
      <abilityName>也作/曾用词</abilityName>
      <candidateList>
        <item>座席</item>
      </candidateList>
      <explain>词汇[坐席]为不规范表述或旧称，其规范书面表述为[座席]。</explain>
      <paraID> 2D330B8</paraID>
      <start>10</start>
      <end>12</end>
      <status>modified</status>
      <modifiedWord>座席</modifiedWord>
      <trackRevisions>false</trackRevisions>
    </reviewItem>
    <reviewItem>
      <errorID>e7e14ae3-20dd-48fe-87de-284886829587</errorID>
      <errorWord>坐席</errorWord>
      <group>L1_Word</group>
      <groupName>字词问题</groupName>
      <ability>L2_Alias</ability>
      <abilityName>也作/曾用词</abilityName>
      <candidateList>
        <item>座席</item>
      </candidateList>
      <explain>词汇[坐席]为不规范表述或旧称，其规范书面表述为[座席]。</explain>
      <paraID>717D0D42</paraID>
      <start>64</start>
      <end>66</end>
      <status>modified</status>
      <modifiedWord>座席</modifiedWord>
      <trackRevisions>false</trackRevisions>
    </reviewItem>
    <reviewItem>
      <errorID>0998e69e-e424-47c0-a864-f53b66787fd9</errorID>
      <errorWord>婴幼儿保育</errorWord>
      <group>L1_Political</group>
      <groupName>政治性问题</groupName>
      <ability>L2_Keyword</ability>
      <abilityName>固定表述</abilityName>
      <candidateList>
        <item>婴幼儿托育</item>
      </candidateList>
      <explain>词汇“婴幼儿托育”在特定场景下为固定表述形式，请确认此处的“婴幼儿保育”是否存在不当。</explain>
      <paraID>16E3BD6B</paraID>
      <start>92</start>
      <end>97</end>
      <status>modified</status>
      <modifiedWord>婴幼儿托育</modifiedWord>
      <trackRevisions>false</trackRevisions>
    </reviewItem>
    <reviewItem>
      <errorID>2792e59c-f1cd-46b6-963c-e4be400c836b</errorID>
      <errorWord>YOLO</errorWord>
      <group>L1_Official</group>
      <groupName>公文格式问题</groupName>
      <ability>L2_Official</ability>
      <abilityName>公文要素检查</abilityName>
      <candidateList/>
      <explain>公文中禁止出现该词语</explain>
      <paraID> 4B81DD8</paraID>
      <start>51</start>
      <end>55</end>
      <status>ignored</status>
      <modifiedWord/>
      <trackRevisions>false</trackRevisions>
    </reviewItem>
    <reviewItem>
      <errorID>e0ef9783-5bd4-4b52-8781-38831cd3d25b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2DF693FF</paraID>
      <start>0</start>
      <end>2</end>
      <status>modified</status>
      <modifiedWord>1.</modifiedWord>
      <trackRevisions>false</trackRevisions>
    </reviewItem>
    <reviewItem>
      <errorID>c5c96373-fcd7-453d-a166-92b66966068a</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4E62E033</paraID>
      <start>0</start>
      <end>2</end>
      <status>modified</status>
      <modifiedWord>a.</modifiedWord>
      <trackRevisions>false</trackRevisions>
    </reviewItem>
    <reviewItem>
      <errorID>20c63c03-f936-4897-9d40-208ab9b8ada8</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586B4D76</paraID>
      <start>0</start>
      <end>2</end>
      <status>modified</status>
      <modifiedWord>b.</modifiedWord>
      <trackRevisions>false</trackRevisions>
    </reviewItem>
    <reviewItem>
      <errorID>f67732cf-0d55-421e-9d72-133f4a520656</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7EBFC90F</paraID>
      <start>0</start>
      <end>2</end>
      <status>modified</status>
      <modifiedWord>c.</modifiedWord>
      <trackRevisions>false</trackRevisions>
    </reviewItem>
    <reviewItem>
      <errorID>8ac838a6-88bb-4f1d-898f-7ee29fa245e8</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F91944E</paraID>
      <start>0</start>
      <end>2</end>
      <status>modified</status>
      <modifiedWord>d.</modifiedWord>
      <trackRevisions>false</trackRevisions>
    </reviewItem>
    <reviewItem>
      <errorID>0b989541-2dec-455d-9f20-4435d82a2de8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4B835CFD</paraID>
      <start>0</start>
      <end>2</end>
      <status>modified</status>
      <modifiedWord>2.</modifiedWord>
      <trackRevisions>false</trackRevisions>
    </reviewItem>
    <reviewItem>
      <errorID>56436406-b608-4bd6-b8f4-bab72ed8fba8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566555DD</paraID>
      <start>0</start>
      <end>2</end>
      <status>modified</status>
      <modifiedWord>3.</modifiedWord>
      <trackRevisions>false</trackRevisions>
    </reviewItem>
    <reviewItem>
      <errorID>a6c6f17e-e3d2-42f9-9f9c-802da5a8d9ff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326D7E8B</paraID>
      <start>0</start>
      <end>2</end>
      <status>modified</status>
      <modifiedWord>4.</modifiedWord>
      <trackRevisions>false</trackRevisions>
    </reviewItem>
    <reviewItem>
      <errorID>84fd3a66-9fcf-44ee-bafd-81448c496c8d</errorID>
      <errorWord>"</errorWord>
      <group>L1_Format</group>
      <groupName>格式问题</groupName>
      <ability>L2_HalfPunc_CN</ability>
      <abilityName>全半角检查</abilityName>
      <candidateList>
        <item>“</item>
      </candidateList>
      <explain>文本全半角错误。</explain>
      <paraID>17275635</paraID>
      <start>228</start>
      <end>229</end>
      <status>modified</status>
      <modifiedWord>“</modifiedWord>
      <trackRevisions>false</trackRevisions>
    </reviewItem>
    <reviewItem>
      <errorID>1c4c4f78-f235-4a8e-8a45-b01e069d9f07</errorID>
      <errorWord>"</errorWord>
      <group>L1_Format</group>
      <groupName>格式问题</groupName>
      <ability>L2_HalfPunc_CN</ability>
      <abilityName>全半角检查</abilityName>
      <candidateList>
        <item>”</item>
      </candidateList>
      <explain>文本全半角错误。</explain>
      <paraID>17275635</paraID>
      <start>234</start>
      <end>235</end>
      <status>modified</status>
      <modifiedWord>”</modifiedWord>
      <trackRevisions>false</trackRevisions>
    </reviewItem>
    <reviewItem>
      <errorID>1183c47e-7c79-4a62-be90-6dbf3b89cba3</errorID>
      <errorWord>"</errorWord>
      <group>L1_Format</group>
      <groupName>格式问题</groupName>
      <ability>L2_HalfPunc_CN</ability>
      <abilityName>全半角检查</abilityName>
      <candidateList>
        <item>“</item>
      </candidateList>
      <explain>文本全半角错误。</explain>
      <paraID> 4336FC9</paraID>
      <start>89</start>
      <end>90</end>
      <status>modified</status>
      <modifiedWord>“</modifiedWord>
      <trackRevisions>false</trackRevisions>
    </reviewItem>
    <reviewItem>
      <errorID>054c1c2a-e2f8-4c41-abce-a58c76529a86</errorID>
      <errorWord>一做就废</errorWord>
      <group>L1_Official</group>
      <groupName>公文格式问题</groupName>
      <ability>L2_Official</ability>
      <abilityName>公文要素检查</abilityName>
      <candidateList/>
      <explain>公文中禁止出现该词语</explain>
      <paraID> 4336FC9</paraID>
      <start>95</start>
      <end>99</end>
      <status>ignored</status>
      <modifiedWord/>
      <trackRevisions>false</trackRevisions>
    </reviewItem>
    <reviewItem>
      <errorID>200a538f-02bf-4d50-945d-f5c36e8c890e</errorID>
      <errorWord>"</errorWord>
      <group>L1_Format</group>
      <groupName>格式问题</groupName>
      <ability>L2_HalfPunc_CN</ability>
      <abilityName>全半角检查</abilityName>
      <candidateList>
        <item>”</item>
      </candidateList>
      <explain>文本全半角错误。</explain>
      <paraID> 4336FC9</paraID>
      <start>99</start>
      <end>100</end>
      <status>modified</status>
      <modifiedWord>”</modifiedWord>
      <trackRevisions>false</trackRevisions>
    </reviewItem>
    <reviewItem>
      <errorID>b1936680-0928-40e9-9716-bea0a80fbfc4</errorID>
      <errorWord>"</errorWord>
      <group>L1_Format</group>
      <groupName>格式问题</groupName>
      <ability>L2_HalfPunc_CN</ability>
      <abilityName>全半角检查</abilityName>
      <candidateList>
        <item>“</item>
      </candidateList>
      <explain>文本全半角错误。</explain>
      <paraID> D276F37</paraID>
      <start>8</start>
      <end>9</end>
      <status>modified</status>
      <modifiedWord>“</modifiedWord>
      <trackRevisions>false</trackRevisions>
    </reviewItem>
    <reviewItem>
      <errorID>b3e7d4ba-40ce-4c7b-8040-e9432919122c</errorID>
      <errorWord>"</errorWord>
      <group>L1_Format</group>
      <groupName>格式问题</groupName>
      <ability>L2_HalfPunc_CN</ability>
      <abilityName>全半角检查</abilityName>
      <candidateList>
        <item>”</item>
      </candidateList>
      <explain>文本全半角错误。</explain>
      <paraID> D276F37</paraID>
      <start>23</start>
      <end>24</end>
      <status>modified</status>
      <modifiedWord>”</modifiedWord>
      <trackRevisions>false</trackRevisions>
    </reviewItem>
    <reviewItem>
      <errorID>fcf7280a-410f-45c4-8734-168898b48da9</errorID>
      <errorWord>"</errorWord>
      <group>L1_Format</group>
      <groupName>格式问题</groupName>
      <ability>L2_HalfPunc_CN</ability>
      <abilityName>全半角检查</abilityName>
      <candidateList>
        <item>“</item>
      </candidateList>
      <explain>文本全半角错误。</explain>
      <paraID> D276F37</paraID>
      <start>90</start>
      <end>91</end>
      <status>modified</status>
      <modifiedWord>“</modifiedWord>
      <trackRevisions>false</trackRevisions>
    </reviewItem>
    <reviewItem>
      <errorID>f6d51501-6af3-4b70-a2e3-f65705288d2d</errorID>
      <errorWord>"</errorWord>
      <group>L1_Format</group>
      <groupName>格式问题</groupName>
      <ability>L2_HalfPunc_CN</ability>
      <abilityName>全半角检查</abilityName>
      <candidateList>
        <item>”</item>
      </candidateList>
      <explain>文本全半角错误。</explain>
      <paraID> D276F37</paraID>
      <start>107</start>
      <end>108</end>
      <status>modified</status>
      <modifiedWord>”</modifiedWord>
      <trackRevisions>false</trackRevisions>
    </reviewItem>
    <reviewItem>
      <errorID>f603b537-30b9-402f-9e74-ec252acf0a4f</errorID>
      <errorWord>绍</errorWord>
      <group>L1_Word</group>
      <groupName>字词问题</groupName>
      <ability>L2_Typo</ability>
      <abilityName>字词错误</abilityName>
      <candidateList>
        <item>绍和</item>
      </candidateList>
      <explain/>
      <paraID>2C009C96</paraID>
      <start>303</start>
      <end>305</end>
      <status>modified</status>
      <modifiedWord>绍和</modifiedWord>
      <trackRevisions>false</trackRevisions>
    </reviewItem>
    <reviewItem>
      <errorID>a1e2d2df-e64a-4d96-be51-8cf9fc737edb</errorID>
      <errorWord>年</errorWord>
      <group>L1_Word</group>
      <groupName>字词问题</groupName>
      <ability>L2_Typo</ability>
      <abilityName>字词错误</abilityName>
      <candidateList>
        <item>年来</item>
      </candidateList>
      <explain/>
      <paraID>5578BB3B</paraID>
      <start>186</start>
      <end>188</end>
      <status>modified</status>
      <modifiedWord>年来</modifiedWord>
      <trackRevisions>false</trackRevisions>
    </reviewItem>
    <reviewItem>
      <errorID>11146cf3-3dd4-4fb1-97f5-cb55d3383ba8</errorID>
      <errorWord>亟需</errorWord>
      <group>L1_Word</group>
      <groupName>字词问题</groupName>
      <ability>L2_Typo</ability>
      <abilityName>字词错误</abilityName>
      <candidateList>
        <item>亟须</item>
      </candidateList>
      <explain>存在发音相同字词的误用。</explain>
      <paraID>2B065AAA</paraID>
      <start>82</start>
      <end>84</end>
      <status>modified</status>
      <modifiedWord>亟须</modifiedWord>
      <trackRevisions>false</trackRevisions>
    </reviewItem>
    <reviewItem>
      <errorID>d619acbc-24e9-4e85-bf4c-03a3e9b63e04</errorID>
      <errorWord>"</errorWord>
      <group>L1_Format</group>
      <groupName>格式问题</groupName>
      <ability>L2_HalfPunc_CN</ability>
      <abilityName>全半角检查</abilityName>
      <candidateList>
        <item>“</item>
      </candidateList>
      <explain>文本全半角错误。</explain>
      <paraID>7C1F4FFF</paraID>
      <start>5</start>
      <end>6</end>
      <status>modified</status>
      <modifiedWord>“</modifiedWord>
      <trackRevisions>false</trackRevisions>
    </reviewItem>
    <reviewItem>
      <errorID>45828904-e064-4cea-bd79-01ddac03c219</errorID>
      <errorWord>"</errorWord>
      <group>L1_Format</group>
      <groupName>格式问题</groupName>
      <ability>L2_HalfPunc_CN</ability>
      <abilityName>全半角检查</abilityName>
      <candidateList>
        <item>”</item>
      </candidateList>
      <explain>文本全半角错误。</explain>
      <paraID>7C1F4FFF</paraID>
      <start>10</start>
      <end>11</end>
      <status>modified</status>
      <modifiedWord>”</modifiedWord>
      <trackRevisions>false</trackRevisions>
    </reviewItem>
    <reviewItem>
      <errorID>ce1dbd8f-7b26-46f7-8bf1-00212d970c13</errorID>
      <errorWord>"</errorWord>
      <group>L1_Format</group>
      <groupName>格式问题</groupName>
      <ability>L2_HalfPunc_CN</ability>
      <abilityName>全半角检查</abilityName>
      <candidateList>
        <item>“</item>
      </candidateList>
      <explain>文本全半角错误。</explain>
      <paraID>7C1F4FFF</paraID>
      <start>14</start>
      <end>15</end>
      <status>modified</status>
      <modifiedWord>“</modifiedWord>
      <trackRevisions>false</trackRevisions>
    </reviewItem>
    <reviewItem>
      <errorID>3a3ab357-641b-4571-916b-b82e116213f4</errorID>
      <errorWord>"</errorWord>
      <group>L1_Format</group>
      <groupName>格式问题</groupName>
      <ability>L2_HalfPunc_CN</ability>
      <abilityName>全半角检查</abilityName>
      <candidateList>
        <item>”</item>
      </candidateList>
      <explain>文本全半角错误。</explain>
      <paraID>7C1F4FFF</paraID>
      <start>19</start>
      <end>20</end>
      <status>modified</status>
      <modifiedWord>”</modifiedWord>
      <trackRevisions>false</trackRevisions>
    </reviewItem>
    <reviewItem>
      <errorID>7d165069-1d9d-4fd4-84db-3c2d2b49f3ad</errorID>
      <errorWord>"</errorWord>
      <group>L1_Format</group>
      <groupName>格式问题</groupName>
      <ability>L2_HalfPunc_CN</ability>
      <abilityName>全半角检查</abilityName>
      <candidateList>
        <item>“</item>
      </candidateList>
      <explain>文本全半角错误。</explain>
      <paraID>6C27987E</paraID>
      <start>15</start>
      <end>16</end>
      <status>modified</status>
      <modifiedWord>“</modifiedWord>
      <trackRevisions>false</trackRevisions>
    </reviewItem>
    <reviewItem>
      <errorID>311348ea-1a45-4e3b-b030-a2d047ad3b8a</errorID>
      <errorWord>"</errorWord>
      <group>L1_Format</group>
      <groupName>格式问题</groupName>
      <ability>L2_HalfPunc_CN</ability>
      <abilityName>全半角检查</abilityName>
      <candidateList>
        <item>”</item>
      </candidateList>
      <explain>文本全半角错误。</explain>
      <paraID>6C27987E</paraID>
      <start>41</start>
      <end>42</end>
      <status>modified</status>
      <modifiedWord>”</modifiedWord>
      <trackRevisions>false</trackRevisions>
    </reviewItem>
    <reviewItem>
      <errorID>b4bf7c5f-301d-409a-a341-fa5fc121ddc9</errorID>
      <errorWord>成</errorWord>
      <group>L1_Word</group>
      <groupName>字词问题</groupName>
      <ability>L2_Typo</ability>
      <abilityName>字词错误</abilityName>
      <candidateList>
        <item>成后</item>
      </candidateList>
      <explain/>
      <paraID> 9525B83</paraID>
      <start>10</start>
      <end>12</end>
      <status>modified</status>
      <modifiedWord>成后</modifiedWord>
      <trackRevisions>false</trackRevisions>
    </reviewItem>
    <reviewItem>
      <errorID>c2bf0c13-2207-4a6e-8378-e2b03abdec76</errorID>
      <errorWord>不宜</errorWord>
      <group>L1_Word</group>
      <groupName>字词问题</groupName>
      <ability>L2_Typo</ability>
      <abilityName>字词错误</abilityName>
      <candidateList>
        <item>不易</item>
      </candidateList>
      <explain/>
      <paraID>730EBE0E</paraID>
      <start>50</start>
      <end>52</end>
      <status>modified</status>
      <modifiedWord>不易</modifiedWord>
      <trackRevisions>false</trackRevisions>
    </reviewItem>
    <reviewItem>
      <errorID>bddd2549-64b8-4151-aa03-62291f3843e7</errorID>
      <errorWord>-</errorWord>
      <group>L1_Format</group>
      <groupName>格式问题</groupName>
      <ability>L2_HalfPunc_CN</ability>
      <abilityName>全半角检查</abilityName>
      <candidateList>
        <item>－</item>
      </candidateList>
      <explain>文本全半角错误。</explain>
      <paraID>6FF0BCCF</paraID>
      <start>11</start>
      <end>12</end>
      <status>modified</status>
      <modifiedWord>－</modifiedWord>
      <trackRevisions>false</trackRevisions>
    </reviewItem>
    <reviewItem>
      <errorID>165359bb-d326-426d-a4d4-639c40fe6178</errorID>
      <errorWord>YOLO</errorWord>
      <group>L1_Official</group>
      <groupName>公文格式问题</groupName>
      <ability>L2_Official</ability>
      <abilityName>公文要素检查</abilityName>
      <candidateList/>
      <explain>公文中禁止出现该词语</explain>
      <paraID>2C894FB6</paraID>
      <start>3</start>
      <end>7</end>
      <status>ignored</status>
      <modifiedWord/>
      <trackRevisions>false</trackRevisions>
    </reviewItem>
    <reviewItem>
      <errorID>48bfa1b3-d514-403d-8b0b-714430b4eba0</errorID>
      <errorWord>经</errorWord>
      <group>L1_Word</group>
      <groupName>字词问题</groupName>
      <ability>L2_Typo</ability>
      <abilityName>字词错误</abilityName>
      <candidateList>
        <item>经过</item>
      </candidateList>
      <explain/>
      <paraID>152932CB</paraID>
      <start>43</start>
      <end>45</end>
      <status>modified</status>
      <modifiedWord>经过</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2ad1f6f-290a-4aad-8938-2e891af719b6}">
  <ds:schemaRefs/>
</ds:datastoreItem>
</file>

<file path=docProps/app.xml><?xml version="1.0" encoding="utf-8"?>
<Properties xmlns="http://schemas.openxmlformats.org/officeDocument/2006/extended-properties" xmlns:vt="http://schemas.openxmlformats.org/officeDocument/2006/docPropsVTypes">
  <Template>Normal.dotm</Template>
  <Pages>122</Pages>
  <Words>11305</Words>
  <Characters>11970</Characters>
  <Lines>376</Lines>
  <Paragraphs>105</Paragraphs>
  <TotalTime>10</TotalTime>
  <ScaleCrop>false</ScaleCrop>
  <LinksUpToDate>false</LinksUpToDate>
  <CharactersWithSpaces>12259</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2026-10-14T13:45:00Z</dcterms:created>
  <dc:creator>Fan</dc:creator>
  <cp:lastModifiedBy>Famous Fun</cp:lastModifiedBy>
  <dcterms:modified xsi:type="dcterms:W3CDTF">2026-10-15T09:23:27Z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eyJoZGlkIjoiOGQ3Y2QwODM3NGQxMThkZDEzNjU2ZGIwYTNiYTQ2MmYiLCJ1c2VySWQiOiIyMDg3MzI1MjMifQ==</vt:lpwstr>
  </property>
  <property fmtid="{D5CDD505-2E9C-101B-9397-08002B2CF9AE}" pid="3" name="KSOProductBuildVer">
    <vt:lpwstr>2052-12.1.0.28802</vt:lpwstr>
  </property>
  <property fmtid="{D5CDD505-2E9C-101B-9397-08002B2CF9AE}" pid="4" name="ICV">
    <vt:lpwstr>EFF2AD0CE5504FFFBE6BB53185B1A458_12</vt:lpwstr>
  </property>
</Properties>
</file>