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1122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textAlignment w:val="auto"/>
        <w:rPr>
          <w:rFonts w:hint="eastAsia" w:ascii="黑体" w:hAnsi="黑体" w:eastAsia="黑体" w:cs="黑体"/>
          <w:b w:val="0"/>
          <w:bCs w:val="0"/>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附件2</w:t>
      </w:r>
    </w:p>
    <w:p w14:paraId="005F760D">
      <w:pPr>
        <w:pStyle w:val="3"/>
        <w:keepNext w:val="0"/>
        <w:keepLines w:val="0"/>
        <w:pageBreakBefore w:val="0"/>
        <w:widowControl/>
        <w:suppressLineNumbers w:val="0"/>
        <w:shd w:val="clear" w:fill="auto"/>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宋体" w:hAnsi="宋体" w:eastAsia="宋体" w:cs="宋体"/>
          <w:b/>
          <w:bCs/>
          <w:i w:val="0"/>
          <w:iCs w:val="0"/>
          <w:caps w:val="0"/>
          <w:color w:val="auto"/>
          <w:spacing w:val="0"/>
          <w:sz w:val="44"/>
          <w:szCs w:val="36"/>
          <w:shd w:val="clear" w:fill="auto"/>
        </w:rPr>
      </w:pPr>
    </w:p>
    <w:p w14:paraId="7752B4B3">
      <w:pPr>
        <w:pStyle w:val="3"/>
        <w:keepNext w:val="0"/>
        <w:keepLines w:val="0"/>
        <w:pageBreakBefore w:val="0"/>
        <w:widowControl/>
        <w:suppressLineNumbers w:val="0"/>
        <w:shd w:val="clear" w:fill="auto"/>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36"/>
          <w:lang w:val="en-US" w:eastAsia="zh-Hans"/>
        </w:rPr>
      </w:pPr>
      <w:r>
        <w:rPr>
          <w:rFonts w:hint="eastAsia" w:ascii="方正小标宋简体" w:hAnsi="方正小标宋简体" w:eastAsia="方正小标宋简体" w:cs="方正小标宋简体"/>
          <w:b w:val="0"/>
          <w:bCs w:val="0"/>
          <w:i w:val="0"/>
          <w:iCs w:val="0"/>
          <w:caps w:val="0"/>
          <w:color w:val="auto"/>
          <w:spacing w:val="0"/>
          <w:sz w:val="44"/>
          <w:szCs w:val="36"/>
          <w:shd w:val="clear" w:fill="auto"/>
        </w:rPr>
        <w:t>2026年中山市“敬老月”活动启动仪式暨长</w:t>
      </w:r>
      <w:bookmarkStart w:id="0" w:name="_GoBack"/>
      <w:bookmarkEnd w:id="0"/>
      <w:r>
        <w:rPr>
          <w:rFonts w:hint="eastAsia" w:ascii="方正小标宋简体" w:hAnsi="方正小标宋简体" w:eastAsia="方正小标宋简体" w:cs="方正小标宋简体"/>
          <w:b w:val="0"/>
          <w:bCs w:val="0"/>
          <w:i w:val="0"/>
          <w:iCs w:val="0"/>
          <w:caps w:val="0"/>
          <w:color w:val="auto"/>
          <w:spacing w:val="0"/>
          <w:sz w:val="44"/>
          <w:szCs w:val="36"/>
          <w:shd w:val="clear" w:fill="auto"/>
        </w:rPr>
        <w:t>者集体婚礼活动策划执行及宣传服务项目采购</w:t>
      </w:r>
      <w:r>
        <w:rPr>
          <w:rFonts w:hint="eastAsia" w:ascii="方正小标宋简体" w:hAnsi="方正小标宋简体" w:eastAsia="方正小标宋简体" w:cs="方正小标宋简体"/>
          <w:b w:val="0"/>
          <w:bCs w:val="0"/>
          <w:i w:val="0"/>
          <w:iCs w:val="0"/>
          <w:caps w:val="0"/>
          <w:color w:val="auto"/>
          <w:spacing w:val="0"/>
          <w:sz w:val="44"/>
          <w:szCs w:val="36"/>
          <w:shd w:val="clear" w:fill="auto"/>
          <w:lang w:val="en-US" w:eastAsia="zh-Hans"/>
        </w:rPr>
        <w:t>评审指标</w:t>
      </w:r>
    </w:p>
    <w:p w14:paraId="70A2F57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right="0"/>
        <w:textAlignment w:val="auto"/>
        <w:rPr>
          <w:rFonts w:hint="eastAsia" w:ascii="仿宋" w:hAnsi="仿宋" w:eastAsia="仿宋" w:cs="仿宋"/>
          <w:b/>
          <w:bCs/>
          <w:i w:val="0"/>
          <w:iCs w:val="0"/>
          <w:caps w:val="0"/>
          <w:color w:val="0F1115"/>
          <w:spacing w:val="0"/>
          <w:sz w:val="32"/>
          <w:szCs w:val="32"/>
          <w:shd w:val="clear" w:fill="FFFFFF"/>
        </w:rPr>
      </w:pPr>
    </w:p>
    <w:p w14:paraId="42CE525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right="0"/>
        <w:textAlignment w:val="auto"/>
        <w:rPr>
          <w:rFonts w:hint="eastAsia" w:ascii="仿宋" w:hAnsi="仿宋" w:eastAsia="仿宋" w:cs="仿宋"/>
          <w:i w:val="0"/>
          <w:iCs w:val="0"/>
          <w:caps w:val="0"/>
          <w:color w:val="0F1115"/>
          <w:spacing w:val="0"/>
          <w:sz w:val="32"/>
          <w:szCs w:val="32"/>
        </w:rPr>
      </w:pPr>
      <w:r>
        <w:rPr>
          <w:rFonts w:hint="eastAsia" w:ascii="仿宋" w:hAnsi="仿宋" w:eastAsia="仿宋" w:cs="仿宋"/>
          <w:b/>
          <w:bCs/>
          <w:i w:val="0"/>
          <w:iCs w:val="0"/>
          <w:caps w:val="0"/>
          <w:color w:val="0F1115"/>
          <w:spacing w:val="0"/>
          <w:sz w:val="32"/>
          <w:szCs w:val="32"/>
          <w:shd w:val="clear" w:fill="FFFFFF"/>
        </w:rPr>
        <w:t>项目名称：</w:t>
      </w:r>
      <w:r>
        <w:rPr>
          <w:rFonts w:hint="eastAsia" w:ascii="仿宋" w:hAnsi="仿宋" w:eastAsia="仿宋" w:cs="仿宋"/>
          <w:i w:val="0"/>
          <w:iCs w:val="0"/>
          <w:caps w:val="0"/>
          <w:color w:val="0F1115"/>
          <w:spacing w:val="0"/>
          <w:sz w:val="32"/>
          <w:szCs w:val="32"/>
          <w:shd w:val="clear" w:fill="FFFFFF"/>
        </w:rPr>
        <w:t> 2026年中山市“敬老月”活动启动仪式暨长者集体婚礼活动策划执行及宣传服务项目</w:t>
      </w:r>
    </w:p>
    <w:tbl>
      <w:tblPr>
        <w:tblStyle w:val="5"/>
        <w:tblW w:w="9875" w:type="dxa"/>
        <w:tblInd w:w="-6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670"/>
        <w:gridCol w:w="1635"/>
        <w:gridCol w:w="5280"/>
        <w:gridCol w:w="1290"/>
      </w:tblGrid>
      <w:tr w14:paraId="3E8C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57" w:hRule="exact"/>
          <w:tblHeader/>
        </w:trPr>
        <w:tc>
          <w:tcPr>
            <w:tcW w:w="1670" w:type="dxa"/>
            <w:shd w:val="clear" w:color="auto" w:fill="auto"/>
            <w:tcMar>
              <w:top w:w="200" w:type="dxa"/>
              <w:left w:w="0" w:type="dxa"/>
              <w:bottom w:w="200" w:type="dxa"/>
              <w:right w:w="320" w:type="dxa"/>
            </w:tcMar>
            <w:vAlign w:val="center"/>
          </w:tcPr>
          <w:p w14:paraId="0327430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firstLine="321" w:firstLineChars="100"/>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lang w:val="en-US" w:eastAsia="zh-CN" w:bidi="ar"/>
              </w:rPr>
              <w:t>评审项</w:t>
            </w:r>
          </w:p>
        </w:tc>
        <w:tc>
          <w:tcPr>
            <w:tcW w:w="1635" w:type="dxa"/>
            <w:shd w:val="clear" w:color="auto" w:fill="auto"/>
            <w:tcMar>
              <w:top w:w="200" w:type="dxa"/>
              <w:left w:w="320" w:type="dxa"/>
              <w:bottom w:w="200" w:type="dxa"/>
              <w:right w:w="320" w:type="dxa"/>
            </w:tcMar>
            <w:vAlign w:val="center"/>
          </w:tcPr>
          <w:p w14:paraId="6EFD5C1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default" w:ascii="仿宋_GB2312" w:hAnsi="仿宋_GB2312" w:eastAsia="仿宋_GB2312" w:cs="仿宋_GB2312"/>
                <w:b/>
                <w:bCs/>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分值</w:t>
            </w:r>
          </w:p>
        </w:tc>
        <w:tc>
          <w:tcPr>
            <w:tcW w:w="5280" w:type="dxa"/>
            <w:shd w:val="clear" w:color="auto" w:fill="auto"/>
            <w:tcMar>
              <w:top w:w="200" w:type="dxa"/>
              <w:left w:w="320" w:type="dxa"/>
              <w:bottom w:w="200" w:type="dxa"/>
              <w:right w:w="320" w:type="dxa"/>
            </w:tcMar>
            <w:vAlign w:val="center"/>
          </w:tcPr>
          <w:p w14:paraId="2040FC9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lang w:val="en-US" w:eastAsia="zh-CN" w:bidi="ar"/>
              </w:rPr>
              <w:t>评审标准</w:t>
            </w:r>
          </w:p>
        </w:tc>
        <w:tc>
          <w:tcPr>
            <w:tcW w:w="1290" w:type="dxa"/>
            <w:shd w:val="clear" w:color="auto" w:fill="auto"/>
            <w:tcMar>
              <w:top w:w="200" w:type="dxa"/>
              <w:left w:w="320" w:type="dxa"/>
              <w:bottom w:w="200" w:type="dxa"/>
              <w:right w:w="320" w:type="dxa"/>
            </w:tcMar>
            <w:vAlign w:val="center"/>
          </w:tcPr>
          <w:p w14:paraId="6FBA1C0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得分</w:t>
            </w:r>
          </w:p>
        </w:tc>
      </w:tr>
      <w:tr w14:paraId="7C3A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232" w:hRule="exact"/>
        </w:trPr>
        <w:tc>
          <w:tcPr>
            <w:tcW w:w="1670" w:type="dxa"/>
            <w:shd w:val="clear" w:color="auto" w:fill="auto"/>
            <w:tcMar>
              <w:top w:w="200" w:type="dxa"/>
              <w:left w:w="0" w:type="dxa"/>
              <w:bottom w:w="200" w:type="dxa"/>
              <w:right w:w="320" w:type="dxa"/>
            </w:tcMar>
            <w:vAlign w:val="center"/>
          </w:tcPr>
          <w:p w14:paraId="190C8DB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val="en-US" w:eastAsia="zh-CN" w:bidi="ar"/>
              </w:rPr>
              <w:t>一、价格分</w:t>
            </w:r>
          </w:p>
        </w:tc>
        <w:tc>
          <w:tcPr>
            <w:tcW w:w="1635" w:type="dxa"/>
            <w:shd w:val="clear" w:color="auto" w:fill="auto"/>
            <w:tcMar>
              <w:top w:w="200" w:type="dxa"/>
              <w:left w:w="320" w:type="dxa"/>
              <w:bottom w:w="200" w:type="dxa"/>
              <w:right w:w="320" w:type="dxa"/>
            </w:tcMar>
            <w:vAlign w:val="center"/>
          </w:tcPr>
          <w:p w14:paraId="2BDC54E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eastAsia="zh-CN" w:bidi="ar"/>
              </w:rPr>
              <w:t>10</w:t>
            </w:r>
          </w:p>
        </w:tc>
        <w:tc>
          <w:tcPr>
            <w:tcW w:w="5280" w:type="dxa"/>
            <w:shd w:val="clear" w:color="auto" w:fill="auto"/>
            <w:tcMar>
              <w:top w:w="200" w:type="dxa"/>
              <w:left w:w="320" w:type="dxa"/>
              <w:bottom w:w="200" w:type="dxa"/>
              <w:right w:w="320" w:type="dxa"/>
            </w:tcMar>
            <w:vAlign w:val="center"/>
          </w:tcPr>
          <w:p w14:paraId="0B498F4F">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满足采购文件要求且报价最低的为评审基准价，价格分=评审基准价/报价×</w:t>
            </w:r>
            <w:r>
              <w:rPr>
                <w:rFonts w:hint="eastAsia" w:ascii="仿宋_GB2312" w:hAnsi="仿宋_GB2312" w:eastAsia="仿宋_GB2312" w:cs="仿宋_GB2312"/>
                <w:kern w:val="0"/>
                <w:sz w:val="32"/>
                <w:szCs w:val="32"/>
                <w:lang w:eastAsia="zh-CN" w:bidi="ar"/>
              </w:rPr>
              <w:t>10</w:t>
            </w:r>
            <w:r>
              <w:rPr>
                <w:rFonts w:hint="eastAsia" w:ascii="仿宋_GB2312" w:hAnsi="仿宋_GB2312" w:eastAsia="仿宋_GB2312" w:cs="仿宋_GB2312"/>
                <w:kern w:val="0"/>
                <w:sz w:val="32"/>
                <w:szCs w:val="32"/>
                <w:lang w:val="en-US" w:eastAsia="zh-CN" w:bidi="ar"/>
              </w:rPr>
              <w:t>。</w:t>
            </w:r>
          </w:p>
        </w:tc>
        <w:tc>
          <w:tcPr>
            <w:tcW w:w="1290" w:type="dxa"/>
            <w:shd w:val="clear" w:color="auto" w:fill="auto"/>
            <w:tcMar>
              <w:top w:w="200" w:type="dxa"/>
              <w:left w:w="320" w:type="dxa"/>
              <w:bottom w:w="200" w:type="dxa"/>
              <w:right w:w="0" w:type="dxa"/>
            </w:tcMar>
            <w:vAlign w:val="center"/>
          </w:tcPr>
          <w:p w14:paraId="2F2FCA27">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r w14:paraId="0A32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59" w:hRule="exact"/>
        </w:trPr>
        <w:tc>
          <w:tcPr>
            <w:tcW w:w="9875" w:type="dxa"/>
            <w:gridSpan w:val="4"/>
            <w:shd w:val="clear" w:color="auto" w:fill="auto"/>
            <w:tcMar>
              <w:top w:w="200" w:type="dxa"/>
              <w:left w:w="0" w:type="dxa"/>
              <w:bottom w:w="200" w:type="dxa"/>
              <w:right w:w="320" w:type="dxa"/>
            </w:tcMar>
            <w:vAlign w:val="center"/>
          </w:tcPr>
          <w:p w14:paraId="2334644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left"/>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b/>
                <w:bCs/>
                <w:kern w:val="0"/>
                <w:sz w:val="32"/>
                <w:szCs w:val="32"/>
                <w:lang w:val="en-US" w:eastAsia="zh-CN" w:bidi="ar"/>
              </w:rPr>
              <w:t>二、技术分50</w:t>
            </w:r>
            <w:r>
              <w:rPr>
                <w:rFonts w:hint="eastAsia" w:ascii="仿宋_GB2312" w:hAnsi="仿宋_GB2312" w:eastAsia="仿宋_GB2312" w:cs="仿宋_GB2312"/>
                <w:b/>
                <w:bCs/>
                <w:kern w:val="0"/>
                <w:sz w:val="32"/>
                <w:szCs w:val="32"/>
                <w:lang w:val="en-US" w:eastAsia="zh-Hans" w:bidi="ar"/>
              </w:rPr>
              <w:t>分</w:t>
            </w:r>
          </w:p>
        </w:tc>
      </w:tr>
      <w:tr w14:paraId="3901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140" w:hRule="exact"/>
        </w:trPr>
        <w:tc>
          <w:tcPr>
            <w:tcW w:w="1670" w:type="dxa"/>
            <w:shd w:val="clear" w:color="auto" w:fill="auto"/>
            <w:tcMar>
              <w:top w:w="200" w:type="dxa"/>
              <w:left w:w="0" w:type="dxa"/>
              <w:bottom w:w="200" w:type="dxa"/>
              <w:right w:w="320" w:type="dxa"/>
            </w:tcMar>
            <w:vAlign w:val="center"/>
          </w:tcPr>
          <w:p w14:paraId="0223E8D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1. 整体策划创意</w:t>
            </w:r>
          </w:p>
        </w:tc>
        <w:tc>
          <w:tcPr>
            <w:tcW w:w="1635" w:type="dxa"/>
            <w:shd w:val="clear" w:color="auto" w:fill="auto"/>
            <w:tcMar>
              <w:top w:w="200" w:type="dxa"/>
              <w:left w:w="320" w:type="dxa"/>
              <w:bottom w:w="200" w:type="dxa"/>
              <w:right w:w="320" w:type="dxa"/>
            </w:tcMar>
            <w:vAlign w:val="center"/>
          </w:tcPr>
          <w:p w14:paraId="4DCFE9E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bidi="ar"/>
              </w:rPr>
              <w:t>20</w:t>
            </w:r>
          </w:p>
        </w:tc>
        <w:tc>
          <w:tcPr>
            <w:tcW w:w="5280" w:type="dxa"/>
            <w:shd w:val="clear" w:color="auto" w:fill="auto"/>
            <w:tcMar>
              <w:top w:w="200" w:type="dxa"/>
              <w:left w:w="320" w:type="dxa"/>
              <w:bottom w:w="200" w:type="dxa"/>
              <w:right w:w="320" w:type="dxa"/>
            </w:tcMar>
            <w:vAlign w:val="center"/>
          </w:tcPr>
          <w:p w14:paraId="02B9B06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根据供应单位提供的整体策划方案，含主题呈现、流程设计、亮点创意、动线规划、启动仪式、集体婚礼仪式等进行评审。优：</w:t>
            </w:r>
            <w:r>
              <w:rPr>
                <w:rFonts w:hint="eastAsia" w:ascii="仿宋_GB2312" w:hAnsi="仿宋_GB2312" w:eastAsia="仿宋_GB2312" w:cs="仿宋_GB2312"/>
                <w:kern w:val="0"/>
                <w:sz w:val="32"/>
                <w:szCs w:val="32"/>
                <w:lang w:eastAsia="zh-CN" w:bidi="ar"/>
              </w:rPr>
              <w:t>16</w:t>
            </w:r>
            <w:r>
              <w:rPr>
                <w:rFonts w:hint="eastAsia"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eastAsia="zh-CN" w:bidi="ar"/>
              </w:rPr>
              <w:t>20</w:t>
            </w:r>
            <w:r>
              <w:rPr>
                <w:rFonts w:hint="eastAsia" w:ascii="仿宋_GB2312" w:hAnsi="仿宋_GB2312" w:eastAsia="仿宋_GB2312" w:cs="仿宋_GB2312"/>
                <w:kern w:val="0"/>
                <w:sz w:val="32"/>
                <w:szCs w:val="32"/>
                <w:lang w:val="en-US" w:eastAsia="zh-CN" w:bidi="ar"/>
              </w:rPr>
              <w:t>分；良：1</w:t>
            </w:r>
            <w:r>
              <w:rPr>
                <w:rFonts w:hint="eastAsia" w:ascii="仿宋_GB2312" w:hAnsi="仿宋_GB2312" w:eastAsia="仿宋_GB2312" w:cs="仿宋_GB2312"/>
                <w:kern w:val="0"/>
                <w:sz w:val="32"/>
                <w:szCs w:val="32"/>
                <w:lang w:eastAsia="zh-CN" w:bidi="ar"/>
              </w:rPr>
              <w:t>1</w:t>
            </w:r>
            <w:r>
              <w:rPr>
                <w:rFonts w:hint="eastAsia"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eastAsia="zh-CN" w:bidi="ar"/>
              </w:rPr>
              <w:t>15</w:t>
            </w:r>
            <w:r>
              <w:rPr>
                <w:rFonts w:hint="eastAsia" w:ascii="仿宋_GB2312" w:hAnsi="仿宋_GB2312" w:eastAsia="仿宋_GB2312" w:cs="仿宋_GB2312"/>
                <w:kern w:val="0"/>
                <w:sz w:val="32"/>
                <w:szCs w:val="32"/>
                <w:lang w:val="en-US" w:eastAsia="zh-CN" w:bidi="ar"/>
              </w:rPr>
              <w:t>分；一般：</w:t>
            </w:r>
            <w:r>
              <w:rPr>
                <w:rFonts w:hint="eastAsia" w:ascii="仿宋_GB2312" w:hAnsi="仿宋_GB2312" w:eastAsia="仿宋_GB2312" w:cs="仿宋_GB2312"/>
                <w:kern w:val="0"/>
                <w:sz w:val="32"/>
                <w:szCs w:val="32"/>
                <w:lang w:eastAsia="zh-CN" w:bidi="ar"/>
              </w:rPr>
              <w:t>6</w:t>
            </w:r>
            <w:r>
              <w:rPr>
                <w:rFonts w:hint="eastAsia"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eastAsia="zh-CN" w:bidi="ar"/>
              </w:rPr>
              <w:t>10</w:t>
            </w:r>
            <w:r>
              <w:rPr>
                <w:rFonts w:hint="eastAsia" w:ascii="仿宋_GB2312" w:hAnsi="仿宋_GB2312" w:eastAsia="仿宋_GB2312" w:cs="仿宋_GB2312"/>
                <w:kern w:val="0"/>
                <w:sz w:val="32"/>
                <w:szCs w:val="32"/>
                <w:lang w:val="en-US" w:eastAsia="zh-CN" w:bidi="ar"/>
              </w:rPr>
              <w:t>分；差：0—5分。</w:t>
            </w:r>
          </w:p>
        </w:tc>
        <w:tc>
          <w:tcPr>
            <w:tcW w:w="1290" w:type="dxa"/>
            <w:shd w:val="clear" w:color="auto" w:fill="auto"/>
            <w:tcMar>
              <w:top w:w="200" w:type="dxa"/>
              <w:left w:w="320" w:type="dxa"/>
              <w:bottom w:w="200" w:type="dxa"/>
              <w:right w:w="0" w:type="dxa"/>
            </w:tcMar>
            <w:vAlign w:val="center"/>
          </w:tcPr>
          <w:p w14:paraId="394FF2E6">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r w14:paraId="5487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701" w:hRule="exact"/>
        </w:trPr>
        <w:tc>
          <w:tcPr>
            <w:tcW w:w="1670" w:type="dxa"/>
            <w:shd w:val="clear" w:color="auto" w:fill="auto"/>
            <w:tcMar>
              <w:top w:w="200" w:type="dxa"/>
              <w:left w:w="0" w:type="dxa"/>
              <w:bottom w:w="200" w:type="dxa"/>
              <w:right w:w="320" w:type="dxa"/>
            </w:tcMar>
            <w:vAlign w:val="center"/>
          </w:tcPr>
          <w:p w14:paraId="45C5D03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kern w:val="0"/>
                <w:sz w:val="32"/>
                <w:szCs w:val="32"/>
                <w:lang w:val="en-US" w:eastAsia="zh-CN" w:bidi="ar"/>
              </w:rPr>
              <w:t>2. 活动执行与</w:t>
            </w:r>
            <w:r>
              <w:rPr>
                <w:rFonts w:hint="eastAsia" w:ascii="仿宋_GB2312" w:hAnsi="仿宋_GB2312" w:eastAsia="仿宋_GB2312" w:cs="仿宋_GB2312"/>
                <w:kern w:val="0"/>
                <w:sz w:val="32"/>
                <w:szCs w:val="32"/>
                <w:lang w:val="en-US" w:eastAsia="zh-Hans" w:bidi="ar"/>
              </w:rPr>
              <w:t>应急方案</w:t>
            </w:r>
          </w:p>
        </w:tc>
        <w:tc>
          <w:tcPr>
            <w:tcW w:w="1635" w:type="dxa"/>
            <w:shd w:val="clear" w:color="auto" w:fill="auto"/>
            <w:tcMar>
              <w:top w:w="200" w:type="dxa"/>
              <w:left w:w="320" w:type="dxa"/>
              <w:bottom w:w="200" w:type="dxa"/>
              <w:right w:w="320" w:type="dxa"/>
            </w:tcMar>
            <w:vAlign w:val="center"/>
          </w:tcPr>
          <w:p w14:paraId="722EEF24">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bidi="ar"/>
              </w:rPr>
              <w:t>15</w:t>
            </w:r>
          </w:p>
        </w:tc>
        <w:tc>
          <w:tcPr>
            <w:tcW w:w="5280" w:type="dxa"/>
            <w:shd w:val="clear" w:color="auto" w:fill="auto"/>
            <w:tcMar>
              <w:top w:w="200" w:type="dxa"/>
              <w:left w:w="320" w:type="dxa"/>
              <w:bottom w:w="200" w:type="dxa"/>
              <w:right w:w="320" w:type="dxa"/>
            </w:tcMar>
            <w:vAlign w:val="center"/>
          </w:tcPr>
          <w:p w14:paraId="6A74300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根据供应单位提供的执行方案、人员分工、应急预案等进行评审。优：13—15分；良：10—12分；一般：6—9分；差：0—5分。</w:t>
            </w:r>
          </w:p>
        </w:tc>
        <w:tc>
          <w:tcPr>
            <w:tcW w:w="1290" w:type="dxa"/>
            <w:shd w:val="clear" w:color="auto" w:fill="auto"/>
            <w:tcMar>
              <w:top w:w="200" w:type="dxa"/>
              <w:left w:w="320" w:type="dxa"/>
              <w:bottom w:w="200" w:type="dxa"/>
              <w:right w:w="0" w:type="dxa"/>
            </w:tcMar>
            <w:vAlign w:val="center"/>
          </w:tcPr>
          <w:p w14:paraId="5CCC0E30">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r w14:paraId="54A6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94" w:hRule="exact"/>
        </w:trPr>
        <w:tc>
          <w:tcPr>
            <w:tcW w:w="1670" w:type="dxa"/>
            <w:shd w:val="clear" w:color="auto" w:fill="auto"/>
            <w:tcMar>
              <w:top w:w="200" w:type="dxa"/>
              <w:left w:w="0" w:type="dxa"/>
              <w:bottom w:w="200" w:type="dxa"/>
              <w:right w:w="320" w:type="dxa"/>
            </w:tcMar>
            <w:vAlign w:val="center"/>
          </w:tcPr>
          <w:p w14:paraId="46DB1B7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3. 全媒体宣传推广</w:t>
            </w:r>
          </w:p>
        </w:tc>
        <w:tc>
          <w:tcPr>
            <w:tcW w:w="1635" w:type="dxa"/>
            <w:shd w:val="clear" w:color="auto" w:fill="auto"/>
            <w:tcMar>
              <w:top w:w="200" w:type="dxa"/>
              <w:left w:w="320" w:type="dxa"/>
              <w:bottom w:w="200" w:type="dxa"/>
              <w:right w:w="320" w:type="dxa"/>
            </w:tcMar>
            <w:vAlign w:val="center"/>
          </w:tcPr>
          <w:p w14:paraId="7C34F09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15</w:t>
            </w:r>
          </w:p>
        </w:tc>
        <w:tc>
          <w:tcPr>
            <w:tcW w:w="5280" w:type="dxa"/>
            <w:shd w:val="clear" w:color="auto" w:fill="auto"/>
            <w:tcMar>
              <w:top w:w="200" w:type="dxa"/>
              <w:left w:w="320" w:type="dxa"/>
              <w:bottom w:w="200" w:type="dxa"/>
              <w:right w:w="320" w:type="dxa"/>
            </w:tcMar>
            <w:vAlign w:val="center"/>
          </w:tcPr>
          <w:p w14:paraId="108D2F1E">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根据供应单位提供的宣传矩阵、排期、平台资源、短视频、推文、海报等进行评审。优：13—15分；良：10—12分；一般：6—9分；差：0—5分。</w:t>
            </w:r>
          </w:p>
        </w:tc>
        <w:tc>
          <w:tcPr>
            <w:tcW w:w="1290" w:type="dxa"/>
            <w:shd w:val="clear" w:color="auto" w:fill="auto"/>
            <w:tcMar>
              <w:top w:w="200" w:type="dxa"/>
              <w:left w:w="320" w:type="dxa"/>
              <w:bottom w:w="200" w:type="dxa"/>
              <w:right w:w="0" w:type="dxa"/>
            </w:tcMar>
            <w:vAlign w:val="center"/>
          </w:tcPr>
          <w:p w14:paraId="749CCC4D">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r w14:paraId="6BDE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2" w:hRule="exact"/>
        </w:trPr>
        <w:tc>
          <w:tcPr>
            <w:tcW w:w="9875" w:type="dxa"/>
            <w:gridSpan w:val="4"/>
            <w:shd w:val="clear" w:color="auto" w:fill="auto"/>
            <w:tcMar>
              <w:top w:w="200" w:type="dxa"/>
              <w:left w:w="0" w:type="dxa"/>
              <w:bottom w:w="200" w:type="dxa"/>
              <w:right w:w="320" w:type="dxa"/>
            </w:tcMar>
            <w:vAlign w:val="center"/>
          </w:tcPr>
          <w:p w14:paraId="293EE9DE">
            <w:pPr>
              <w:keepNext w:val="0"/>
              <w:keepLines w:val="0"/>
              <w:pageBreakBefore w:val="0"/>
              <w:kinsoku/>
              <w:wordWrap/>
              <w:overflowPunct/>
              <w:topLinePunct w:val="0"/>
              <w:autoSpaceDE/>
              <w:autoSpaceDN/>
              <w:bidi w:val="0"/>
              <w:adjustRightInd/>
              <w:snapToGrid/>
              <w:spacing w:before="0" w:beforeAutospacing="0" w:after="0" w:afterAutospacing="0" w:line="60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val="en-US" w:eastAsia="zh-CN" w:bidi="ar"/>
              </w:rPr>
              <w:t>三、商务分</w:t>
            </w:r>
            <w:r>
              <w:rPr>
                <w:rFonts w:hint="eastAsia" w:ascii="仿宋_GB2312" w:hAnsi="仿宋_GB2312" w:eastAsia="仿宋_GB2312" w:cs="仿宋_GB2312"/>
                <w:b/>
                <w:bCs/>
                <w:kern w:val="0"/>
                <w:sz w:val="32"/>
                <w:szCs w:val="32"/>
                <w:lang w:eastAsia="zh-CN" w:bidi="ar"/>
              </w:rPr>
              <w:t>40</w:t>
            </w:r>
            <w:r>
              <w:rPr>
                <w:rFonts w:hint="eastAsia" w:ascii="仿宋_GB2312" w:hAnsi="仿宋_GB2312" w:eastAsia="仿宋_GB2312" w:cs="仿宋_GB2312"/>
                <w:b/>
                <w:bCs/>
                <w:kern w:val="0"/>
                <w:sz w:val="32"/>
                <w:szCs w:val="32"/>
                <w:lang w:val="en-US" w:eastAsia="zh-Hans" w:bidi="ar"/>
              </w:rPr>
              <w:t>分</w:t>
            </w:r>
          </w:p>
        </w:tc>
      </w:tr>
      <w:tr w14:paraId="4244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820" w:hRule="exact"/>
        </w:trPr>
        <w:tc>
          <w:tcPr>
            <w:tcW w:w="1670" w:type="dxa"/>
            <w:shd w:val="clear" w:color="auto" w:fill="auto"/>
            <w:tcMar>
              <w:top w:w="200" w:type="dxa"/>
              <w:left w:w="0" w:type="dxa"/>
              <w:bottom w:w="200" w:type="dxa"/>
              <w:right w:w="320" w:type="dxa"/>
            </w:tcMar>
            <w:vAlign w:val="center"/>
          </w:tcPr>
          <w:p w14:paraId="2FFA805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bidi="ar"/>
              </w:rPr>
              <w:t>1. 全媒体官方资源</w:t>
            </w:r>
          </w:p>
        </w:tc>
        <w:tc>
          <w:tcPr>
            <w:tcW w:w="1635" w:type="dxa"/>
            <w:shd w:val="clear" w:color="auto" w:fill="auto"/>
            <w:tcMar>
              <w:top w:w="200" w:type="dxa"/>
              <w:left w:w="320" w:type="dxa"/>
              <w:bottom w:w="200" w:type="dxa"/>
              <w:right w:w="320" w:type="dxa"/>
            </w:tcMar>
            <w:vAlign w:val="center"/>
          </w:tcPr>
          <w:p w14:paraId="1070E0E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bidi="ar"/>
              </w:rPr>
              <w:t>15</w:t>
            </w:r>
          </w:p>
        </w:tc>
        <w:tc>
          <w:tcPr>
            <w:tcW w:w="5280" w:type="dxa"/>
            <w:shd w:val="clear" w:color="auto" w:fill="auto"/>
            <w:tcMar>
              <w:top w:w="200" w:type="dxa"/>
              <w:left w:w="320" w:type="dxa"/>
              <w:bottom w:w="200" w:type="dxa"/>
              <w:right w:w="320" w:type="dxa"/>
            </w:tcMar>
            <w:vAlign w:val="center"/>
          </w:tcPr>
          <w:p w14:paraId="59B560F5">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eastAsia="zh-CN" w:bidi="ar"/>
              </w:rPr>
              <w:t>供应单位自有或获授权使用地市级或以上广播电视播出机构频道、APP、视频号等全媒体资源，每提供一项有效证明得3分，最高15分。</w:t>
            </w:r>
          </w:p>
        </w:tc>
        <w:tc>
          <w:tcPr>
            <w:tcW w:w="1290" w:type="dxa"/>
            <w:shd w:val="clear" w:color="auto" w:fill="auto"/>
            <w:tcMar>
              <w:top w:w="200" w:type="dxa"/>
              <w:left w:w="320" w:type="dxa"/>
              <w:bottom w:w="200" w:type="dxa"/>
              <w:right w:w="0" w:type="dxa"/>
            </w:tcMar>
            <w:vAlign w:val="center"/>
          </w:tcPr>
          <w:p w14:paraId="41A5C03F">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highlight w:val="yellow"/>
              </w:rPr>
            </w:pPr>
          </w:p>
        </w:tc>
      </w:tr>
      <w:tr w14:paraId="38BA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782" w:hRule="exact"/>
        </w:trPr>
        <w:tc>
          <w:tcPr>
            <w:tcW w:w="1670" w:type="dxa"/>
            <w:shd w:val="clear" w:color="auto" w:fill="auto"/>
            <w:tcMar>
              <w:top w:w="200" w:type="dxa"/>
              <w:left w:w="0" w:type="dxa"/>
              <w:bottom w:w="200" w:type="dxa"/>
              <w:right w:w="320" w:type="dxa"/>
            </w:tcMar>
            <w:vAlign w:val="center"/>
          </w:tcPr>
          <w:p w14:paraId="0A6611A0">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2. 市级以上同类业绩</w:t>
            </w:r>
          </w:p>
        </w:tc>
        <w:tc>
          <w:tcPr>
            <w:tcW w:w="1635" w:type="dxa"/>
            <w:shd w:val="clear" w:color="auto" w:fill="auto"/>
            <w:tcMar>
              <w:top w:w="200" w:type="dxa"/>
              <w:left w:w="320" w:type="dxa"/>
              <w:bottom w:w="200" w:type="dxa"/>
              <w:right w:w="320" w:type="dxa"/>
            </w:tcMar>
            <w:vAlign w:val="center"/>
          </w:tcPr>
          <w:p w14:paraId="62F109AA">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bidi="ar"/>
              </w:rPr>
              <w:t>15</w:t>
            </w:r>
          </w:p>
        </w:tc>
        <w:tc>
          <w:tcPr>
            <w:tcW w:w="5280" w:type="dxa"/>
            <w:shd w:val="clear" w:color="auto" w:fill="auto"/>
            <w:tcMar>
              <w:top w:w="200" w:type="dxa"/>
              <w:left w:w="320" w:type="dxa"/>
              <w:bottom w:w="200" w:type="dxa"/>
              <w:right w:w="320" w:type="dxa"/>
            </w:tcMar>
            <w:vAlign w:val="center"/>
          </w:tcPr>
          <w:p w14:paraId="1478A558">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在满足资格条件基础上，2023年1月1日以来每增加1项市级或以上政府机关或事业单位主办的大型公益活动或文旅活动全案策划执行及宣传推广业绩得5分，最高</w:t>
            </w:r>
            <w:r>
              <w:rPr>
                <w:rFonts w:hint="eastAsia" w:ascii="仿宋_GB2312" w:hAnsi="仿宋_GB2312" w:eastAsia="仿宋_GB2312" w:cs="仿宋_GB2312"/>
                <w:kern w:val="0"/>
                <w:sz w:val="32"/>
                <w:szCs w:val="32"/>
                <w:lang w:eastAsia="zh-CN" w:bidi="ar"/>
              </w:rPr>
              <w:t>15</w:t>
            </w:r>
            <w:r>
              <w:rPr>
                <w:rFonts w:hint="eastAsia" w:ascii="仿宋_GB2312" w:hAnsi="仿宋_GB2312" w:eastAsia="仿宋_GB2312" w:cs="仿宋_GB2312"/>
                <w:kern w:val="0"/>
                <w:sz w:val="32"/>
                <w:szCs w:val="32"/>
                <w:lang w:val="en-US" w:eastAsia="zh-CN" w:bidi="ar"/>
              </w:rPr>
              <w:t>分。须提供项目合同及验收证明。</w:t>
            </w:r>
          </w:p>
        </w:tc>
        <w:tc>
          <w:tcPr>
            <w:tcW w:w="1290" w:type="dxa"/>
            <w:shd w:val="clear" w:color="auto" w:fill="auto"/>
            <w:tcMar>
              <w:top w:w="200" w:type="dxa"/>
              <w:left w:w="320" w:type="dxa"/>
              <w:bottom w:w="200" w:type="dxa"/>
              <w:right w:w="0" w:type="dxa"/>
            </w:tcMar>
            <w:vAlign w:val="center"/>
          </w:tcPr>
          <w:p w14:paraId="349FBE06">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r w14:paraId="0A56E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740" w:hRule="exact"/>
        </w:trPr>
        <w:tc>
          <w:tcPr>
            <w:tcW w:w="1670" w:type="dxa"/>
            <w:shd w:val="clear" w:color="auto" w:fill="auto"/>
            <w:tcMar>
              <w:top w:w="200" w:type="dxa"/>
              <w:left w:w="0" w:type="dxa"/>
              <w:bottom w:w="200" w:type="dxa"/>
              <w:right w:w="320" w:type="dxa"/>
            </w:tcMar>
            <w:vAlign w:val="center"/>
          </w:tcPr>
          <w:p w14:paraId="653BD726">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3. 项目团队</w:t>
            </w:r>
          </w:p>
        </w:tc>
        <w:tc>
          <w:tcPr>
            <w:tcW w:w="1635" w:type="dxa"/>
            <w:shd w:val="clear" w:color="auto" w:fill="auto"/>
            <w:tcMar>
              <w:top w:w="200" w:type="dxa"/>
              <w:left w:w="320" w:type="dxa"/>
              <w:bottom w:w="200" w:type="dxa"/>
              <w:right w:w="320" w:type="dxa"/>
            </w:tcMar>
            <w:vAlign w:val="center"/>
          </w:tcPr>
          <w:p w14:paraId="65244FA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eastAsia="zh-CN" w:bidi="ar"/>
              </w:rPr>
              <w:t>10</w:t>
            </w:r>
          </w:p>
        </w:tc>
        <w:tc>
          <w:tcPr>
            <w:tcW w:w="5280" w:type="dxa"/>
            <w:shd w:val="clear" w:color="auto" w:fill="auto"/>
            <w:tcMar>
              <w:top w:w="200" w:type="dxa"/>
              <w:left w:w="320" w:type="dxa"/>
              <w:bottom w:w="200" w:type="dxa"/>
              <w:right w:w="320" w:type="dxa"/>
            </w:tcMar>
            <w:vAlign w:val="center"/>
          </w:tcPr>
          <w:p w14:paraId="68DB578D">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项目负责人具有5年以上大型活动导演、策划或全媒体传播经验；团队配备策划、导演、编导、摄像、直播、新媒体运营等人员。优：9—10分；良：7—8分；一般：4—6分；差：0—3分。</w:t>
            </w:r>
          </w:p>
        </w:tc>
        <w:tc>
          <w:tcPr>
            <w:tcW w:w="1290" w:type="dxa"/>
            <w:shd w:val="clear" w:color="auto" w:fill="auto"/>
            <w:tcMar>
              <w:top w:w="200" w:type="dxa"/>
              <w:left w:w="320" w:type="dxa"/>
              <w:bottom w:w="200" w:type="dxa"/>
              <w:right w:w="0" w:type="dxa"/>
            </w:tcMar>
            <w:vAlign w:val="center"/>
          </w:tcPr>
          <w:p w14:paraId="41DD30A3">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r w14:paraId="52AD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4" w:hRule="exact"/>
        </w:trPr>
        <w:tc>
          <w:tcPr>
            <w:tcW w:w="1670" w:type="dxa"/>
            <w:shd w:val="clear" w:color="auto" w:fill="auto"/>
            <w:tcMar>
              <w:top w:w="200" w:type="dxa"/>
              <w:left w:w="0" w:type="dxa"/>
              <w:bottom w:w="200" w:type="dxa"/>
              <w:right w:w="320" w:type="dxa"/>
            </w:tcMar>
            <w:vAlign w:val="center"/>
          </w:tcPr>
          <w:p w14:paraId="1EFA2C73">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val="en-US" w:eastAsia="zh-CN" w:bidi="ar"/>
              </w:rPr>
              <w:t>合计</w:t>
            </w:r>
          </w:p>
        </w:tc>
        <w:tc>
          <w:tcPr>
            <w:tcW w:w="1635" w:type="dxa"/>
            <w:shd w:val="clear" w:color="auto" w:fill="auto"/>
            <w:tcMar>
              <w:top w:w="200" w:type="dxa"/>
              <w:left w:w="320" w:type="dxa"/>
              <w:bottom w:w="200" w:type="dxa"/>
              <w:right w:w="320" w:type="dxa"/>
            </w:tcMar>
            <w:vAlign w:val="center"/>
          </w:tcPr>
          <w:p w14:paraId="38EC9B3B">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val="en-US" w:eastAsia="zh-CN" w:bidi="ar"/>
              </w:rPr>
              <w:t>100</w:t>
            </w:r>
          </w:p>
        </w:tc>
        <w:tc>
          <w:tcPr>
            <w:tcW w:w="5280" w:type="dxa"/>
            <w:shd w:val="clear" w:color="auto" w:fill="auto"/>
            <w:tcMar>
              <w:top w:w="200" w:type="dxa"/>
              <w:left w:w="320" w:type="dxa"/>
              <w:bottom w:w="200" w:type="dxa"/>
              <w:right w:w="320" w:type="dxa"/>
            </w:tcMar>
            <w:vAlign w:val="center"/>
          </w:tcPr>
          <w:p w14:paraId="627D281C">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c>
          <w:tcPr>
            <w:tcW w:w="1290" w:type="dxa"/>
            <w:shd w:val="clear" w:color="auto" w:fill="auto"/>
            <w:tcMar>
              <w:top w:w="200" w:type="dxa"/>
              <w:left w:w="320" w:type="dxa"/>
              <w:bottom w:w="200" w:type="dxa"/>
              <w:right w:w="0" w:type="dxa"/>
            </w:tcMar>
            <w:vAlign w:val="center"/>
          </w:tcPr>
          <w:p w14:paraId="07F1C028">
            <w:pPr>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仿宋_GB2312" w:hAnsi="仿宋_GB2312" w:eastAsia="仿宋_GB2312" w:cs="仿宋_GB2312"/>
                <w:sz w:val="32"/>
                <w:szCs w:val="32"/>
              </w:rPr>
            </w:pPr>
          </w:p>
        </w:tc>
      </w:tr>
    </w:tbl>
    <w:p w14:paraId="28A9B07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KSOF6AF88583">
    <w:panose1 w:val="020F0704030504030204"/>
    <w:charset w:val="00"/>
    <w:family w:val="auto"/>
    <w:pitch w:val="default"/>
    <w:sig w:usb0="00000001"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KSOF20C6EC42">
    <w:panose1 w:val="020F070403050403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EC3EB7"/>
    <w:rsid w:val="48EC3E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2026-10-09T10:15:00Z</dcterms:created>
  <dc:creator>中山市养老指导项目</dc:creator>
  <cp:lastModifiedBy>中山市养老指导项目</cp:lastModifiedBy>
  <dcterms:modified xsi:type="dcterms:W3CDTF">2026-10-09T10:15:29Z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23E5F0A06A67462DA4E5B02AA3708992_11</vt:lpwstr>
  </property>
  <property fmtid="{D5CDD505-2E9C-101B-9397-08002B2CF9AE}" pid="4" name="KSOTemplateDocerSaveRecord">
    <vt:lpwstr>eyJoZGlkIjoiYThlODk3NTY5YTljODQzYzI4YmQ4NzVjNTg2M2NiZTYiLCJ1c2VySWQiOiIxMjYzNDg5NjkyIn0=</vt:lpwstr>
  </property>
</Properties>
</file>