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181122F">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黑体" w:hAnsi="黑体" w:eastAsia="黑体" w:cs="黑体"/>
          <w:b w:val="0"/>
          <w:bCs w:val="0"/>
          <w:i w:val="0"/>
          <w:iCs w:val="0"/>
          <w:caps w:val="0"/>
          <w:color w:val="0F1115"/>
          <w:spacing w:val="0"/>
          <w:sz w:val="32"/>
          <w:szCs w:val="32"/>
        </w:rPr>
      </w:pPr>
      <w:r>
        <w:rPr>
          <w:rFonts w:hint="eastAsia" w:ascii="黑体" w:hAnsi="黑体" w:eastAsia="黑体" w:cs="黑体"/>
          <w:b w:val="0"/>
          <w:bCs w:val="0"/>
          <w:i w:val="0"/>
          <w:iCs w:val="0"/>
          <w:caps w:val="0"/>
          <w:color w:val="0F1115"/>
          <w:spacing w:val="0"/>
          <w:sz w:val="32"/>
          <w:szCs w:val="32"/>
          <w:shd w:val="clear" w:fill="FFFFFF"/>
        </w:rPr>
        <w:t>附件2</w:t>
      </w:r>
    </w:p>
    <w:p w14:paraId="005F760D">
      <w:pPr>
        <w:pStyle w:val="3"/>
        <w:keepNext w:val="0"/>
        <w:keepLines w:val="0"/>
        <w:pageBreakBefore w:val="0"/>
        <w:widowControl/>
        <w:suppressLineNumbers w:val="0"/>
        <w:shd w:val="clear" w:fill="auto"/>
        <w:kinsoku/>
        <w:wordWrap/>
        <w:overflowPunct/>
        <w:topLinePunct w:val="0"/>
        <w:autoSpaceDE/>
        <w:autoSpaceDN/>
        <w:bidi w:val="0"/>
        <w:adjustRightInd/>
        <w:snapToGrid/>
        <w:spacing w:before="0" w:beforeAutospacing="0" w:after="0" w:afterAutospacing="0" w:line="600" w:lineRule="exact"/>
        <w:ind w:left="0" w:right="0" w:firstLine="0"/>
        <w:jc w:val="center"/>
        <w:textAlignment w:val="auto"/>
        <w:rPr>
          <w:rFonts w:hint="eastAsia" w:ascii="宋体" w:hAnsi="宋体" w:eastAsia="宋体" w:cs="宋体"/>
          <w:b/>
          <w:bCs/>
          <w:i w:val="0"/>
          <w:iCs w:val="0"/>
          <w:caps w:val="0"/>
          <w:color w:val="auto"/>
          <w:spacing w:val="0"/>
          <w:sz w:val="44"/>
          <w:szCs w:val="36"/>
          <w:shd w:val="clear" w:fill="auto"/>
        </w:rPr>
      </w:pPr>
    </w:p>
    <w:p w14:paraId="7752B4B3">
      <w:pPr>
        <w:pStyle w:val="3"/>
        <w:keepNext w:val="0"/>
        <w:keepLines w:val="0"/>
        <w:pageBreakBefore w:val="0"/>
        <w:widowControl/>
        <w:suppressLineNumbers w:val="0"/>
        <w:shd w:val="clear" w:fill="auto"/>
        <w:kinsoku/>
        <w:wordWrap/>
        <w:overflowPunct/>
        <w:topLinePunct w:val="0"/>
        <w:autoSpaceDE/>
        <w:autoSpaceDN/>
        <w:bidi w:val="0"/>
        <w:adjustRightInd/>
        <w:snapToGrid/>
        <w:spacing w:before="0" w:beforeAutospacing="0" w:after="0" w:afterAutospacing="0" w:line="600" w:lineRule="exact"/>
        <w:ind w:left="0" w:right="0" w:firstLine="0"/>
        <w:jc w:val="center"/>
        <w:textAlignment w:val="auto"/>
        <w:rPr>
          <w:rFonts w:hint="eastAsia" w:ascii="方正小标宋简体" w:hAnsi="方正小标宋简体" w:eastAsia="方正小标宋简体" w:cs="方正小标宋简体"/>
          <w:b w:val="0"/>
          <w:bCs w:val="0"/>
          <w:i w:val="0"/>
          <w:iCs w:val="0"/>
          <w:caps w:val="0"/>
          <w:color w:val="auto"/>
          <w:spacing w:val="0"/>
          <w:sz w:val="44"/>
          <w:szCs w:val="36"/>
          <w:lang w:val="en-US" w:eastAsia="zh-Hans"/>
        </w:rPr>
      </w:pPr>
      <w:r>
        <w:rPr>
          <w:rFonts w:hint="eastAsia" w:ascii="方正小标宋简体" w:hAnsi="方正小标宋简体" w:eastAsia="方正小标宋简体" w:cs="方正小标宋简体"/>
          <w:b w:val="0"/>
          <w:bCs w:val="0"/>
          <w:i w:val="0"/>
          <w:iCs w:val="0"/>
          <w:caps w:val="0"/>
          <w:color w:val="auto"/>
          <w:spacing w:val="0"/>
          <w:sz w:val="44"/>
          <w:szCs w:val="36"/>
          <w:shd w:val="clear" w:fill="auto"/>
        </w:rPr>
        <w:t>2026年中山市“敬老月”活动启动仪式暨长者集体婚礼活动策划执行及宣传服务项目采购</w:t>
      </w:r>
      <w:r>
        <w:rPr>
          <w:rFonts w:hint="eastAsia" w:ascii="方正小标宋简体" w:hAnsi="方正小标宋简体" w:eastAsia="方正小标宋简体" w:cs="方正小标宋简体"/>
          <w:b w:val="0"/>
          <w:bCs w:val="0"/>
          <w:i w:val="0"/>
          <w:iCs w:val="0"/>
          <w:caps w:val="0"/>
          <w:color w:val="auto"/>
          <w:spacing w:val="0"/>
          <w:sz w:val="44"/>
          <w:szCs w:val="36"/>
          <w:shd w:val="clear" w:fill="auto"/>
          <w:lang w:val="en-US" w:eastAsia="zh-Hans"/>
        </w:rPr>
        <w:t>评审指标</w:t>
      </w:r>
    </w:p>
    <w:p w14:paraId="70A2F579">
      <w:pPr>
        <w:pStyle w:val="6"/>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600" w:lineRule="exact"/>
        <w:ind w:right="0"/>
        <w:textAlignment w:val="auto"/>
        <w:rPr>
          <w:rFonts w:hint="eastAsia" w:ascii="仿宋" w:hAnsi="仿宋" w:eastAsia="仿宋" w:cs="仿宋"/>
          <w:b/>
          <w:bCs/>
          <w:i w:val="0"/>
          <w:iCs w:val="0"/>
          <w:caps w:val="0"/>
          <w:color w:val="0F1115"/>
          <w:spacing w:val="0"/>
          <w:sz w:val="32"/>
          <w:szCs w:val="32"/>
          <w:shd w:val="clear" w:fill="FFFFFF"/>
        </w:rPr>
      </w:pPr>
    </w:p>
    <w:p w14:paraId="42CE5254">
      <w:pPr>
        <w:pStyle w:val="6"/>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600" w:lineRule="exact"/>
        <w:ind w:right="0"/>
        <w:textAlignment w:val="auto"/>
        <w:rPr>
          <w:rFonts w:hint="eastAsia" w:ascii="仿宋" w:hAnsi="仿宋" w:eastAsia="仿宋" w:cs="仿宋"/>
          <w:i w:val="0"/>
          <w:iCs w:val="0"/>
          <w:caps w:val="0"/>
          <w:color w:val="0F1115"/>
          <w:spacing w:val="0"/>
          <w:sz w:val="32"/>
          <w:szCs w:val="32"/>
        </w:rPr>
      </w:pPr>
      <w:r>
        <w:rPr>
          <w:rFonts w:hint="eastAsia" w:ascii="仿宋" w:hAnsi="仿宋" w:eastAsia="仿宋" w:cs="仿宋"/>
          <w:b/>
          <w:bCs/>
          <w:i w:val="0"/>
          <w:iCs w:val="0"/>
          <w:caps w:val="0"/>
          <w:color w:val="0F1115"/>
          <w:spacing w:val="0"/>
          <w:sz w:val="32"/>
          <w:szCs w:val="32"/>
          <w:shd w:val="clear" w:fill="FFFFFF"/>
        </w:rPr>
        <w:t>项目名称：</w:t>
      </w:r>
      <w:r>
        <w:rPr>
          <w:rFonts w:hint="eastAsia" w:ascii="仿宋" w:hAnsi="仿宋" w:eastAsia="仿宋" w:cs="仿宋"/>
          <w:i w:val="0"/>
          <w:iCs w:val="0"/>
          <w:caps w:val="0"/>
          <w:color w:val="0F1115"/>
          <w:spacing w:val="0"/>
          <w:sz w:val="32"/>
          <w:szCs w:val="32"/>
          <w:shd w:val="clear" w:fill="FFFFFF"/>
        </w:rPr>
        <w:t> 2026年中山市“敬老月”活动启动仪式暨长者集体婚礼活动策划执行及宣传服务项目</w:t>
      </w:r>
    </w:p>
    <w:tbl>
      <w:tblPr>
        <w:tblStyle w:val="7"/>
        <w:tblW w:w="9875" w:type="dxa"/>
        <w:tblInd w:w="-62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15" w:type="dxa"/>
          <w:left w:w="15" w:type="dxa"/>
          <w:bottom w:w="15" w:type="dxa"/>
          <w:right w:w="15" w:type="dxa"/>
        </w:tblCellMar>
      </w:tblPr>
      <w:tblGrid>
        <w:gridCol w:w="1670"/>
        <w:gridCol w:w="1635"/>
        <w:gridCol w:w="5280"/>
        <w:gridCol w:w="1290"/>
      </w:tblGrid>
      <w:tr w14:paraId="3E8C1D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857" w:hRule="exact"/>
          <w:tblHeader/>
        </w:trPr>
        <w:tc>
          <w:tcPr>
            <w:tcW w:w="1670" w:type="dxa"/>
            <w:shd w:val="clear" w:color="auto" w:fill="auto"/>
            <w:tcMar>
              <w:top w:w="200" w:type="dxa"/>
              <w:left w:w="0" w:type="dxa"/>
              <w:bottom w:w="200" w:type="dxa"/>
              <w:right w:w="320" w:type="dxa"/>
            </w:tcMar>
            <w:vAlign w:val="center"/>
          </w:tcPr>
          <w:p w14:paraId="0327430D">
            <w:pPr>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firstLine="321" w:firstLineChars="100"/>
              <w:jc w:val="center"/>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kern w:val="0"/>
                <w:sz w:val="32"/>
                <w:szCs w:val="32"/>
                <w:lang w:val="en-US" w:eastAsia="zh-CN" w:bidi="ar"/>
              </w:rPr>
              <w:t>评审项</w:t>
            </w:r>
          </w:p>
        </w:tc>
        <w:tc>
          <w:tcPr>
            <w:tcW w:w="1635" w:type="dxa"/>
            <w:shd w:val="clear" w:color="auto" w:fill="auto"/>
            <w:tcMar>
              <w:top w:w="200" w:type="dxa"/>
              <w:left w:w="320" w:type="dxa"/>
              <w:bottom w:w="200" w:type="dxa"/>
              <w:right w:w="320" w:type="dxa"/>
            </w:tcMar>
            <w:vAlign w:val="center"/>
          </w:tcPr>
          <w:p w14:paraId="6EFD5C1A">
            <w:pPr>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jc w:val="center"/>
              <w:textAlignment w:val="auto"/>
              <w:rPr>
                <w:rFonts w:hint="default" w:ascii="仿宋_GB2312" w:hAnsi="仿宋_GB2312" w:eastAsia="仿宋_GB2312" w:cs="仿宋_GB2312"/>
                <w:b/>
                <w:bCs/>
                <w:kern w:val="0"/>
                <w:sz w:val="32"/>
                <w:szCs w:val="32"/>
                <w:lang w:val="en-US" w:eastAsia="zh-CN" w:bidi="ar"/>
              </w:rPr>
            </w:pPr>
            <w:r>
              <w:rPr>
                <w:rFonts w:hint="eastAsia" w:ascii="仿宋_GB2312" w:hAnsi="仿宋_GB2312" w:eastAsia="仿宋_GB2312" w:cs="仿宋_GB2312"/>
                <w:b/>
                <w:bCs/>
                <w:kern w:val="0"/>
                <w:sz w:val="32"/>
                <w:szCs w:val="32"/>
                <w:lang w:val="en-US" w:eastAsia="zh-CN" w:bidi="ar"/>
              </w:rPr>
              <w:t>分值</w:t>
            </w:r>
          </w:p>
        </w:tc>
        <w:tc>
          <w:tcPr>
            <w:tcW w:w="5280" w:type="dxa"/>
            <w:shd w:val="clear" w:color="auto" w:fill="auto"/>
            <w:tcMar>
              <w:top w:w="200" w:type="dxa"/>
              <w:left w:w="320" w:type="dxa"/>
              <w:bottom w:w="200" w:type="dxa"/>
              <w:right w:w="320" w:type="dxa"/>
            </w:tcMar>
            <w:vAlign w:val="center"/>
          </w:tcPr>
          <w:p w14:paraId="2040FC90">
            <w:pPr>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jc w:val="center"/>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kern w:val="0"/>
                <w:sz w:val="32"/>
                <w:szCs w:val="32"/>
                <w:lang w:val="en-US" w:eastAsia="zh-CN" w:bidi="ar"/>
              </w:rPr>
              <w:t>评审标准</w:t>
            </w:r>
          </w:p>
        </w:tc>
        <w:tc>
          <w:tcPr>
            <w:tcW w:w="1290" w:type="dxa"/>
            <w:shd w:val="clear" w:color="auto" w:fill="auto"/>
            <w:tcMar>
              <w:top w:w="200" w:type="dxa"/>
              <w:left w:w="320" w:type="dxa"/>
              <w:bottom w:w="200" w:type="dxa"/>
              <w:right w:w="320" w:type="dxa"/>
            </w:tcMar>
            <w:vAlign w:val="center"/>
          </w:tcPr>
          <w:p w14:paraId="6FBA1C08">
            <w:pPr>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jc w:val="center"/>
              <w:textAlignment w:val="auto"/>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得分</w:t>
            </w:r>
          </w:p>
        </w:tc>
      </w:tr>
      <w:tr w14:paraId="7C3A3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232" w:hRule="exact"/>
        </w:trPr>
        <w:tc>
          <w:tcPr>
            <w:tcW w:w="1670" w:type="dxa"/>
            <w:shd w:val="clear" w:color="auto" w:fill="auto"/>
            <w:tcMar>
              <w:top w:w="200" w:type="dxa"/>
              <w:left w:w="0" w:type="dxa"/>
              <w:bottom w:w="200" w:type="dxa"/>
              <w:right w:w="320" w:type="dxa"/>
            </w:tcMar>
            <w:vAlign w:val="center"/>
          </w:tcPr>
          <w:p w14:paraId="190C8DB3">
            <w:pPr>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jc w:val="center"/>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kern w:val="0"/>
                <w:sz w:val="32"/>
                <w:szCs w:val="32"/>
                <w:lang w:val="en-US" w:eastAsia="zh-CN" w:bidi="ar"/>
              </w:rPr>
              <w:t>一、价格分</w:t>
            </w:r>
          </w:p>
        </w:tc>
        <w:tc>
          <w:tcPr>
            <w:tcW w:w="1635" w:type="dxa"/>
            <w:shd w:val="clear" w:color="auto" w:fill="auto"/>
            <w:tcMar>
              <w:top w:w="200" w:type="dxa"/>
              <w:left w:w="320" w:type="dxa"/>
              <w:bottom w:w="200" w:type="dxa"/>
              <w:right w:w="320" w:type="dxa"/>
            </w:tcMar>
            <w:vAlign w:val="center"/>
          </w:tcPr>
          <w:p w14:paraId="2BDC54E3">
            <w:pPr>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jc w:val="center"/>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kern w:val="0"/>
                <w:sz w:val="32"/>
                <w:szCs w:val="32"/>
                <w:lang w:eastAsia="zh-CN" w:bidi="ar"/>
              </w:rPr>
              <w:t>10</w:t>
            </w:r>
          </w:p>
        </w:tc>
        <w:tc>
          <w:tcPr>
            <w:tcW w:w="5280" w:type="dxa"/>
            <w:shd w:val="clear" w:color="auto" w:fill="auto"/>
            <w:tcMar>
              <w:top w:w="200" w:type="dxa"/>
              <w:left w:w="320" w:type="dxa"/>
              <w:bottom w:w="200" w:type="dxa"/>
              <w:right w:w="320" w:type="dxa"/>
            </w:tcMar>
            <w:vAlign w:val="center"/>
          </w:tcPr>
          <w:p w14:paraId="0B498F4F">
            <w:pPr>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jc w:val="center"/>
              <w:textAlignment w:val="auto"/>
              <w:rPr>
                <w:rFonts w:hint="eastAsia" w:ascii="仿宋_GB2312" w:hAnsi="仿宋_GB2312" w:eastAsia="仿宋_GB2312" w:cs="仿宋_GB2312"/>
                <w:sz w:val="32"/>
                <w:szCs w:val="32"/>
              </w:rPr>
            </w:pPr>
            <w:r>
              <w:rPr>
                <w:rFonts w:hint="eastAsia" w:ascii="仿宋_GB2312" w:hAnsi="仿宋_GB2312" w:eastAsia="仿宋_GB2312" w:cs="仿宋_GB2312"/>
                <w:kern w:val="0"/>
                <w:sz w:val="32"/>
                <w:szCs w:val="32"/>
                <w:lang w:val="en-US" w:eastAsia="zh-CN" w:bidi="ar"/>
              </w:rPr>
              <w:t>满足采购文件要求且报价最低的为评审基准价，价格分=评审基准价/报价×</w:t>
            </w:r>
            <w:r>
              <w:rPr>
                <w:rFonts w:hint="eastAsia" w:ascii="仿宋_GB2312" w:hAnsi="仿宋_GB2312" w:eastAsia="仿宋_GB2312" w:cs="仿宋_GB2312"/>
                <w:kern w:val="0"/>
                <w:sz w:val="32"/>
                <w:szCs w:val="32"/>
                <w:lang w:eastAsia="zh-CN" w:bidi="ar"/>
              </w:rPr>
              <w:t>10</w:t>
            </w:r>
            <w:r>
              <w:rPr>
                <w:rFonts w:hint="eastAsia" w:ascii="仿宋_GB2312" w:hAnsi="仿宋_GB2312" w:eastAsia="仿宋_GB2312" w:cs="仿宋_GB2312"/>
                <w:kern w:val="0"/>
                <w:sz w:val="32"/>
                <w:szCs w:val="32"/>
                <w:lang w:val="en-US" w:eastAsia="zh-CN" w:bidi="ar"/>
              </w:rPr>
              <w:t>。</w:t>
            </w:r>
          </w:p>
        </w:tc>
        <w:tc>
          <w:tcPr>
            <w:tcW w:w="1290" w:type="dxa"/>
            <w:shd w:val="clear" w:color="auto" w:fill="auto"/>
            <w:tcMar>
              <w:top w:w="200" w:type="dxa"/>
              <w:left w:w="320" w:type="dxa"/>
              <w:bottom w:w="200" w:type="dxa"/>
              <w:right w:w="0" w:type="dxa"/>
            </w:tcMar>
            <w:vAlign w:val="center"/>
          </w:tcPr>
          <w:p w14:paraId="2F2FCA27">
            <w:pPr>
              <w:keepNext w:val="0"/>
              <w:keepLines w:val="0"/>
              <w:pageBreakBefore w:val="0"/>
              <w:kinsoku/>
              <w:wordWrap/>
              <w:overflowPunct/>
              <w:topLinePunct w:val="0"/>
              <w:autoSpaceDE/>
              <w:autoSpaceDN/>
              <w:bidi w:val="0"/>
              <w:adjustRightInd/>
              <w:snapToGrid/>
              <w:spacing w:before="0" w:beforeAutospacing="0" w:after="0" w:afterAutospacing="0" w:line="600" w:lineRule="exact"/>
              <w:jc w:val="center"/>
              <w:textAlignment w:val="auto"/>
              <w:rPr>
                <w:rFonts w:hint="eastAsia" w:ascii="仿宋_GB2312" w:hAnsi="仿宋_GB2312" w:eastAsia="仿宋_GB2312" w:cs="仿宋_GB2312"/>
                <w:sz w:val="32"/>
                <w:szCs w:val="32"/>
              </w:rPr>
            </w:pPr>
          </w:p>
        </w:tc>
      </w:tr>
      <w:tr w14:paraId="0A323B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859" w:hRule="exact"/>
        </w:trPr>
        <w:tc>
          <w:tcPr>
            <w:tcW w:w="9875" w:type="dxa"/>
            <w:gridSpan w:val="4"/>
            <w:shd w:val="clear" w:color="auto" w:fill="auto"/>
            <w:tcMar>
              <w:top w:w="200" w:type="dxa"/>
              <w:left w:w="0" w:type="dxa"/>
              <w:bottom w:w="200" w:type="dxa"/>
              <w:right w:w="320" w:type="dxa"/>
            </w:tcMar>
            <w:vAlign w:val="center"/>
          </w:tcPr>
          <w:p w14:paraId="23346440">
            <w:pPr>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jc w:val="left"/>
              <w:textAlignment w:val="auto"/>
              <w:rPr>
                <w:rFonts w:hint="eastAsia" w:ascii="仿宋_GB2312" w:hAnsi="仿宋_GB2312" w:eastAsia="仿宋_GB2312" w:cs="仿宋_GB2312"/>
                <w:sz w:val="32"/>
                <w:szCs w:val="32"/>
                <w:lang w:val="en-US" w:eastAsia="zh-Hans"/>
              </w:rPr>
            </w:pPr>
            <w:r>
              <w:rPr>
                <w:rFonts w:hint="eastAsia" w:ascii="仿宋_GB2312" w:hAnsi="仿宋_GB2312" w:eastAsia="仿宋_GB2312" w:cs="仿宋_GB2312"/>
                <w:b/>
                <w:bCs/>
                <w:kern w:val="0"/>
                <w:sz w:val="32"/>
                <w:szCs w:val="32"/>
                <w:lang w:val="en-US" w:eastAsia="zh-CN" w:bidi="ar"/>
              </w:rPr>
              <w:t>二、技术分50</w:t>
            </w:r>
            <w:r>
              <w:rPr>
                <w:rFonts w:hint="eastAsia" w:ascii="仿宋_GB2312" w:hAnsi="仿宋_GB2312" w:eastAsia="仿宋_GB2312" w:cs="仿宋_GB2312"/>
                <w:b/>
                <w:bCs/>
                <w:kern w:val="0"/>
                <w:sz w:val="32"/>
                <w:szCs w:val="32"/>
                <w:lang w:val="en-US" w:eastAsia="zh-Hans" w:bidi="ar"/>
              </w:rPr>
              <w:t>分</w:t>
            </w:r>
          </w:p>
        </w:tc>
      </w:tr>
      <w:tr w14:paraId="3901F8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140" w:hRule="exact"/>
        </w:trPr>
        <w:tc>
          <w:tcPr>
            <w:tcW w:w="1670" w:type="dxa"/>
            <w:shd w:val="clear" w:color="auto" w:fill="auto"/>
            <w:tcMar>
              <w:top w:w="200" w:type="dxa"/>
              <w:left w:w="0" w:type="dxa"/>
              <w:bottom w:w="200" w:type="dxa"/>
              <w:right w:w="320" w:type="dxa"/>
            </w:tcMar>
            <w:vAlign w:val="center"/>
          </w:tcPr>
          <w:p w14:paraId="0223E8DB">
            <w:pPr>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jc w:val="center"/>
              <w:textAlignment w:val="auto"/>
              <w:rPr>
                <w:rFonts w:hint="eastAsia" w:ascii="仿宋_GB2312" w:hAnsi="仿宋_GB2312" w:eastAsia="仿宋_GB2312" w:cs="仿宋_GB2312"/>
                <w:sz w:val="32"/>
                <w:szCs w:val="32"/>
              </w:rPr>
            </w:pPr>
            <w:r>
              <w:rPr>
                <w:rFonts w:hint="eastAsia" w:ascii="仿宋_GB2312" w:hAnsi="仿宋_GB2312" w:eastAsia="仿宋_GB2312" w:cs="仿宋_GB2312"/>
                <w:kern w:val="0"/>
                <w:sz w:val="32"/>
                <w:szCs w:val="32"/>
                <w:lang w:val="en-US" w:eastAsia="zh-CN" w:bidi="ar"/>
              </w:rPr>
              <w:t>1. 整体策划创意</w:t>
            </w:r>
          </w:p>
        </w:tc>
        <w:tc>
          <w:tcPr>
            <w:tcW w:w="1635" w:type="dxa"/>
            <w:shd w:val="clear" w:color="auto" w:fill="auto"/>
            <w:tcMar>
              <w:top w:w="200" w:type="dxa"/>
              <w:left w:w="320" w:type="dxa"/>
              <w:bottom w:w="200" w:type="dxa"/>
              <w:right w:w="320" w:type="dxa"/>
            </w:tcMar>
            <w:vAlign w:val="center"/>
          </w:tcPr>
          <w:p w14:paraId="4DCFE9E4">
            <w:pPr>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jc w:val="center"/>
              <w:textAlignment w:val="auto"/>
              <w:rPr>
                <w:rFonts w:hint="eastAsia" w:ascii="仿宋_GB2312" w:hAnsi="仿宋_GB2312" w:eastAsia="仿宋_GB2312" w:cs="仿宋_GB2312"/>
                <w:sz w:val="32"/>
                <w:szCs w:val="32"/>
              </w:rPr>
            </w:pPr>
            <w:r>
              <w:rPr>
                <w:rFonts w:hint="eastAsia" w:ascii="仿宋_GB2312" w:hAnsi="仿宋_GB2312" w:eastAsia="仿宋_GB2312" w:cs="仿宋_GB2312"/>
                <w:kern w:val="0"/>
                <w:sz w:val="32"/>
                <w:szCs w:val="32"/>
                <w:lang w:eastAsia="zh-CN" w:bidi="ar"/>
              </w:rPr>
              <w:t>20</w:t>
            </w:r>
          </w:p>
        </w:tc>
        <w:tc>
          <w:tcPr>
            <w:tcW w:w="5280" w:type="dxa"/>
            <w:shd w:val="clear" w:color="auto" w:fill="auto"/>
            <w:tcMar>
              <w:top w:w="200" w:type="dxa"/>
              <w:left w:w="320" w:type="dxa"/>
              <w:bottom w:w="200" w:type="dxa"/>
              <w:right w:w="320" w:type="dxa"/>
            </w:tcMar>
            <w:vAlign w:val="center"/>
          </w:tcPr>
          <w:p w14:paraId="02B9B066">
            <w:pPr>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jc w:val="center"/>
              <w:textAlignment w:val="auto"/>
              <w:rPr>
                <w:rFonts w:hint="eastAsia" w:ascii="仿宋_GB2312" w:hAnsi="仿宋_GB2312" w:eastAsia="仿宋_GB2312" w:cs="仿宋_GB2312"/>
                <w:sz w:val="32"/>
                <w:szCs w:val="32"/>
              </w:rPr>
            </w:pPr>
            <w:r>
              <w:rPr>
                <w:rFonts w:hint="eastAsia" w:ascii="仿宋_GB2312" w:hAnsi="仿宋_GB2312" w:eastAsia="仿宋_GB2312" w:cs="仿宋_GB2312"/>
                <w:kern w:val="0"/>
                <w:sz w:val="32"/>
                <w:szCs w:val="32"/>
                <w:lang w:val="en-US" w:eastAsia="zh-CN" w:bidi="ar"/>
              </w:rPr>
              <w:t>根据供应单位提供的整体策划方案，含主题呈现、流程设计、亮点创意、动线规划、启动仪式、集体婚礼仪式等进行评审。优：</w:t>
            </w:r>
            <w:r>
              <w:rPr>
                <w:rFonts w:hint="eastAsia" w:ascii="仿宋_GB2312" w:hAnsi="仿宋_GB2312" w:eastAsia="仿宋_GB2312" w:cs="仿宋_GB2312"/>
                <w:kern w:val="0"/>
                <w:sz w:val="32"/>
                <w:szCs w:val="32"/>
                <w:lang w:eastAsia="zh-CN" w:bidi="ar"/>
              </w:rPr>
              <w:t>16</w:t>
            </w:r>
            <w:r>
              <w:rPr>
                <w:rFonts w:hint="eastAsia" w:ascii="仿宋_GB2312" w:hAnsi="仿宋_GB2312" w:eastAsia="仿宋_GB2312" w:cs="仿宋_GB2312"/>
                <w:kern w:val="0"/>
                <w:sz w:val="32"/>
                <w:szCs w:val="32"/>
                <w:lang w:val="en-US" w:eastAsia="zh-CN" w:bidi="ar"/>
              </w:rPr>
              <w:t>—</w:t>
            </w:r>
            <w:r>
              <w:rPr>
                <w:rFonts w:hint="eastAsia" w:ascii="仿宋_GB2312" w:hAnsi="仿宋_GB2312" w:eastAsia="仿宋_GB2312" w:cs="仿宋_GB2312"/>
                <w:kern w:val="0"/>
                <w:sz w:val="32"/>
                <w:szCs w:val="32"/>
                <w:lang w:eastAsia="zh-CN" w:bidi="ar"/>
              </w:rPr>
              <w:t>20</w:t>
            </w:r>
            <w:r>
              <w:rPr>
                <w:rFonts w:hint="eastAsia" w:ascii="仿宋_GB2312" w:hAnsi="仿宋_GB2312" w:eastAsia="仿宋_GB2312" w:cs="仿宋_GB2312"/>
                <w:kern w:val="0"/>
                <w:sz w:val="32"/>
                <w:szCs w:val="32"/>
                <w:lang w:val="en-US" w:eastAsia="zh-CN" w:bidi="ar"/>
              </w:rPr>
              <w:t>分；良：1</w:t>
            </w:r>
            <w:r>
              <w:rPr>
                <w:rFonts w:hint="eastAsia" w:ascii="仿宋_GB2312" w:hAnsi="仿宋_GB2312" w:eastAsia="仿宋_GB2312" w:cs="仿宋_GB2312"/>
                <w:kern w:val="0"/>
                <w:sz w:val="32"/>
                <w:szCs w:val="32"/>
                <w:lang w:eastAsia="zh-CN" w:bidi="ar"/>
              </w:rPr>
              <w:t>1</w:t>
            </w:r>
            <w:r>
              <w:rPr>
                <w:rFonts w:hint="eastAsia" w:ascii="仿宋_GB2312" w:hAnsi="仿宋_GB2312" w:eastAsia="仿宋_GB2312" w:cs="仿宋_GB2312"/>
                <w:kern w:val="0"/>
                <w:sz w:val="32"/>
                <w:szCs w:val="32"/>
                <w:lang w:val="en-US" w:eastAsia="zh-CN" w:bidi="ar"/>
              </w:rPr>
              <w:t>—</w:t>
            </w:r>
            <w:r>
              <w:rPr>
                <w:rFonts w:hint="eastAsia" w:ascii="仿宋_GB2312" w:hAnsi="仿宋_GB2312" w:eastAsia="仿宋_GB2312" w:cs="仿宋_GB2312"/>
                <w:kern w:val="0"/>
                <w:sz w:val="32"/>
                <w:szCs w:val="32"/>
                <w:lang w:eastAsia="zh-CN" w:bidi="ar"/>
              </w:rPr>
              <w:t>15</w:t>
            </w:r>
            <w:r>
              <w:rPr>
                <w:rFonts w:hint="eastAsia" w:ascii="仿宋_GB2312" w:hAnsi="仿宋_GB2312" w:eastAsia="仿宋_GB2312" w:cs="仿宋_GB2312"/>
                <w:kern w:val="0"/>
                <w:sz w:val="32"/>
                <w:szCs w:val="32"/>
                <w:lang w:val="en-US" w:eastAsia="zh-CN" w:bidi="ar"/>
              </w:rPr>
              <w:t>分；一般：</w:t>
            </w:r>
            <w:r>
              <w:rPr>
                <w:rFonts w:hint="eastAsia" w:ascii="仿宋_GB2312" w:hAnsi="仿宋_GB2312" w:eastAsia="仿宋_GB2312" w:cs="仿宋_GB2312"/>
                <w:kern w:val="0"/>
                <w:sz w:val="32"/>
                <w:szCs w:val="32"/>
                <w:lang w:eastAsia="zh-CN" w:bidi="ar"/>
              </w:rPr>
              <w:t>6</w:t>
            </w:r>
            <w:r>
              <w:rPr>
                <w:rFonts w:hint="eastAsia" w:ascii="仿宋_GB2312" w:hAnsi="仿宋_GB2312" w:eastAsia="仿宋_GB2312" w:cs="仿宋_GB2312"/>
                <w:kern w:val="0"/>
                <w:sz w:val="32"/>
                <w:szCs w:val="32"/>
                <w:lang w:val="en-US" w:eastAsia="zh-CN" w:bidi="ar"/>
              </w:rPr>
              <w:t>—</w:t>
            </w:r>
            <w:r>
              <w:rPr>
                <w:rFonts w:hint="eastAsia" w:ascii="仿宋_GB2312" w:hAnsi="仿宋_GB2312" w:eastAsia="仿宋_GB2312" w:cs="仿宋_GB2312"/>
                <w:kern w:val="0"/>
                <w:sz w:val="32"/>
                <w:szCs w:val="32"/>
                <w:lang w:eastAsia="zh-CN" w:bidi="ar"/>
              </w:rPr>
              <w:t>10</w:t>
            </w:r>
            <w:r>
              <w:rPr>
                <w:rFonts w:hint="eastAsia" w:ascii="仿宋_GB2312" w:hAnsi="仿宋_GB2312" w:eastAsia="仿宋_GB2312" w:cs="仿宋_GB2312"/>
                <w:kern w:val="0"/>
                <w:sz w:val="32"/>
                <w:szCs w:val="32"/>
                <w:lang w:val="en-US" w:eastAsia="zh-CN" w:bidi="ar"/>
              </w:rPr>
              <w:t>分；差：0—5分。</w:t>
            </w:r>
          </w:p>
        </w:tc>
        <w:tc>
          <w:tcPr>
            <w:tcW w:w="1290" w:type="dxa"/>
            <w:shd w:val="clear" w:color="auto" w:fill="auto"/>
            <w:tcMar>
              <w:top w:w="200" w:type="dxa"/>
              <w:left w:w="320" w:type="dxa"/>
              <w:bottom w:w="200" w:type="dxa"/>
              <w:right w:w="0" w:type="dxa"/>
            </w:tcMar>
            <w:vAlign w:val="center"/>
          </w:tcPr>
          <w:p w14:paraId="394FF2E6">
            <w:pPr>
              <w:keepNext w:val="0"/>
              <w:keepLines w:val="0"/>
              <w:pageBreakBefore w:val="0"/>
              <w:kinsoku/>
              <w:wordWrap/>
              <w:overflowPunct/>
              <w:topLinePunct w:val="0"/>
              <w:autoSpaceDE/>
              <w:autoSpaceDN/>
              <w:bidi w:val="0"/>
              <w:adjustRightInd/>
              <w:snapToGrid/>
              <w:spacing w:before="0" w:beforeAutospacing="0" w:after="0" w:afterAutospacing="0" w:line="600" w:lineRule="exact"/>
              <w:jc w:val="center"/>
              <w:textAlignment w:val="auto"/>
              <w:rPr>
                <w:rFonts w:hint="eastAsia" w:ascii="仿宋_GB2312" w:hAnsi="仿宋_GB2312" w:eastAsia="仿宋_GB2312" w:cs="仿宋_GB2312"/>
                <w:sz w:val="32"/>
                <w:szCs w:val="32"/>
              </w:rPr>
            </w:pPr>
          </w:p>
        </w:tc>
      </w:tr>
      <w:tr w14:paraId="54874C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701" w:hRule="exact"/>
        </w:trPr>
        <w:tc>
          <w:tcPr>
            <w:tcW w:w="1670" w:type="dxa"/>
            <w:shd w:val="clear" w:color="auto" w:fill="auto"/>
            <w:tcMar>
              <w:top w:w="200" w:type="dxa"/>
              <w:left w:w="0" w:type="dxa"/>
              <w:bottom w:w="200" w:type="dxa"/>
              <w:right w:w="320" w:type="dxa"/>
            </w:tcMar>
            <w:vAlign w:val="center"/>
          </w:tcPr>
          <w:p w14:paraId="45C5D030">
            <w:pPr>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jc w:val="center"/>
              <w:textAlignment w:val="auto"/>
              <w:rPr>
                <w:rFonts w:hint="eastAsia" w:ascii="仿宋_GB2312" w:hAnsi="仿宋_GB2312" w:eastAsia="仿宋_GB2312" w:cs="仿宋_GB2312"/>
                <w:sz w:val="32"/>
                <w:szCs w:val="32"/>
                <w:lang w:val="en-US" w:eastAsia="zh-Hans"/>
              </w:rPr>
            </w:pPr>
            <w:r>
              <w:rPr>
                <w:rFonts w:hint="eastAsia" w:ascii="仿宋_GB2312" w:hAnsi="仿宋_GB2312" w:eastAsia="仿宋_GB2312" w:cs="仿宋_GB2312"/>
                <w:kern w:val="0"/>
                <w:sz w:val="32"/>
                <w:szCs w:val="32"/>
                <w:lang w:val="en-US" w:eastAsia="zh-CN" w:bidi="ar"/>
              </w:rPr>
              <w:t>2. 活动执行与</w:t>
            </w:r>
            <w:r>
              <w:rPr>
                <w:rFonts w:hint="eastAsia" w:ascii="仿宋_GB2312" w:hAnsi="仿宋_GB2312" w:eastAsia="仿宋_GB2312" w:cs="仿宋_GB2312"/>
                <w:kern w:val="0"/>
                <w:sz w:val="32"/>
                <w:szCs w:val="32"/>
                <w:lang w:val="en-US" w:eastAsia="zh-Hans" w:bidi="ar"/>
              </w:rPr>
              <w:t>应急方案</w:t>
            </w:r>
          </w:p>
        </w:tc>
        <w:tc>
          <w:tcPr>
            <w:tcW w:w="1635" w:type="dxa"/>
            <w:shd w:val="clear" w:color="auto" w:fill="auto"/>
            <w:tcMar>
              <w:top w:w="200" w:type="dxa"/>
              <w:left w:w="320" w:type="dxa"/>
              <w:bottom w:w="200" w:type="dxa"/>
              <w:right w:w="320" w:type="dxa"/>
            </w:tcMar>
            <w:vAlign w:val="center"/>
          </w:tcPr>
          <w:p w14:paraId="722EEF24">
            <w:pPr>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jc w:val="center"/>
              <w:textAlignment w:val="auto"/>
              <w:rPr>
                <w:rFonts w:hint="eastAsia" w:ascii="仿宋_GB2312" w:hAnsi="仿宋_GB2312" w:eastAsia="仿宋_GB2312" w:cs="仿宋_GB2312"/>
                <w:sz w:val="32"/>
                <w:szCs w:val="32"/>
              </w:rPr>
            </w:pPr>
            <w:r>
              <w:rPr>
                <w:rFonts w:hint="eastAsia" w:ascii="仿宋_GB2312" w:hAnsi="仿宋_GB2312" w:eastAsia="仿宋_GB2312" w:cs="仿宋_GB2312"/>
                <w:kern w:val="0"/>
                <w:sz w:val="32"/>
                <w:szCs w:val="32"/>
                <w:lang w:eastAsia="zh-CN" w:bidi="ar"/>
              </w:rPr>
              <w:t>15</w:t>
            </w:r>
          </w:p>
        </w:tc>
        <w:tc>
          <w:tcPr>
            <w:tcW w:w="5280" w:type="dxa"/>
            <w:shd w:val="clear" w:color="auto" w:fill="auto"/>
            <w:tcMar>
              <w:top w:w="200" w:type="dxa"/>
              <w:left w:w="320" w:type="dxa"/>
              <w:bottom w:w="200" w:type="dxa"/>
              <w:right w:w="320" w:type="dxa"/>
            </w:tcMar>
            <w:vAlign w:val="center"/>
          </w:tcPr>
          <w:p w14:paraId="6A743005">
            <w:pPr>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jc w:val="center"/>
              <w:textAlignment w:val="auto"/>
              <w:rPr>
                <w:rFonts w:hint="eastAsia" w:ascii="仿宋_GB2312" w:hAnsi="仿宋_GB2312" w:eastAsia="仿宋_GB2312" w:cs="仿宋_GB2312"/>
                <w:sz w:val="32"/>
                <w:szCs w:val="32"/>
              </w:rPr>
            </w:pPr>
            <w:r>
              <w:rPr>
                <w:rFonts w:hint="eastAsia" w:ascii="仿宋_GB2312" w:hAnsi="仿宋_GB2312" w:eastAsia="仿宋_GB2312" w:cs="仿宋_GB2312"/>
                <w:kern w:val="0"/>
                <w:sz w:val="32"/>
                <w:szCs w:val="32"/>
                <w:lang w:val="en-US" w:eastAsia="zh-CN" w:bidi="ar"/>
              </w:rPr>
              <w:t>根据供应单位提供的执行方案、人员分工、应急预案等进行评审。优：13—15分；良：10—12分；一般：6—9分；差：0—5分。</w:t>
            </w:r>
          </w:p>
        </w:tc>
        <w:tc>
          <w:tcPr>
            <w:tcW w:w="1290" w:type="dxa"/>
            <w:shd w:val="clear" w:color="auto" w:fill="auto"/>
            <w:tcMar>
              <w:top w:w="200" w:type="dxa"/>
              <w:left w:w="320" w:type="dxa"/>
              <w:bottom w:w="200" w:type="dxa"/>
              <w:right w:w="0" w:type="dxa"/>
            </w:tcMar>
            <w:vAlign w:val="center"/>
          </w:tcPr>
          <w:p w14:paraId="5CCC0E30">
            <w:pPr>
              <w:keepNext w:val="0"/>
              <w:keepLines w:val="0"/>
              <w:pageBreakBefore w:val="0"/>
              <w:kinsoku/>
              <w:wordWrap/>
              <w:overflowPunct/>
              <w:topLinePunct w:val="0"/>
              <w:autoSpaceDE/>
              <w:autoSpaceDN/>
              <w:bidi w:val="0"/>
              <w:adjustRightInd/>
              <w:snapToGrid/>
              <w:spacing w:before="0" w:beforeAutospacing="0" w:after="0" w:afterAutospacing="0" w:line="600" w:lineRule="exact"/>
              <w:jc w:val="center"/>
              <w:textAlignment w:val="auto"/>
              <w:rPr>
                <w:rFonts w:hint="eastAsia" w:ascii="仿宋_GB2312" w:hAnsi="仿宋_GB2312" w:eastAsia="仿宋_GB2312" w:cs="仿宋_GB2312"/>
                <w:sz w:val="32"/>
                <w:szCs w:val="32"/>
              </w:rPr>
            </w:pPr>
          </w:p>
        </w:tc>
      </w:tr>
      <w:tr w14:paraId="54A6A8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194" w:hRule="exact"/>
        </w:trPr>
        <w:tc>
          <w:tcPr>
            <w:tcW w:w="1670" w:type="dxa"/>
            <w:shd w:val="clear" w:color="auto" w:fill="auto"/>
            <w:tcMar>
              <w:top w:w="200" w:type="dxa"/>
              <w:left w:w="0" w:type="dxa"/>
              <w:bottom w:w="200" w:type="dxa"/>
              <w:right w:w="320" w:type="dxa"/>
            </w:tcMar>
            <w:vAlign w:val="center"/>
          </w:tcPr>
          <w:p w14:paraId="46DB1B70">
            <w:pPr>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jc w:val="center"/>
              <w:textAlignment w:val="auto"/>
              <w:rPr>
                <w:rFonts w:hint="eastAsia" w:ascii="仿宋_GB2312" w:hAnsi="仿宋_GB2312" w:eastAsia="仿宋_GB2312" w:cs="仿宋_GB2312"/>
                <w:sz w:val="32"/>
                <w:szCs w:val="32"/>
              </w:rPr>
            </w:pPr>
            <w:r>
              <w:rPr>
                <w:rFonts w:hint="eastAsia" w:ascii="仿宋_GB2312" w:hAnsi="仿宋_GB2312" w:eastAsia="仿宋_GB2312" w:cs="仿宋_GB2312"/>
                <w:kern w:val="0"/>
                <w:sz w:val="32"/>
                <w:szCs w:val="32"/>
                <w:lang w:val="en-US" w:eastAsia="zh-CN" w:bidi="ar"/>
              </w:rPr>
              <w:t>3. 全媒体宣传推广</w:t>
            </w:r>
          </w:p>
        </w:tc>
        <w:tc>
          <w:tcPr>
            <w:tcW w:w="1635" w:type="dxa"/>
            <w:shd w:val="clear" w:color="auto" w:fill="auto"/>
            <w:tcMar>
              <w:top w:w="200" w:type="dxa"/>
              <w:left w:w="320" w:type="dxa"/>
              <w:bottom w:w="200" w:type="dxa"/>
              <w:right w:w="320" w:type="dxa"/>
            </w:tcMar>
            <w:vAlign w:val="center"/>
          </w:tcPr>
          <w:p w14:paraId="7C34F095">
            <w:pPr>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jc w:val="center"/>
              <w:textAlignment w:val="auto"/>
              <w:rPr>
                <w:rFonts w:hint="eastAsia" w:ascii="仿宋_GB2312" w:hAnsi="仿宋_GB2312" w:eastAsia="仿宋_GB2312" w:cs="仿宋_GB2312"/>
                <w:sz w:val="32"/>
                <w:szCs w:val="32"/>
              </w:rPr>
            </w:pPr>
            <w:r>
              <w:rPr>
                <w:rFonts w:hint="eastAsia" w:ascii="仿宋_GB2312" w:hAnsi="仿宋_GB2312" w:eastAsia="仿宋_GB2312" w:cs="仿宋_GB2312"/>
                <w:kern w:val="0"/>
                <w:sz w:val="32"/>
                <w:szCs w:val="32"/>
                <w:lang w:val="en-US" w:eastAsia="zh-CN" w:bidi="ar"/>
              </w:rPr>
              <w:t>15</w:t>
            </w:r>
          </w:p>
        </w:tc>
        <w:tc>
          <w:tcPr>
            <w:tcW w:w="5280" w:type="dxa"/>
            <w:shd w:val="clear" w:color="auto" w:fill="auto"/>
            <w:tcMar>
              <w:top w:w="200" w:type="dxa"/>
              <w:left w:w="320" w:type="dxa"/>
              <w:bottom w:w="200" w:type="dxa"/>
              <w:right w:w="320" w:type="dxa"/>
            </w:tcMar>
            <w:vAlign w:val="center"/>
          </w:tcPr>
          <w:p w14:paraId="108D2F1E">
            <w:pPr>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jc w:val="center"/>
              <w:textAlignment w:val="auto"/>
              <w:rPr>
                <w:rFonts w:hint="eastAsia" w:ascii="仿宋_GB2312" w:hAnsi="仿宋_GB2312" w:eastAsia="仿宋_GB2312" w:cs="仿宋_GB2312"/>
                <w:sz w:val="32"/>
                <w:szCs w:val="32"/>
              </w:rPr>
            </w:pPr>
            <w:r>
              <w:rPr>
                <w:rFonts w:hint="eastAsia" w:ascii="仿宋_GB2312" w:hAnsi="仿宋_GB2312" w:eastAsia="仿宋_GB2312" w:cs="仿宋_GB2312"/>
                <w:kern w:val="0"/>
                <w:sz w:val="32"/>
                <w:szCs w:val="32"/>
                <w:lang w:val="en-US" w:eastAsia="zh-CN" w:bidi="ar"/>
              </w:rPr>
              <w:t>根据供应单位提供的宣传矩阵、排期、平台资源、短视频、推文、海报等进行评审。优：13—15分；良：10—12分；一般：6—9分；差：0—5分。</w:t>
            </w:r>
          </w:p>
        </w:tc>
        <w:tc>
          <w:tcPr>
            <w:tcW w:w="1290" w:type="dxa"/>
            <w:shd w:val="clear" w:color="auto" w:fill="auto"/>
            <w:tcMar>
              <w:top w:w="200" w:type="dxa"/>
              <w:left w:w="320" w:type="dxa"/>
              <w:bottom w:w="200" w:type="dxa"/>
              <w:right w:w="0" w:type="dxa"/>
            </w:tcMar>
            <w:vAlign w:val="center"/>
          </w:tcPr>
          <w:p w14:paraId="749CCC4D">
            <w:pPr>
              <w:keepNext w:val="0"/>
              <w:keepLines w:val="0"/>
              <w:pageBreakBefore w:val="0"/>
              <w:kinsoku/>
              <w:wordWrap/>
              <w:overflowPunct/>
              <w:topLinePunct w:val="0"/>
              <w:autoSpaceDE/>
              <w:autoSpaceDN/>
              <w:bidi w:val="0"/>
              <w:adjustRightInd/>
              <w:snapToGrid/>
              <w:spacing w:before="0" w:beforeAutospacing="0" w:after="0" w:afterAutospacing="0" w:line="600" w:lineRule="exact"/>
              <w:jc w:val="center"/>
              <w:textAlignment w:val="auto"/>
              <w:rPr>
                <w:rFonts w:hint="eastAsia" w:ascii="仿宋_GB2312" w:hAnsi="仿宋_GB2312" w:eastAsia="仿宋_GB2312" w:cs="仿宋_GB2312"/>
                <w:sz w:val="32"/>
                <w:szCs w:val="32"/>
              </w:rPr>
            </w:pPr>
          </w:p>
        </w:tc>
      </w:tr>
      <w:tr w14:paraId="6BDEE6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622" w:hRule="exact"/>
        </w:trPr>
        <w:tc>
          <w:tcPr>
            <w:tcW w:w="9875" w:type="dxa"/>
            <w:gridSpan w:val="4"/>
            <w:shd w:val="clear" w:color="auto" w:fill="auto"/>
            <w:tcMar>
              <w:top w:w="200" w:type="dxa"/>
              <w:left w:w="0" w:type="dxa"/>
              <w:bottom w:w="200" w:type="dxa"/>
              <w:right w:w="320" w:type="dxa"/>
            </w:tcMar>
            <w:vAlign w:val="center"/>
          </w:tcPr>
          <w:p w14:paraId="293EE9DE">
            <w:pPr>
              <w:keepNext w:val="0"/>
              <w:keepLines w:val="0"/>
              <w:pageBreakBefore w:val="0"/>
              <w:kinsoku/>
              <w:wordWrap/>
              <w:overflowPunct/>
              <w:topLinePunct w:val="0"/>
              <w:autoSpaceDE/>
              <w:autoSpaceDN/>
              <w:bidi w:val="0"/>
              <w:adjustRightInd/>
              <w:snapToGrid/>
              <w:spacing w:before="0" w:beforeAutospacing="0" w:after="0" w:afterAutospacing="0" w:line="600" w:lineRule="exact"/>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kern w:val="0"/>
                <w:sz w:val="32"/>
                <w:szCs w:val="32"/>
                <w:lang w:val="en-US" w:eastAsia="zh-CN" w:bidi="ar"/>
              </w:rPr>
              <w:t>三、商务分</w:t>
            </w:r>
            <w:r>
              <w:rPr>
                <w:rFonts w:hint="eastAsia" w:ascii="仿宋_GB2312" w:hAnsi="仿宋_GB2312" w:eastAsia="仿宋_GB2312" w:cs="仿宋_GB2312"/>
                <w:b/>
                <w:bCs/>
                <w:kern w:val="0"/>
                <w:sz w:val="32"/>
                <w:szCs w:val="32"/>
                <w:lang w:eastAsia="zh-CN" w:bidi="ar"/>
              </w:rPr>
              <w:t>40</w:t>
            </w:r>
            <w:r>
              <w:rPr>
                <w:rFonts w:hint="eastAsia" w:ascii="仿宋_GB2312" w:hAnsi="仿宋_GB2312" w:eastAsia="仿宋_GB2312" w:cs="仿宋_GB2312"/>
                <w:b/>
                <w:bCs/>
                <w:kern w:val="0"/>
                <w:sz w:val="32"/>
                <w:szCs w:val="32"/>
                <w:lang w:val="en-US" w:eastAsia="zh-Hans" w:bidi="ar"/>
              </w:rPr>
              <w:t>分</w:t>
            </w:r>
          </w:p>
        </w:tc>
      </w:tr>
      <w:tr w14:paraId="424428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820" w:hRule="exact"/>
        </w:trPr>
        <w:tc>
          <w:tcPr>
            <w:tcW w:w="1670" w:type="dxa"/>
            <w:shd w:val="clear" w:color="auto" w:fill="auto"/>
            <w:tcMar>
              <w:top w:w="200" w:type="dxa"/>
              <w:left w:w="0" w:type="dxa"/>
              <w:bottom w:w="200" w:type="dxa"/>
              <w:right w:w="320" w:type="dxa"/>
            </w:tcMar>
            <w:vAlign w:val="center"/>
          </w:tcPr>
          <w:p w14:paraId="2FFA8050">
            <w:pPr>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jc w:val="center"/>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kern w:val="0"/>
                <w:sz w:val="32"/>
                <w:szCs w:val="32"/>
                <w:highlight w:val="none"/>
                <w:lang w:val="en-US" w:eastAsia="zh-CN" w:bidi="ar"/>
              </w:rPr>
              <w:t>1. 全媒体官方资源</w:t>
            </w:r>
          </w:p>
        </w:tc>
        <w:tc>
          <w:tcPr>
            <w:tcW w:w="1635" w:type="dxa"/>
            <w:shd w:val="clear" w:color="auto" w:fill="auto"/>
            <w:tcMar>
              <w:top w:w="200" w:type="dxa"/>
              <w:left w:w="320" w:type="dxa"/>
              <w:bottom w:w="200" w:type="dxa"/>
              <w:right w:w="320" w:type="dxa"/>
            </w:tcMar>
            <w:vAlign w:val="center"/>
          </w:tcPr>
          <w:p w14:paraId="1070E0ED">
            <w:pPr>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jc w:val="center"/>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kern w:val="0"/>
                <w:sz w:val="32"/>
                <w:szCs w:val="32"/>
                <w:highlight w:val="none"/>
                <w:lang w:val="en-US" w:eastAsia="zh-CN" w:bidi="ar"/>
              </w:rPr>
              <w:t>15</w:t>
            </w:r>
          </w:p>
        </w:tc>
        <w:tc>
          <w:tcPr>
            <w:tcW w:w="5280" w:type="dxa"/>
            <w:shd w:val="clear" w:color="auto" w:fill="auto"/>
            <w:tcMar>
              <w:top w:w="200" w:type="dxa"/>
              <w:left w:w="320" w:type="dxa"/>
              <w:bottom w:w="200" w:type="dxa"/>
              <w:right w:w="320" w:type="dxa"/>
            </w:tcMar>
            <w:vAlign w:val="center"/>
          </w:tcPr>
          <w:p w14:paraId="59B560F5">
            <w:pPr>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jc w:val="center"/>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kern w:val="0"/>
                <w:sz w:val="32"/>
                <w:szCs w:val="32"/>
                <w:highlight w:val="none"/>
                <w:lang w:val="en-US" w:eastAsia="zh-CN" w:bidi="ar"/>
              </w:rPr>
              <w:t>供应单位自有或获授权使用地市级或以上广播电视播出机构频道、APP、视频号等全媒体资源，每提供一项有效证明得3分，最高15分。</w:t>
            </w:r>
          </w:p>
        </w:tc>
        <w:tc>
          <w:tcPr>
            <w:tcW w:w="1290" w:type="dxa"/>
            <w:shd w:val="clear" w:color="auto" w:fill="auto"/>
            <w:tcMar>
              <w:top w:w="200" w:type="dxa"/>
              <w:left w:w="320" w:type="dxa"/>
              <w:bottom w:w="200" w:type="dxa"/>
              <w:right w:w="0" w:type="dxa"/>
            </w:tcMar>
            <w:vAlign w:val="center"/>
          </w:tcPr>
          <w:p w14:paraId="41A5C03F">
            <w:pPr>
              <w:keepNext w:val="0"/>
              <w:keepLines w:val="0"/>
              <w:pageBreakBefore w:val="0"/>
              <w:kinsoku/>
              <w:wordWrap/>
              <w:overflowPunct/>
              <w:topLinePunct w:val="0"/>
              <w:autoSpaceDE/>
              <w:autoSpaceDN/>
              <w:bidi w:val="0"/>
              <w:adjustRightInd/>
              <w:snapToGrid/>
              <w:spacing w:before="0" w:beforeAutospacing="0" w:after="0" w:afterAutospacing="0" w:line="600" w:lineRule="exact"/>
              <w:jc w:val="center"/>
              <w:textAlignment w:val="auto"/>
              <w:rPr>
                <w:rFonts w:hint="eastAsia" w:ascii="仿宋_GB2312" w:hAnsi="仿宋_GB2312" w:eastAsia="仿宋_GB2312" w:cs="仿宋_GB2312"/>
                <w:sz w:val="32"/>
                <w:szCs w:val="32"/>
                <w:highlight w:val="yellow"/>
              </w:rPr>
            </w:pPr>
          </w:p>
        </w:tc>
      </w:tr>
      <w:tr w14:paraId="38BA15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782" w:hRule="exact"/>
        </w:trPr>
        <w:tc>
          <w:tcPr>
            <w:tcW w:w="1670" w:type="dxa"/>
            <w:shd w:val="clear" w:color="auto" w:fill="auto"/>
            <w:tcMar>
              <w:top w:w="200" w:type="dxa"/>
              <w:left w:w="0" w:type="dxa"/>
              <w:bottom w:w="200" w:type="dxa"/>
              <w:right w:w="320" w:type="dxa"/>
            </w:tcMar>
            <w:vAlign w:val="center"/>
          </w:tcPr>
          <w:p w14:paraId="0A6611A0">
            <w:pPr>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jc w:val="center"/>
              <w:textAlignment w:val="auto"/>
              <w:rPr>
                <w:rFonts w:hint="eastAsia" w:ascii="仿宋_GB2312" w:hAnsi="仿宋_GB2312" w:eastAsia="仿宋_GB2312" w:cs="仿宋_GB2312"/>
                <w:sz w:val="32"/>
                <w:szCs w:val="32"/>
              </w:rPr>
            </w:pPr>
            <w:r>
              <w:rPr>
                <w:rFonts w:hint="eastAsia" w:ascii="仿宋_GB2312" w:hAnsi="仿宋_GB2312" w:eastAsia="仿宋_GB2312" w:cs="仿宋_GB2312"/>
                <w:kern w:val="0"/>
                <w:sz w:val="32"/>
                <w:szCs w:val="32"/>
                <w:lang w:val="en-US" w:eastAsia="zh-CN" w:bidi="ar"/>
              </w:rPr>
              <w:t>2. 市级以上同类业绩</w:t>
            </w:r>
          </w:p>
        </w:tc>
        <w:tc>
          <w:tcPr>
            <w:tcW w:w="1635" w:type="dxa"/>
            <w:shd w:val="clear" w:color="auto" w:fill="auto"/>
            <w:tcMar>
              <w:top w:w="200" w:type="dxa"/>
              <w:left w:w="320" w:type="dxa"/>
              <w:bottom w:w="200" w:type="dxa"/>
              <w:right w:w="320" w:type="dxa"/>
            </w:tcMar>
            <w:vAlign w:val="center"/>
          </w:tcPr>
          <w:p w14:paraId="62F109AA">
            <w:pPr>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jc w:val="center"/>
              <w:textAlignment w:val="auto"/>
              <w:rPr>
                <w:rFonts w:hint="eastAsia" w:ascii="仿宋_GB2312" w:hAnsi="仿宋_GB2312" w:eastAsia="仿宋_GB2312" w:cs="仿宋_GB2312"/>
                <w:sz w:val="32"/>
                <w:szCs w:val="32"/>
              </w:rPr>
            </w:pPr>
            <w:r>
              <w:rPr>
                <w:rFonts w:hint="eastAsia" w:ascii="仿宋_GB2312" w:hAnsi="仿宋_GB2312" w:eastAsia="仿宋_GB2312" w:cs="仿宋_GB2312"/>
                <w:kern w:val="0"/>
                <w:sz w:val="32"/>
                <w:szCs w:val="32"/>
                <w:lang w:eastAsia="zh-CN" w:bidi="ar"/>
              </w:rPr>
              <w:t>15</w:t>
            </w:r>
          </w:p>
        </w:tc>
        <w:tc>
          <w:tcPr>
            <w:tcW w:w="5280" w:type="dxa"/>
            <w:shd w:val="clear" w:color="auto" w:fill="auto"/>
            <w:tcMar>
              <w:top w:w="200" w:type="dxa"/>
              <w:left w:w="320" w:type="dxa"/>
              <w:bottom w:w="200" w:type="dxa"/>
              <w:right w:w="320" w:type="dxa"/>
            </w:tcMar>
            <w:vAlign w:val="center"/>
          </w:tcPr>
          <w:p w14:paraId="1478A558">
            <w:pPr>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jc w:val="center"/>
              <w:textAlignment w:val="auto"/>
              <w:rPr>
                <w:rFonts w:hint="eastAsia" w:ascii="仿宋_GB2312" w:hAnsi="仿宋_GB2312" w:eastAsia="仿宋_GB2312" w:cs="仿宋_GB2312"/>
                <w:sz w:val="32"/>
                <w:szCs w:val="32"/>
              </w:rPr>
            </w:pPr>
            <w:r>
              <w:rPr>
                <w:rFonts w:hint="eastAsia" w:ascii="仿宋_GB2312" w:hAnsi="仿宋_GB2312" w:eastAsia="仿宋_GB2312" w:cs="仿宋_GB2312"/>
                <w:kern w:val="0"/>
                <w:sz w:val="32"/>
                <w:szCs w:val="32"/>
                <w:lang w:val="en-US" w:eastAsia="zh-CN" w:bidi="ar"/>
              </w:rPr>
              <w:t>在满足资格条件基础上，2023年1月1日以来每增加1项市级或以上政府机关或事业单位主办的大型公益活动或文旅活动全案策划执行及宣传推广业绩得5分，最高</w:t>
            </w:r>
            <w:r>
              <w:rPr>
                <w:rFonts w:hint="eastAsia" w:ascii="仿宋_GB2312" w:hAnsi="仿宋_GB2312" w:eastAsia="仿宋_GB2312" w:cs="仿宋_GB2312"/>
                <w:kern w:val="0"/>
                <w:sz w:val="32"/>
                <w:szCs w:val="32"/>
                <w:lang w:eastAsia="zh-CN" w:bidi="ar"/>
              </w:rPr>
              <w:t>15</w:t>
            </w:r>
            <w:r>
              <w:rPr>
                <w:rFonts w:hint="eastAsia" w:ascii="仿宋_GB2312" w:hAnsi="仿宋_GB2312" w:eastAsia="仿宋_GB2312" w:cs="仿宋_GB2312"/>
                <w:kern w:val="0"/>
                <w:sz w:val="32"/>
                <w:szCs w:val="32"/>
                <w:lang w:val="en-US" w:eastAsia="zh-CN" w:bidi="ar"/>
              </w:rPr>
              <w:t>分。须提供项目合同及验收证明。</w:t>
            </w:r>
          </w:p>
        </w:tc>
        <w:tc>
          <w:tcPr>
            <w:tcW w:w="1290" w:type="dxa"/>
            <w:shd w:val="clear" w:color="auto" w:fill="auto"/>
            <w:tcMar>
              <w:top w:w="200" w:type="dxa"/>
              <w:left w:w="320" w:type="dxa"/>
              <w:bottom w:w="200" w:type="dxa"/>
              <w:right w:w="0" w:type="dxa"/>
            </w:tcMar>
            <w:vAlign w:val="center"/>
          </w:tcPr>
          <w:p w14:paraId="349FBE06">
            <w:pPr>
              <w:keepNext w:val="0"/>
              <w:keepLines w:val="0"/>
              <w:pageBreakBefore w:val="0"/>
              <w:kinsoku/>
              <w:wordWrap/>
              <w:overflowPunct/>
              <w:topLinePunct w:val="0"/>
              <w:autoSpaceDE/>
              <w:autoSpaceDN/>
              <w:bidi w:val="0"/>
              <w:adjustRightInd/>
              <w:snapToGrid/>
              <w:spacing w:before="0" w:beforeAutospacing="0" w:after="0" w:afterAutospacing="0" w:line="600" w:lineRule="exact"/>
              <w:jc w:val="center"/>
              <w:textAlignment w:val="auto"/>
              <w:rPr>
                <w:rFonts w:hint="eastAsia" w:ascii="仿宋_GB2312" w:hAnsi="仿宋_GB2312" w:eastAsia="仿宋_GB2312" w:cs="仿宋_GB2312"/>
                <w:sz w:val="32"/>
                <w:szCs w:val="32"/>
              </w:rPr>
            </w:pPr>
          </w:p>
        </w:tc>
      </w:tr>
      <w:tr w14:paraId="0A56ED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740" w:hRule="exact"/>
        </w:trPr>
        <w:tc>
          <w:tcPr>
            <w:tcW w:w="1670" w:type="dxa"/>
            <w:shd w:val="clear" w:color="auto" w:fill="auto"/>
            <w:tcMar>
              <w:top w:w="200" w:type="dxa"/>
              <w:left w:w="0" w:type="dxa"/>
              <w:bottom w:w="200" w:type="dxa"/>
              <w:right w:w="320" w:type="dxa"/>
            </w:tcMar>
            <w:vAlign w:val="center"/>
          </w:tcPr>
          <w:p w14:paraId="653BD726">
            <w:pPr>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jc w:val="center"/>
              <w:textAlignment w:val="auto"/>
              <w:rPr>
                <w:rFonts w:hint="eastAsia" w:ascii="仿宋_GB2312" w:hAnsi="仿宋_GB2312" w:eastAsia="仿宋_GB2312" w:cs="仿宋_GB2312"/>
                <w:sz w:val="32"/>
                <w:szCs w:val="32"/>
              </w:rPr>
            </w:pPr>
            <w:r>
              <w:rPr>
                <w:rFonts w:hint="eastAsia" w:ascii="仿宋_GB2312" w:hAnsi="仿宋_GB2312" w:eastAsia="仿宋_GB2312" w:cs="仿宋_GB2312"/>
                <w:kern w:val="0"/>
                <w:sz w:val="32"/>
                <w:szCs w:val="32"/>
                <w:lang w:val="en-US" w:eastAsia="zh-CN" w:bidi="ar"/>
              </w:rPr>
              <w:t>3. 项目团队</w:t>
            </w:r>
          </w:p>
        </w:tc>
        <w:tc>
          <w:tcPr>
            <w:tcW w:w="1635" w:type="dxa"/>
            <w:shd w:val="clear" w:color="auto" w:fill="auto"/>
            <w:tcMar>
              <w:top w:w="200" w:type="dxa"/>
              <w:left w:w="320" w:type="dxa"/>
              <w:bottom w:w="200" w:type="dxa"/>
              <w:right w:w="320" w:type="dxa"/>
            </w:tcMar>
            <w:vAlign w:val="center"/>
          </w:tcPr>
          <w:p w14:paraId="65244FA3">
            <w:pPr>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jc w:val="center"/>
              <w:textAlignment w:val="auto"/>
              <w:rPr>
                <w:rFonts w:hint="eastAsia" w:ascii="仿宋_GB2312" w:hAnsi="仿宋_GB2312" w:eastAsia="仿宋_GB2312" w:cs="仿宋_GB2312"/>
                <w:sz w:val="32"/>
                <w:szCs w:val="32"/>
              </w:rPr>
            </w:pPr>
            <w:r>
              <w:rPr>
                <w:rFonts w:hint="eastAsia" w:ascii="仿宋_GB2312" w:hAnsi="仿宋_GB2312" w:eastAsia="仿宋_GB2312" w:cs="仿宋_GB2312"/>
                <w:kern w:val="0"/>
                <w:sz w:val="32"/>
                <w:szCs w:val="32"/>
                <w:lang w:eastAsia="zh-CN" w:bidi="ar"/>
              </w:rPr>
              <w:t>10</w:t>
            </w:r>
          </w:p>
        </w:tc>
        <w:tc>
          <w:tcPr>
            <w:tcW w:w="5280" w:type="dxa"/>
            <w:shd w:val="clear" w:color="auto" w:fill="auto"/>
            <w:tcMar>
              <w:top w:w="200" w:type="dxa"/>
              <w:left w:w="320" w:type="dxa"/>
              <w:bottom w:w="200" w:type="dxa"/>
              <w:right w:w="320" w:type="dxa"/>
            </w:tcMar>
            <w:vAlign w:val="center"/>
          </w:tcPr>
          <w:p w14:paraId="68DB578D">
            <w:pPr>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jc w:val="center"/>
              <w:textAlignment w:val="auto"/>
              <w:rPr>
                <w:rFonts w:hint="eastAsia" w:ascii="仿宋_GB2312" w:hAnsi="仿宋_GB2312" w:eastAsia="仿宋_GB2312" w:cs="仿宋_GB2312"/>
                <w:sz w:val="32"/>
                <w:szCs w:val="32"/>
              </w:rPr>
            </w:pPr>
            <w:r>
              <w:rPr>
                <w:rFonts w:hint="eastAsia" w:ascii="仿宋_GB2312" w:hAnsi="仿宋_GB2312" w:eastAsia="仿宋_GB2312" w:cs="仿宋_GB2312"/>
                <w:kern w:val="0"/>
                <w:sz w:val="32"/>
                <w:szCs w:val="32"/>
                <w:lang w:val="en-US" w:eastAsia="zh-CN" w:bidi="ar"/>
              </w:rPr>
              <w:t>项目负责人具有5年以上大型活动导演、策划或全媒体传播经验；团队配备策划、导演、编导、摄像、直播、新媒体运营等人员。优：9—10分；良：7—8分；一般：4—6分；差：0—3分。</w:t>
            </w:r>
          </w:p>
        </w:tc>
        <w:tc>
          <w:tcPr>
            <w:tcW w:w="1290" w:type="dxa"/>
            <w:shd w:val="clear" w:color="auto" w:fill="auto"/>
            <w:tcMar>
              <w:top w:w="200" w:type="dxa"/>
              <w:left w:w="320" w:type="dxa"/>
              <w:bottom w:w="200" w:type="dxa"/>
              <w:right w:w="0" w:type="dxa"/>
            </w:tcMar>
            <w:vAlign w:val="center"/>
          </w:tcPr>
          <w:p w14:paraId="41DD30A3">
            <w:pPr>
              <w:keepNext w:val="0"/>
              <w:keepLines w:val="0"/>
              <w:pageBreakBefore w:val="0"/>
              <w:kinsoku/>
              <w:wordWrap/>
              <w:overflowPunct/>
              <w:topLinePunct w:val="0"/>
              <w:autoSpaceDE/>
              <w:autoSpaceDN/>
              <w:bidi w:val="0"/>
              <w:adjustRightInd/>
              <w:snapToGrid/>
              <w:spacing w:before="0" w:beforeAutospacing="0" w:after="0" w:afterAutospacing="0" w:line="600" w:lineRule="exact"/>
              <w:jc w:val="center"/>
              <w:textAlignment w:val="auto"/>
              <w:rPr>
                <w:rFonts w:hint="eastAsia" w:ascii="仿宋_GB2312" w:hAnsi="仿宋_GB2312" w:eastAsia="仿宋_GB2312" w:cs="仿宋_GB2312"/>
                <w:sz w:val="32"/>
                <w:szCs w:val="32"/>
              </w:rPr>
            </w:pPr>
          </w:p>
        </w:tc>
      </w:tr>
      <w:tr w14:paraId="52ADA0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754" w:hRule="exact"/>
        </w:trPr>
        <w:tc>
          <w:tcPr>
            <w:tcW w:w="1670" w:type="dxa"/>
            <w:shd w:val="clear" w:color="auto" w:fill="auto"/>
            <w:tcMar>
              <w:top w:w="200" w:type="dxa"/>
              <w:left w:w="0" w:type="dxa"/>
              <w:bottom w:w="200" w:type="dxa"/>
              <w:right w:w="320" w:type="dxa"/>
            </w:tcMar>
            <w:vAlign w:val="center"/>
          </w:tcPr>
          <w:p w14:paraId="1EFA2C73">
            <w:pPr>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jc w:val="center"/>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kern w:val="0"/>
                <w:sz w:val="32"/>
                <w:szCs w:val="32"/>
                <w:lang w:val="en-US" w:eastAsia="zh-CN" w:bidi="ar"/>
              </w:rPr>
              <w:t>合计</w:t>
            </w:r>
          </w:p>
        </w:tc>
        <w:tc>
          <w:tcPr>
            <w:tcW w:w="1635" w:type="dxa"/>
            <w:shd w:val="clear" w:color="auto" w:fill="auto"/>
            <w:tcMar>
              <w:top w:w="200" w:type="dxa"/>
              <w:left w:w="320" w:type="dxa"/>
              <w:bottom w:w="200" w:type="dxa"/>
              <w:right w:w="320" w:type="dxa"/>
            </w:tcMar>
            <w:vAlign w:val="center"/>
          </w:tcPr>
          <w:p w14:paraId="38EC9B3B">
            <w:pPr>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jc w:val="center"/>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kern w:val="0"/>
                <w:sz w:val="32"/>
                <w:szCs w:val="32"/>
                <w:lang w:val="en-US" w:eastAsia="zh-CN" w:bidi="ar"/>
              </w:rPr>
              <w:t>100</w:t>
            </w:r>
          </w:p>
        </w:tc>
        <w:tc>
          <w:tcPr>
            <w:tcW w:w="5280" w:type="dxa"/>
            <w:shd w:val="clear" w:color="auto" w:fill="auto"/>
            <w:tcMar>
              <w:top w:w="200" w:type="dxa"/>
              <w:left w:w="320" w:type="dxa"/>
              <w:bottom w:w="200" w:type="dxa"/>
              <w:right w:w="320" w:type="dxa"/>
            </w:tcMar>
            <w:vAlign w:val="center"/>
          </w:tcPr>
          <w:p w14:paraId="627D281C">
            <w:pPr>
              <w:keepNext w:val="0"/>
              <w:keepLines w:val="0"/>
              <w:pageBreakBefore w:val="0"/>
              <w:kinsoku/>
              <w:wordWrap/>
              <w:overflowPunct/>
              <w:topLinePunct w:val="0"/>
              <w:autoSpaceDE/>
              <w:autoSpaceDN/>
              <w:bidi w:val="0"/>
              <w:adjustRightInd/>
              <w:snapToGrid/>
              <w:spacing w:before="0" w:beforeAutospacing="0" w:after="0" w:afterAutospacing="0" w:line="600" w:lineRule="exact"/>
              <w:jc w:val="center"/>
              <w:textAlignment w:val="auto"/>
              <w:rPr>
                <w:rFonts w:hint="eastAsia" w:ascii="仿宋_GB2312" w:hAnsi="仿宋_GB2312" w:eastAsia="仿宋_GB2312" w:cs="仿宋_GB2312"/>
                <w:sz w:val="32"/>
                <w:szCs w:val="32"/>
              </w:rPr>
            </w:pPr>
          </w:p>
        </w:tc>
        <w:tc>
          <w:tcPr>
            <w:tcW w:w="1290" w:type="dxa"/>
            <w:shd w:val="clear" w:color="auto" w:fill="auto"/>
            <w:tcMar>
              <w:top w:w="200" w:type="dxa"/>
              <w:left w:w="320" w:type="dxa"/>
              <w:bottom w:w="200" w:type="dxa"/>
              <w:right w:w="0" w:type="dxa"/>
            </w:tcMar>
            <w:vAlign w:val="center"/>
          </w:tcPr>
          <w:p w14:paraId="07F1C028">
            <w:pPr>
              <w:keepNext w:val="0"/>
              <w:keepLines w:val="0"/>
              <w:pageBreakBefore w:val="0"/>
              <w:kinsoku/>
              <w:wordWrap/>
              <w:overflowPunct/>
              <w:topLinePunct w:val="0"/>
              <w:autoSpaceDE/>
              <w:autoSpaceDN/>
              <w:bidi w:val="0"/>
              <w:adjustRightInd/>
              <w:snapToGrid/>
              <w:spacing w:before="0" w:beforeAutospacing="0" w:after="0" w:afterAutospacing="0" w:line="600" w:lineRule="exact"/>
              <w:jc w:val="center"/>
              <w:textAlignment w:val="auto"/>
              <w:rPr>
                <w:rFonts w:hint="eastAsia" w:ascii="仿宋_GB2312" w:hAnsi="仿宋_GB2312" w:eastAsia="仿宋_GB2312" w:cs="仿宋_GB2312"/>
                <w:sz w:val="32"/>
                <w:szCs w:val="32"/>
              </w:rPr>
            </w:pPr>
          </w:p>
        </w:tc>
      </w:tr>
    </w:tbl>
    <w:p w14:paraId="5566DE0F">
      <w:pPr>
        <w:keepNext w:val="0"/>
        <w:keepLines w:val="0"/>
        <w:pageBreakBefore w:val="0"/>
        <w:kinsoku/>
        <w:wordWrap/>
        <w:overflowPunct/>
        <w:topLinePunct w:val="0"/>
        <w:autoSpaceDE/>
        <w:autoSpaceDN/>
        <w:bidi w:val="0"/>
        <w:adjustRightInd/>
        <w:snapToGrid/>
        <w:spacing w:beforeAutospacing="0" w:afterAutospacing="0" w:line="600" w:lineRule="exact"/>
        <w:textAlignment w:val="auto"/>
        <w:rPr>
          <w:rFonts w:hint="eastAsia" w:ascii="仿宋_GB2312" w:hAnsi="仿宋_GB2312" w:eastAsia="仿宋_GB2312" w:cs="仿宋_GB2312"/>
          <w:sz w:val="32"/>
          <w:szCs w:val="32"/>
        </w:rPr>
      </w:pPr>
    </w:p>
    <w:p w14:paraId="76B09BC3">
      <w:bookmarkStart w:id="0" w:name="_GoBack"/>
      <w:bookmarkEnd w:id="0"/>
    </w:p>
    <w:sectPr>
      <w:headerReference r:id="rId3" w:type="default"/>
      <w:footerReference r:id="rId4"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2000000000000000000"/>
    <w:charset w:val="86"/>
    <w:family w:val="auto"/>
    <w:pitch w:val="default"/>
    <w:sig w:usb0="A00002BF" w:usb1="184F6CFA" w:usb2="00000012" w:usb3="00000000" w:csb0="00040001" w:csb1="00000000"/>
  </w:font>
  <w:font w:name="仿宋">
    <w:panose1 w:val="02010609060101010101"/>
    <w:charset w:val="86"/>
    <w:family w:val="auto"/>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919ED8">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AFF87E3">
                          <w:pPr>
                            <w:pStyle w:val="4"/>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12</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4AFF87E3">
                    <w:pPr>
                      <w:pStyle w:val="4"/>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12</w:t>
                    </w:r>
                    <w:r>
                      <w:fldChar w:fldCharType="end"/>
                    </w:r>
                    <w: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BA97FF">
    <w:pPr>
      <w:pStyle w:val="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25E7E23"/>
    <w:rsid w:val="260B5A06"/>
    <w:rsid w:val="2B932756"/>
    <w:rsid w:val="58E73D8C"/>
    <w:rsid w:val="59A4021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2"/>
    <w:basedOn w:val="1"/>
    <w:next w:val="1"/>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qFormat/>
    <w:uiPriority w:val="0"/>
    <w:rPr>
      <w:sz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2025-09-11T09:36:00Z</dcterms:created>
  <dc:creator>Administrator</dc:creator>
  <cp:lastModifiedBy>办公室</cp:lastModifiedBy>
  <dcterms:modified xsi:type="dcterms:W3CDTF">2026-09-28T08:45:50Z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AC455713077F4785B5D633EE2E2838FD_12</vt:lpwstr>
  </property>
  <property fmtid="{D5CDD505-2E9C-101B-9397-08002B2CF9AE}" pid="4" name="KSOTemplateDocerSaveRecord">
    <vt:lpwstr>eyJoZGlkIjoiY2RhNDc3NTBjN2Q1Zjc0YmMyYjAwZjBmNWU0YjJhZmYiLCJ1c2VySWQiOiI0MTIxMzY1OTEifQ==</vt:lpwstr>
  </property>
</Properties>
</file>