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353B9">
      <w:pPr>
        <w:spacing w:before="101" w:line="212" w:lineRule="auto"/>
        <w:ind w:left="142"/>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45"/>
          <w:sz w:val="31"/>
          <w:szCs w:val="31"/>
        </w:rPr>
        <w:t xml:space="preserve"> </w:t>
      </w:r>
      <w:r>
        <w:rPr>
          <w:rFonts w:ascii="黑体" w:hAnsi="黑体" w:eastAsia="黑体" w:cs="黑体"/>
          <w:spacing w:val="-4"/>
          <w:sz w:val="31"/>
          <w:szCs w:val="31"/>
        </w:rPr>
        <w:t>1</w:t>
      </w:r>
    </w:p>
    <w:p w14:paraId="4ECA70F1">
      <w:pPr>
        <w:spacing w:before="33" w:line="203" w:lineRule="auto"/>
        <w:ind w:left="1655" w:right="1675" w:firstLine="191"/>
        <w:rPr>
          <w:rFonts w:ascii="微软雅黑" w:hAnsi="微软雅黑" w:eastAsia="微软雅黑" w:cs="微软雅黑"/>
          <w:sz w:val="43"/>
          <w:szCs w:val="43"/>
        </w:rPr>
      </w:pPr>
      <w:r>
        <w:rPr>
          <w:rFonts w:ascii="微软雅黑" w:hAnsi="微软雅黑" w:eastAsia="微软雅黑" w:cs="微软雅黑"/>
          <w:spacing w:val="-4"/>
          <w:sz w:val="43"/>
          <w:szCs w:val="43"/>
        </w:rPr>
        <w:t>2026 年中央外经贸发展资金</w:t>
      </w:r>
      <w:r>
        <w:rPr>
          <w:rFonts w:ascii="微软雅黑" w:hAnsi="微软雅黑" w:eastAsia="微软雅黑" w:cs="微软雅黑"/>
          <w:spacing w:val="7"/>
          <w:sz w:val="43"/>
          <w:szCs w:val="43"/>
        </w:rPr>
        <w:t>（大湾区服贸会事项）</w:t>
      </w:r>
      <w:r>
        <w:rPr>
          <w:rFonts w:ascii="微软雅黑" w:hAnsi="微软雅黑" w:eastAsia="微软雅黑" w:cs="微软雅黑"/>
          <w:spacing w:val="-70"/>
          <w:sz w:val="43"/>
          <w:szCs w:val="43"/>
        </w:rPr>
        <w:t xml:space="preserve"> </w:t>
      </w:r>
      <w:r>
        <w:rPr>
          <w:rFonts w:ascii="微软雅黑" w:hAnsi="微软雅黑" w:eastAsia="微软雅黑" w:cs="微软雅黑"/>
          <w:spacing w:val="7"/>
          <w:sz w:val="43"/>
          <w:szCs w:val="43"/>
        </w:rPr>
        <w:t>申请表</w:t>
      </w:r>
    </w:p>
    <w:tbl>
      <w:tblPr>
        <w:tblStyle w:val="7"/>
        <w:tblW w:w="90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5"/>
        <w:gridCol w:w="1929"/>
        <w:gridCol w:w="2105"/>
        <w:gridCol w:w="1090"/>
        <w:gridCol w:w="2216"/>
      </w:tblGrid>
      <w:tr w14:paraId="00CED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725" w:type="dxa"/>
            <w:vAlign w:val="top"/>
          </w:tcPr>
          <w:p w14:paraId="7F0E2A3C">
            <w:pPr>
              <w:pStyle w:val="8"/>
              <w:spacing w:before="89" w:line="241" w:lineRule="auto"/>
              <w:ind w:left="108" w:right="651" w:firstLine="15"/>
            </w:pPr>
            <w:r>
              <w:rPr>
                <w:spacing w:val="-4"/>
              </w:rPr>
              <w:t>单位名称</w:t>
            </w:r>
            <w:r>
              <w:t>（全称）</w:t>
            </w:r>
          </w:p>
        </w:tc>
        <w:tc>
          <w:tcPr>
            <w:tcW w:w="7340" w:type="dxa"/>
            <w:gridSpan w:val="4"/>
            <w:vAlign w:val="top"/>
          </w:tcPr>
          <w:p w14:paraId="357BC81D">
            <w:pPr>
              <w:rPr>
                <w:rFonts w:ascii="Arial"/>
                <w:sz w:val="21"/>
              </w:rPr>
            </w:pPr>
          </w:p>
        </w:tc>
      </w:tr>
      <w:tr w14:paraId="7CEAB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725" w:type="dxa"/>
            <w:vAlign w:val="top"/>
          </w:tcPr>
          <w:p w14:paraId="59B79873">
            <w:pPr>
              <w:pStyle w:val="8"/>
              <w:spacing w:before="242" w:line="219" w:lineRule="auto"/>
              <w:ind w:left="117"/>
            </w:pPr>
            <w:r>
              <w:rPr>
                <w:spacing w:val="-4"/>
              </w:rPr>
              <w:t>联系人</w:t>
            </w:r>
          </w:p>
        </w:tc>
        <w:tc>
          <w:tcPr>
            <w:tcW w:w="1929" w:type="dxa"/>
            <w:vAlign w:val="top"/>
          </w:tcPr>
          <w:p w14:paraId="0BAF4D01">
            <w:pPr>
              <w:rPr>
                <w:rFonts w:ascii="Arial"/>
                <w:sz w:val="21"/>
              </w:rPr>
            </w:pPr>
          </w:p>
        </w:tc>
        <w:tc>
          <w:tcPr>
            <w:tcW w:w="3195" w:type="dxa"/>
            <w:gridSpan w:val="2"/>
            <w:vAlign w:val="top"/>
          </w:tcPr>
          <w:p w14:paraId="3A5889E6">
            <w:pPr>
              <w:pStyle w:val="8"/>
              <w:spacing w:before="241" w:line="218" w:lineRule="auto"/>
              <w:ind w:left="114"/>
            </w:pPr>
            <w:r>
              <w:rPr>
                <w:spacing w:val="-3"/>
              </w:rPr>
              <w:t>联系电话</w:t>
            </w:r>
          </w:p>
        </w:tc>
        <w:tc>
          <w:tcPr>
            <w:tcW w:w="2216" w:type="dxa"/>
            <w:vAlign w:val="top"/>
          </w:tcPr>
          <w:p w14:paraId="1ECE6F17">
            <w:pPr>
              <w:rPr>
                <w:rFonts w:ascii="Arial"/>
                <w:sz w:val="21"/>
              </w:rPr>
            </w:pPr>
          </w:p>
        </w:tc>
      </w:tr>
      <w:tr w14:paraId="554F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3654" w:type="dxa"/>
            <w:gridSpan w:val="2"/>
            <w:vAlign w:val="top"/>
          </w:tcPr>
          <w:p w14:paraId="1E9E6B97">
            <w:pPr>
              <w:pStyle w:val="8"/>
              <w:spacing w:before="243" w:line="217" w:lineRule="auto"/>
              <w:ind w:left="153"/>
            </w:pPr>
            <w:r>
              <w:rPr>
                <w:spacing w:val="-12"/>
              </w:rPr>
              <w:t>申报项目</w:t>
            </w:r>
          </w:p>
        </w:tc>
        <w:tc>
          <w:tcPr>
            <w:tcW w:w="2105" w:type="dxa"/>
            <w:vAlign w:val="top"/>
          </w:tcPr>
          <w:p w14:paraId="49165999">
            <w:pPr>
              <w:pStyle w:val="8"/>
              <w:spacing w:before="243" w:line="217" w:lineRule="auto"/>
              <w:ind w:left="149"/>
            </w:pPr>
            <w:r>
              <w:rPr>
                <w:spacing w:val="-13"/>
              </w:rPr>
              <w:t>申报金额（</w:t>
            </w:r>
            <w:r>
              <w:rPr>
                <w:spacing w:val="-62"/>
              </w:rPr>
              <w:t xml:space="preserve"> </w:t>
            </w:r>
            <w:r>
              <w:rPr>
                <w:spacing w:val="-13"/>
              </w:rPr>
              <w:t>万元）</w:t>
            </w:r>
          </w:p>
        </w:tc>
        <w:tc>
          <w:tcPr>
            <w:tcW w:w="3306" w:type="dxa"/>
            <w:gridSpan w:val="2"/>
            <w:vAlign w:val="top"/>
          </w:tcPr>
          <w:p w14:paraId="28798DFC">
            <w:pPr>
              <w:pStyle w:val="8"/>
              <w:spacing w:before="243" w:line="217" w:lineRule="auto"/>
              <w:ind w:left="126"/>
            </w:pPr>
            <w:r>
              <w:rPr>
                <w:spacing w:val="-5"/>
              </w:rPr>
              <w:t>业务情况</w:t>
            </w:r>
          </w:p>
        </w:tc>
      </w:tr>
      <w:tr w14:paraId="400D0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04" w:hRule="atLeast"/>
        </w:trPr>
        <w:tc>
          <w:tcPr>
            <w:tcW w:w="3654" w:type="dxa"/>
            <w:gridSpan w:val="2"/>
            <w:vAlign w:val="top"/>
          </w:tcPr>
          <w:p w14:paraId="388CA2AE">
            <w:pPr>
              <w:spacing w:line="318" w:lineRule="auto"/>
              <w:rPr>
                <w:rFonts w:ascii="Arial"/>
                <w:sz w:val="21"/>
              </w:rPr>
            </w:pPr>
          </w:p>
          <w:p w14:paraId="7ADB7DA0">
            <w:pPr>
              <w:spacing w:line="318" w:lineRule="auto"/>
              <w:rPr>
                <w:rFonts w:ascii="Arial"/>
                <w:sz w:val="21"/>
              </w:rPr>
            </w:pPr>
          </w:p>
          <w:p w14:paraId="036CED80">
            <w:pPr>
              <w:pStyle w:val="8"/>
              <w:spacing w:before="78" w:line="242" w:lineRule="auto"/>
              <w:ind w:left="127" w:right="106" w:hanging="5"/>
            </w:pPr>
            <w:r>
              <w:t>参加</w:t>
            </w:r>
            <w:r>
              <w:rPr>
                <w:spacing w:val="-61"/>
              </w:rPr>
              <w:t xml:space="preserve"> </w:t>
            </w:r>
            <w:r>
              <w:t>2026粤港澳大湾区服务贸易</w:t>
            </w:r>
            <w:r>
              <w:rPr>
                <w:spacing w:val="-10"/>
              </w:rPr>
              <w:t>大会</w:t>
            </w:r>
          </w:p>
        </w:tc>
        <w:tc>
          <w:tcPr>
            <w:tcW w:w="2105" w:type="dxa"/>
            <w:vAlign w:val="top"/>
          </w:tcPr>
          <w:p w14:paraId="7371A773">
            <w:pPr>
              <w:rPr>
                <w:rFonts w:ascii="Arial"/>
                <w:sz w:val="21"/>
              </w:rPr>
            </w:pPr>
          </w:p>
        </w:tc>
        <w:tc>
          <w:tcPr>
            <w:tcW w:w="3306" w:type="dxa"/>
            <w:gridSpan w:val="2"/>
            <w:vAlign w:val="top"/>
          </w:tcPr>
          <w:p w14:paraId="291D12D1">
            <w:pPr>
              <w:spacing w:line="318" w:lineRule="auto"/>
              <w:rPr>
                <w:rFonts w:ascii="Arial"/>
                <w:sz w:val="21"/>
              </w:rPr>
            </w:pPr>
          </w:p>
          <w:p w14:paraId="50A39394">
            <w:pPr>
              <w:spacing w:line="318" w:lineRule="auto"/>
              <w:rPr>
                <w:rFonts w:ascii="Arial"/>
                <w:sz w:val="21"/>
              </w:rPr>
            </w:pPr>
          </w:p>
          <w:p w14:paraId="3E7C8ABF">
            <w:pPr>
              <w:pStyle w:val="8"/>
              <w:spacing w:before="78" w:line="241" w:lineRule="auto"/>
              <w:ind w:left="114" w:right="106" w:hanging="7"/>
            </w:pPr>
            <w:r>
              <w:rPr>
                <w:spacing w:val="-3"/>
              </w:rPr>
              <w:t>（填写：申请光地展位补贴或</w:t>
            </w:r>
            <w:r>
              <w:rPr>
                <w:spacing w:val="-2"/>
              </w:rPr>
              <w:t>标准展位补贴）</w:t>
            </w:r>
          </w:p>
        </w:tc>
      </w:tr>
      <w:tr w14:paraId="590E2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4" w:hRule="atLeast"/>
        </w:trPr>
        <w:tc>
          <w:tcPr>
            <w:tcW w:w="9065" w:type="dxa"/>
            <w:gridSpan w:val="5"/>
            <w:vAlign w:val="top"/>
          </w:tcPr>
          <w:p w14:paraId="5B5AC171">
            <w:pPr>
              <w:spacing w:line="261" w:lineRule="auto"/>
              <w:rPr>
                <w:rFonts w:ascii="Arial"/>
                <w:sz w:val="21"/>
              </w:rPr>
            </w:pPr>
          </w:p>
          <w:p w14:paraId="1D3967BE">
            <w:pPr>
              <w:spacing w:line="262" w:lineRule="auto"/>
              <w:rPr>
                <w:rFonts w:ascii="Arial"/>
                <w:sz w:val="21"/>
              </w:rPr>
            </w:pPr>
          </w:p>
          <w:p w14:paraId="75C8F94A">
            <w:pPr>
              <w:pStyle w:val="8"/>
              <w:spacing w:before="78"/>
              <w:ind w:left="124" w:right="35" w:firstLine="472"/>
              <w:jc w:val="both"/>
            </w:pPr>
            <w:r>
              <w:rPr>
                <w:spacing w:val="-1"/>
              </w:rPr>
              <w:t>本单位承诺所提供的申报材料真实、合规、完整，如有</w:t>
            </w:r>
            <w:r>
              <w:rPr>
                <w:spacing w:val="-2"/>
              </w:rPr>
              <w:t>虚假，愿意承担相关法律</w:t>
            </w:r>
            <w:r>
              <w:rPr>
                <w:spacing w:val="-1"/>
              </w:rPr>
              <w:t>责任。如获财政资金支持，将严格按照国家有关</w:t>
            </w:r>
            <w:r>
              <w:rPr>
                <w:spacing w:val="-2"/>
              </w:rPr>
              <w:t>财务制度规定进行管理和使用，按照</w:t>
            </w:r>
            <w:r>
              <w:rPr>
                <w:spacing w:val="-6"/>
              </w:rPr>
              <w:t>国家统一的会计制度进行会计核算，并自觉接受财政、商务、审计等部门的监督检查。</w:t>
            </w:r>
          </w:p>
        </w:tc>
      </w:tr>
      <w:tr w14:paraId="670C1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9" w:hRule="atLeast"/>
        </w:trPr>
        <w:tc>
          <w:tcPr>
            <w:tcW w:w="9065" w:type="dxa"/>
            <w:gridSpan w:val="5"/>
            <w:vAlign w:val="top"/>
          </w:tcPr>
          <w:p w14:paraId="042C4C7F">
            <w:pPr>
              <w:spacing w:line="374" w:lineRule="auto"/>
              <w:rPr>
                <w:rFonts w:ascii="Arial"/>
                <w:sz w:val="21"/>
              </w:rPr>
            </w:pPr>
          </w:p>
          <w:p w14:paraId="17BDD994">
            <w:pPr>
              <w:pStyle w:val="8"/>
              <w:spacing w:before="78" w:line="216" w:lineRule="auto"/>
              <w:ind w:left="4134"/>
            </w:pPr>
            <w:r>
              <w:rPr>
                <w:spacing w:val="3"/>
              </w:rPr>
              <w:t>单位（盖章</w:t>
            </w:r>
            <w:r>
              <w:rPr>
                <w:spacing w:val="-64"/>
              </w:rPr>
              <w:t>）：</w:t>
            </w:r>
          </w:p>
          <w:p w14:paraId="72BE97A0">
            <w:pPr>
              <w:spacing w:line="269" w:lineRule="auto"/>
              <w:rPr>
                <w:rFonts w:ascii="Arial"/>
                <w:sz w:val="21"/>
              </w:rPr>
            </w:pPr>
          </w:p>
          <w:p w14:paraId="775E8998">
            <w:pPr>
              <w:spacing w:line="269" w:lineRule="auto"/>
              <w:rPr>
                <w:rFonts w:ascii="Arial"/>
                <w:sz w:val="21"/>
              </w:rPr>
            </w:pPr>
          </w:p>
          <w:p w14:paraId="172C38C8">
            <w:pPr>
              <w:spacing w:line="270" w:lineRule="auto"/>
              <w:rPr>
                <w:rFonts w:ascii="Arial"/>
                <w:sz w:val="21"/>
              </w:rPr>
            </w:pPr>
          </w:p>
          <w:p w14:paraId="70FE3AB1">
            <w:pPr>
              <w:pStyle w:val="8"/>
              <w:spacing w:before="78" w:line="217" w:lineRule="auto"/>
              <w:ind w:left="5520"/>
            </w:pPr>
            <w:r>
              <w:rPr>
                <w:spacing w:val="-12"/>
              </w:rPr>
              <w:t>年</w:t>
            </w:r>
            <w:r>
              <w:rPr>
                <w:spacing w:val="4"/>
              </w:rPr>
              <w:t xml:space="preserve">     </w:t>
            </w:r>
            <w:r>
              <w:rPr>
                <w:spacing w:val="-12"/>
              </w:rPr>
              <w:t>月</w:t>
            </w:r>
            <w:r>
              <w:rPr>
                <w:spacing w:val="11"/>
              </w:rPr>
              <w:t xml:space="preserve">     </w:t>
            </w:r>
            <w:r>
              <w:rPr>
                <w:spacing w:val="-12"/>
              </w:rPr>
              <w:t>日</w:t>
            </w:r>
          </w:p>
        </w:tc>
      </w:tr>
    </w:tbl>
    <w:p w14:paraId="41D7A1FD">
      <w:pPr>
        <w:rPr>
          <w:rFonts w:ascii="Arial"/>
          <w:sz w:val="21"/>
        </w:rPr>
      </w:pPr>
    </w:p>
    <w:p w14:paraId="6840794E">
      <w:pPr>
        <w:rPr>
          <w:rFonts w:ascii="Arial" w:hAnsi="Arial" w:eastAsia="Arial" w:cs="Arial"/>
          <w:sz w:val="21"/>
          <w:szCs w:val="21"/>
        </w:rPr>
        <w:sectPr>
          <w:headerReference r:id="rId5" w:type="default"/>
          <w:footerReference r:id="rId6" w:type="default"/>
          <w:pgSz w:w="11907" w:h="16840"/>
          <w:pgMar w:top="400" w:right="1417" w:bottom="1135" w:left="1418" w:header="0" w:footer="882" w:gutter="0"/>
          <w:cols w:space="720" w:num="1"/>
        </w:sectPr>
      </w:pPr>
    </w:p>
    <w:p w14:paraId="58890AE8">
      <w:pPr>
        <w:spacing w:line="296" w:lineRule="auto"/>
        <w:rPr>
          <w:rFonts w:ascii="Arial"/>
          <w:sz w:val="21"/>
        </w:rPr>
      </w:pPr>
    </w:p>
    <w:p w14:paraId="1426B9C8">
      <w:pPr>
        <w:spacing w:line="296" w:lineRule="auto"/>
        <w:rPr>
          <w:rFonts w:ascii="Arial"/>
          <w:sz w:val="21"/>
        </w:rPr>
      </w:pPr>
    </w:p>
    <w:p w14:paraId="40884123">
      <w:pPr>
        <w:spacing w:line="296" w:lineRule="auto"/>
        <w:rPr>
          <w:rFonts w:ascii="Arial"/>
          <w:sz w:val="21"/>
        </w:rPr>
      </w:pPr>
    </w:p>
    <w:p w14:paraId="648B2362">
      <w:pPr>
        <w:spacing w:line="297" w:lineRule="auto"/>
        <w:rPr>
          <w:rFonts w:ascii="Arial"/>
          <w:sz w:val="21"/>
        </w:rPr>
      </w:pPr>
    </w:p>
    <w:p w14:paraId="5CD71CED">
      <w:pPr>
        <w:spacing w:before="100" w:line="212" w:lineRule="auto"/>
        <w:ind w:left="138"/>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5"/>
          <w:sz w:val="31"/>
          <w:szCs w:val="31"/>
        </w:rPr>
        <w:t xml:space="preserve"> </w:t>
      </w:r>
      <w:r>
        <w:rPr>
          <w:rFonts w:ascii="黑体" w:hAnsi="黑体" w:eastAsia="黑体" w:cs="黑体"/>
          <w:spacing w:val="-4"/>
          <w:sz w:val="31"/>
          <w:szCs w:val="31"/>
        </w:rPr>
        <w:t>2</w:t>
      </w:r>
    </w:p>
    <w:p w14:paraId="5EADF8A5">
      <w:pPr>
        <w:spacing w:before="171" w:line="212" w:lineRule="auto"/>
        <w:ind w:left="2501"/>
        <w:outlineLvl w:val="0"/>
        <w:rPr>
          <w:rFonts w:ascii="微软雅黑" w:hAnsi="微软雅黑" w:eastAsia="微软雅黑" w:cs="微软雅黑"/>
          <w:sz w:val="43"/>
          <w:szCs w:val="43"/>
        </w:rPr>
      </w:pPr>
      <w:r>
        <w:rPr>
          <w:rFonts w:ascii="微软雅黑" w:hAnsi="微软雅黑" w:eastAsia="微软雅黑" w:cs="微软雅黑"/>
          <w:spacing w:val="1"/>
          <w:sz w:val="43"/>
          <w:szCs w:val="43"/>
        </w:rPr>
        <w:t>2026 粤港澳大湾区服务贸易大会参展报名汇总表</w:t>
      </w:r>
    </w:p>
    <w:p w14:paraId="7F0C3E3C">
      <w:pPr>
        <w:spacing w:line="474" w:lineRule="auto"/>
        <w:rPr>
          <w:rFonts w:ascii="Arial"/>
          <w:sz w:val="21"/>
        </w:rPr>
      </w:pPr>
    </w:p>
    <w:p w14:paraId="5A3BE643">
      <w:pPr>
        <w:pStyle w:val="3"/>
        <w:spacing w:before="100" w:line="221" w:lineRule="auto"/>
        <w:ind w:left="121"/>
        <w:jc w:val="both"/>
      </w:pPr>
      <w:r>
        <w:rPr>
          <w:spacing w:val="5"/>
        </w:rPr>
        <w:t xml:space="preserve">填报单位：                                 </w:t>
      </w:r>
      <w:r>
        <w:rPr>
          <w:rFonts w:hint="eastAsia"/>
          <w:spacing w:val="5"/>
          <w:lang w:val="en-US" w:eastAsia="zh-CN"/>
        </w:rPr>
        <w:t xml:space="preserve">                 </w:t>
      </w:r>
      <w:r>
        <w:rPr>
          <w:spacing w:val="5"/>
        </w:rPr>
        <w:t xml:space="preserve"> 填报时间：</w:t>
      </w:r>
      <w:r>
        <w:rPr>
          <w:rFonts w:hint="eastAsia"/>
          <w:spacing w:val="5"/>
          <w:lang w:val="en-US" w:eastAsia="zh-CN"/>
        </w:rPr>
        <w:t xml:space="preserve">2026 </w:t>
      </w:r>
      <w:r>
        <w:rPr>
          <w:spacing w:val="5"/>
        </w:rPr>
        <w:t>年</w:t>
      </w:r>
      <w:r>
        <w:rPr>
          <w:rFonts w:hint="eastAsia"/>
          <w:spacing w:val="5"/>
          <w:lang w:val="en-US" w:eastAsia="zh-CN"/>
        </w:rPr>
        <w:t xml:space="preserve">  </w:t>
      </w:r>
      <w:r>
        <w:rPr>
          <w:spacing w:val="-45"/>
        </w:rPr>
        <w:t xml:space="preserve"> </w:t>
      </w:r>
      <w:r>
        <w:rPr>
          <w:spacing w:val="4"/>
        </w:rPr>
        <w:t>月</w:t>
      </w:r>
      <w:r>
        <w:rPr>
          <w:spacing w:val="-61"/>
        </w:rPr>
        <w:t xml:space="preserve"> </w:t>
      </w:r>
      <w:r>
        <w:rPr>
          <w:rFonts w:hint="eastAsia"/>
          <w:lang w:val="en-US" w:eastAsia="zh-CN"/>
        </w:rPr>
        <w:t xml:space="preserve">  </w:t>
      </w:r>
      <w:r>
        <w:rPr>
          <w:spacing w:val="4"/>
        </w:rPr>
        <w:t>日</w:t>
      </w:r>
    </w:p>
    <w:p w14:paraId="41E26595">
      <w:pPr>
        <w:spacing w:line="14" w:lineRule="exact"/>
      </w:pPr>
    </w:p>
    <w:tbl>
      <w:tblPr>
        <w:tblStyle w:val="7"/>
        <w:tblW w:w="143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5"/>
        <w:gridCol w:w="5127"/>
        <w:gridCol w:w="1740"/>
        <w:gridCol w:w="2544"/>
        <w:gridCol w:w="2109"/>
        <w:gridCol w:w="1638"/>
      </w:tblGrid>
      <w:tr w14:paraId="7EE0A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75" w:type="dxa"/>
            <w:vAlign w:val="center"/>
          </w:tcPr>
          <w:p w14:paraId="5537B9D7">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序号</w:t>
            </w:r>
          </w:p>
        </w:tc>
        <w:tc>
          <w:tcPr>
            <w:tcW w:w="5127" w:type="dxa"/>
            <w:vAlign w:val="center"/>
          </w:tcPr>
          <w:p w14:paraId="145AE6F3">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申报企业/机构名称</w:t>
            </w:r>
          </w:p>
        </w:tc>
        <w:tc>
          <w:tcPr>
            <w:tcW w:w="1740" w:type="dxa"/>
            <w:vAlign w:val="center"/>
          </w:tcPr>
          <w:p w14:paraId="697BC5F6">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sz w:val="24"/>
                <w:szCs w:val="24"/>
              </w:rPr>
              <w:t>注册运营时间</w:t>
            </w:r>
          </w:p>
        </w:tc>
        <w:tc>
          <w:tcPr>
            <w:tcW w:w="2544" w:type="dxa"/>
            <w:vAlign w:val="center"/>
          </w:tcPr>
          <w:p w14:paraId="4C374C06">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近</w:t>
            </w:r>
            <w:r>
              <w:rPr>
                <w:rFonts w:hint="eastAsia" w:asciiTheme="majorEastAsia" w:hAnsiTheme="majorEastAsia" w:eastAsiaTheme="majorEastAsia" w:cstheme="majorEastAsia"/>
                <w:spacing w:val="-37"/>
                <w:sz w:val="24"/>
                <w:szCs w:val="24"/>
              </w:rPr>
              <w:t xml:space="preserve"> </w:t>
            </w:r>
            <w:r>
              <w:rPr>
                <w:rFonts w:hint="eastAsia" w:asciiTheme="majorEastAsia" w:hAnsiTheme="majorEastAsia" w:eastAsiaTheme="majorEastAsia" w:cstheme="majorEastAsia"/>
                <w:spacing w:val="6"/>
                <w:sz w:val="24"/>
                <w:szCs w:val="24"/>
              </w:rPr>
              <w:t>2</w:t>
            </w:r>
            <w:r>
              <w:rPr>
                <w:rFonts w:hint="eastAsia" w:asciiTheme="majorEastAsia" w:hAnsiTheme="majorEastAsia" w:eastAsiaTheme="majorEastAsia" w:cstheme="majorEastAsia"/>
                <w:spacing w:val="-37"/>
                <w:sz w:val="24"/>
                <w:szCs w:val="24"/>
              </w:rPr>
              <w:t xml:space="preserve"> </w:t>
            </w:r>
            <w:r>
              <w:rPr>
                <w:rFonts w:hint="eastAsia" w:asciiTheme="majorEastAsia" w:hAnsiTheme="majorEastAsia" w:eastAsiaTheme="majorEastAsia" w:cstheme="majorEastAsia"/>
                <w:spacing w:val="6"/>
                <w:sz w:val="24"/>
                <w:szCs w:val="24"/>
              </w:rPr>
              <w:t>年合规经营情况</w:t>
            </w:r>
          </w:p>
          <w:p w14:paraId="5DD4F7A5">
            <w:pPr>
              <w:keepNext w:val="0"/>
              <w:keepLines w:val="0"/>
              <w:pageBreakBefore w:val="0"/>
              <w:widowControl/>
              <w:kinsoku w:val="0"/>
              <w:wordWrap/>
              <w:overflowPunct/>
              <w:topLinePunct w:val="0"/>
              <w:autoSpaceDE w:val="0"/>
              <w:autoSpaceDN w:val="0"/>
              <w:bidi w:val="0"/>
              <w:adjustRightInd w:val="0"/>
              <w:snapToGrid w:val="0"/>
              <w:spacing w:line="210"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
                <w:sz w:val="24"/>
                <w:szCs w:val="24"/>
              </w:rPr>
              <w:t>（是/否）</w:t>
            </w:r>
          </w:p>
        </w:tc>
        <w:tc>
          <w:tcPr>
            <w:tcW w:w="2109" w:type="dxa"/>
            <w:vAlign w:val="center"/>
          </w:tcPr>
          <w:p w14:paraId="0A7103DE">
            <w:pPr>
              <w:keepNext w:val="0"/>
              <w:keepLines w:val="0"/>
              <w:pageBreakBefore w:val="0"/>
              <w:widowControl/>
              <w:kinsoku w:val="0"/>
              <w:wordWrap/>
              <w:overflowPunct/>
              <w:topLinePunct w:val="0"/>
              <w:autoSpaceDE w:val="0"/>
              <w:autoSpaceDN w:val="0"/>
              <w:bidi w:val="0"/>
              <w:adjustRightInd w:val="0"/>
              <w:snapToGrid w:val="0"/>
              <w:spacing w:line="21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5"/>
                <w:sz w:val="24"/>
                <w:szCs w:val="24"/>
              </w:rPr>
              <w:t>申请展位数量</w:t>
            </w:r>
          </w:p>
        </w:tc>
        <w:tc>
          <w:tcPr>
            <w:tcW w:w="1638" w:type="dxa"/>
            <w:vAlign w:val="center"/>
          </w:tcPr>
          <w:p w14:paraId="45EAF085">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备注</w:t>
            </w:r>
          </w:p>
        </w:tc>
      </w:tr>
      <w:tr w14:paraId="14368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48BA06C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328C766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4F513C5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781D759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2A9AAB65">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2436D938">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6EFB6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55A4DBC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21C5279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5EDDEDCA">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38511218">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3135F77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38DDC9D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3A249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07B1ACC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757E9D4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43D10E9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45DE08D9">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01749B3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7B9E9435">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19378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2B517605">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11B7765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0653C57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1EACFE8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442C8D7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2C6ABB4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77467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0F71898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5C1A2897">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177431B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3DF877D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2A9A023A">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6F2FD4F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1C807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6CF119D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2F16CFE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26D1883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70669A3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42036F2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2CA40BF9">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31F36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007A6579">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0D20382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2CC72CE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4B85B87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7660AF1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4CE3CC96">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13C37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10B6B69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6DB9267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55C36BE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0623BA8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3EBFEF9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0D87BE2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76D4A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6453CD60">
            <w:pPr>
              <w:keepNext w:val="0"/>
              <w:keepLines w:val="0"/>
              <w:pageBreakBefore w:val="0"/>
              <w:widowControl/>
              <w:kinsoku w:val="0"/>
              <w:wordWrap/>
              <w:overflowPunct/>
              <w:topLinePunct w:val="0"/>
              <w:autoSpaceDE w:val="0"/>
              <w:autoSpaceDN w:val="0"/>
              <w:bidi w:val="0"/>
              <w:adjustRightInd w:val="0"/>
              <w:snapToGrid w:val="0"/>
              <w:spacing w:line="269" w:lineRule="exact"/>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position w:val="1"/>
                <w:sz w:val="24"/>
                <w:szCs w:val="24"/>
              </w:rPr>
              <w:t>合计</w:t>
            </w:r>
          </w:p>
        </w:tc>
        <w:tc>
          <w:tcPr>
            <w:tcW w:w="5127" w:type="dxa"/>
            <w:vAlign w:val="center"/>
          </w:tcPr>
          <w:p w14:paraId="33C169D1">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740" w:type="dxa"/>
            <w:vAlign w:val="center"/>
          </w:tcPr>
          <w:p w14:paraId="2EB373AA">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2544" w:type="dxa"/>
            <w:vAlign w:val="center"/>
          </w:tcPr>
          <w:p w14:paraId="2441E191">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2109" w:type="dxa"/>
            <w:vAlign w:val="center"/>
          </w:tcPr>
          <w:p w14:paraId="4D714BB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7239B825">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bl>
    <w:p w14:paraId="6308E1C9">
      <w:pPr>
        <w:pStyle w:val="3"/>
        <w:spacing w:before="170" w:line="219" w:lineRule="auto"/>
        <w:ind w:left="119"/>
        <w:rPr>
          <w:sz w:val="28"/>
          <w:szCs w:val="28"/>
        </w:rPr>
      </w:pPr>
      <w:r>
        <w:rPr>
          <w:spacing w:val="-4"/>
          <w:sz w:val="28"/>
          <w:szCs w:val="28"/>
        </w:rPr>
        <w:t>填表人：</w:t>
      </w:r>
      <w:r>
        <w:rPr>
          <w:spacing w:val="2"/>
          <w:sz w:val="28"/>
          <w:szCs w:val="28"/>
        </w:rPr>
        <w:t xml:space="preserve">          </w:t>
      </w:r>
      <w:r>
        <w:rPr>
          <w:rFonts w:hint="eastAsia"/>
          <w:spacing w:val="2"/>
          <w:sz w:val="28"/>
          <w:szCs w:val="28"/>
          <w:lang w:val="en-US" w:eastAsia="zh-CN"/>
        </w:rPr>
        <w:t xml:space="preserve">                                               </w:t>
      </w:r>
      <w:r>
        <w:rPr>
          <w:spacing w:val="2"/>
          <w:sz w:val="28"/>
          <w:szCs w:val="28"/>
        </w:rPr>
        <w:t xml:space="preserve"> </w:t>
      </w:r>
      <w:r>
        <w:rPr>
          <w:spacing w:val="-4"/>
          <w:sz w:val="28"/>
          <w:szCs w:val="28"/>
        </w:rPr>
        <w:t>联系电话：</w:t>
      </w:r>
    </w:p>
    <w:p w14:paraId="28ACEB5D">
      <w:pPr>
        <w:spacing w:line="219" w:lineRule="auto"/>
        <w:rPr>
          <w:sz w:val="28"/>
          <w:szCs w:val="28"/>
        </w:rPr>
        <w:sectPr>
          <w:footerReference r:id="rId7" w:type="default"/>
          <w:pgSz w:w="16840" w:h="11907"/>
          <w:pgMar w:top="400" w:right="1307" w:bottom="1131" w:left="1194" w:header="0" w:footer="882" w:gutter="0"/>
          <w:cols w:space="720" w:num="1"/>
        </w:sectPr>
      </w:pPr>
    </w:p>
    <w:p w14:paraId="7375F03F">
      <w:pPr>
        <w:spacing w:line="254" w:lineRule="auto"/>
        <w:rPr>
          <w:rFonts w:ascii="Arial"/>
          <w:sz w:val="21"/>
        </w:rPr>
      </w:pPr>
    </w:p>
    <w:p w14:paraId="067B4DBA">
      <w:pPr>
        <w:spacing w:line="255" w:lineRule="auto"/>
        <w:rPr>
          <w:rFonts w:ascii="Arial"/>
          <w:sz w:val="21"/>
        </w:rPr>
      </w:pPr>
    </w:p>
    <w:p w14:paraId="3ED441FF">
      <w:pPr>
        <w:spacing w:before="172" w:line="209" w:lineRule="auto"/>
        <w:ind w:left="587"/>
        <w:rPr>
          <w:rFonts w:ascii="微软雅黑" w:hAnsi="微软雅黑" w:eastAsia="微软雅黑" w:cs="微软雅黑"/>
          <w:sz w:val="40"/>
          <w:szCs w:val="40"/>
        </w:rPr>
      </w:pPr>
      <w:r>
        <w:rPr>
          <w:rFonts w:ascii="微软雅黑" w:hAnsi="微软雅黑" w:eastAsia="微软雅黑" w:cs="微软雅黑"/>
          <w:spacing w:val="-8"/>
          <w:sz w:val="40"/>
          <w:szCs w:val="40"/>
        </w:rPr>
        <w:t>2026 粤港澳大湾区服务贸易大会参展报名表</w:t>
      </w:r>
    </w:p>
    <w:p w14:paraId="33082660">
      <w:pPr>
        <w:spacing w:before="47"/>
      </w:pPr>
    </w:p>
    <w:tbl>
      <w:tblPr>
        <w:tblStyle w:val="7"/>
        <w:tblW w:w="88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1889"/>
        <w:gridCol w:w="1868"/>
        <w:gridCol w:w="1080"/>
        <w:gridCol w:w="267"/>
        <w:gridCol w:w="1151"/>
        <w:gridCol w:w="339"/>
        <w:gridCol w:w="1531"/>
      </w:tblGrid>
      <w:tr w14:paraId="7B7C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730" w:type="dxa"/>
            <w:vMerge w:val="restart"/>
            <w:tcBorders>
              <w:bottom w:val="nil"/>
            </w:tcBorders>
            <w:vAlign w:val="top"/>
          </w:tcPr>
          <w:p w14:paraId="638D0B30">
            <w:pPr>
              <w:rPr>
                <w:rFonts w:ascii="Arial"/>
                <w:sz w:val="21"/>
              </w:rPr>
            </w:pPr>
          </w:p>
          <w:p w14:paraId="7F64D53F">
            <w:pPr>
              <w:rPr>
                <w:rFonts w:ascii="Arial"/>
                <w:sz w:val="21"/>
              </w:rPr>
            </w:pPr>
          </w:p>
          <w:p w14:paraId="15093725">
            <w:pPr>
              <w:rPr>
                <w:rFonts w:ascii="Arial"/>
                <w:sz w:val="21"/>
              </w:rPr>
            </w:pPr>
          </w:p>
          <w:p w14:paraId="41CE331D">
            <w:pPr>
              <w:rPr>
                <w:rFonts w:ascii="Arial"/>
                <w:sz w:val="21"/>
              </w:rPr>
            </w:pPr>
          </w:p>
          <w:p w14:paraId="60AABAF8">
            <w:pPr>
              <w:rPr>
                <w:rFonts w:ascii="Arial"/>
                <w:sz w:val="21"/>
              </w:rPr>
            </w:pPr>
          </w:p>
          <w:p w14:paraId="36FF19D2">
            <w:pPr>
              <w:rPr>
                <w:rFonts w:ascii="Arial"/>
                <w:sz w:val="21"/>
              </w:rPr>
            </w:pPr>
          </w:p>
          <w:p w14:paraId="4EE3D1D5">
            <w:pPr>
              <w:rPr>
                <w:rFonts w:ascii="Arial"/>
                <w:sz w:val="21"/>
              </w:rPr>
            </w:pPr>
          </w:p>
          <w:p w14:paraId="65E7251B">
            <w:pPr>
              <w:rPr>
                <w:rFonts w:ascii="Arial"/>
                <w:sz w:val="21"/>
              </w:rPr>
            </w:pPr>
          </w:p>
          <w:p w14:paraId="7426BE91">
            <w:pPr>
              <w:rPr>
                <w:rFonts w:ascii="Arial"/>
                <w:sz w:val="21"/>
              </w:rPr>
            </w:pPr>
          </w:p>
          <w:p w14:paraId="0B664B48">
            <w:pPr>
              <w:rPr>
                <w:rFonts w:ascii="Arial"/>
                <w:sz w:val="21"/>
              </w:rPr>
            </w:pPr>
          </w:p>
          <w:p w14:paraId="5FD6467D">
            <w:pPr>
              <w:rPr>
                <w:rFonts w:ascii="Arial"/>
                <w:sz w:val="21"/>
              </w:rPr>
            </w:pPr>
          </w:p>
          <w:p w14:paraId="57DD2510">
            <w:pPr>
              <w:rPr>
                <w:rFonts w:ascii="Arial"/>
                <w:sz w:val="21"/>
              </w:rPr>
            </w:pPr>
          </w:p>
          <w:p w14:paraId="6180C5BC">
            <w:pPr>
              <w:rPr>
                <w:rFonts w:ascii="Arial"/>
                <w:sz w:val="21"/>
              </w:rPr>
            </w:pPr>
          </w:p>
          <w:p w14:paraId="237C3C98">
            <w:pPr>
              <w:pStyle w:val="8"/>
              <w:spacing w:before="78" w:line="374" w:lineRule="auto"/>
              <w:ind w:left="122" w:right="124" w:firstLine="3"/>
            </w:pPr>
            <w:r>
              <w:rPr>
                <w:b/>
                <w:bCs/>
                <w:spacing w:val="-6"/>
              </w:rPr>
              <w:t>基本</w:t>
            </w:r>
            <w:r>
              <w:rPr>
                <w:b/>
                <w:bCs/>
                <w:spacing w:val="-4"/>
              </w:rPr>
              <w:t>信息</w:t>
            </w:r>
          </w:p>
        </w:tc>
        <w:tc>
          <w:tcPr>
            <w:tcW w:w="1889" w:type="dxa"/>
            <w:vAlign w:val="top"/>
          </w:tcPr>
          <w:p w14:paraId="651375A9">
            <w:pPr>
              <w:pStyle w:val="8"/>
              <w:spacing w:before="274" w:line="216" w:lineRule="auto"/>
              <w:ind w:left="470"/>
            </w:pPr>
            <w:r>
              <w:rPr>
                <w:b/>
                <w:bCs/>
                <w:spacing w:val="-5"/>
              </w:rPr>
              <w:t>企业名称</w:t>
            </w:r>
          </w:p>
        </w:tc>
        <w:tc>
          <w:tcPr>
            <w:tcW w:w="3215" w:type="dxa"/>
            <w:gridSpan w:val="3"/>
            <w:vAlign w:val="top"/>
          </w:tcPr>
          <w:p w14:paraId="6A27F30D">
            <w:pPr>
              <w:rPr>
                <w:rFonts w:ascii="Arial"/>
                <w:sz w:val="21"/>
              </w:rPr>
            </w:pPr>
          </w:p>
        </w:tc>
        <w:tc>
          <w:tcPr>
            <w:tcW w:w="1151" w:type="dxa"/>
            <w:vAlign w:val="top"/>
          </w:tcPr>
          <w:p w14:paraId="0A4D271E">
            <w:pPr>
              <w:pStyle w:val="8"/>
              <w:spacing w:before="226" w:line="218" w:lineRule="auto"/>
              <w:ind w:left="108"/>
            </w:pPr>
            <w:r>
              <w:rPr>
                <w:b/>
                <w:bCs/>
                <w:spacing w:val="-6"/>
              </w:rPr>
              <w:t>注册时间</w:t>
            </w:r>
          </w:p>
        </w:tc>
        <w:tc>
          <w:tcPr>
            <w:tcW w:w="1870" w:type="dxa"/>
            <w:gridSpan w:val="2"/>
            <w:vAlign w:val="top"/>
          </w:tcPr>
          <w:p w14:paraId="3E5034C6">
            <w:pPr>
              <w:rPr>
                <w:rFonts w:ascii="Arial"/>
                <w:sz w:val="21"/>
              </w:rPr>
            </w:pPr>
          </w:p>
        </w:tc>
      </w:tr>
      <w:tr w14:paraId="4DB71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30" w:type="dxa"/>
            <w:vMerge w:val="continue"/>
            <w:tcBorders>
              <w:top w:val="nil"/>
              <w:bottom w:val="nil"/>
            </w:tcBorders>
            <w:vAlign w:val="top"/>
          </w:tcPr>
          <w:p w14:paraId="79E21960">
            <w:pPr>
              <w:rPr>
                <w:rFonts w:ascii="Arial"/>
                <w:sz w:val="21"/>
              </w:rPr>
            </w:pPr>
          </w:p>
        </w:tc>
        <w:tc>
          <w:tcPr>
            <w:tcW w:w="1889" w:type="dxa"/>
            <w:vAlign w:val="top"/>
          </w:tcPr>
          <w:p w14:paraId="049E0389">
            <w:pPr>
              <w:pStyle w:val="8"/>
              <w:spacing w:before="271" w:line="219" w:lineRule="auto"/>
              <w:ind w:left="473"/>
            </w:pPr>
            <w:r>
              <w:rPr>
                <w:b/>
                <w:bCs/>
                <w:spacing w:val="-6"/>
              </w:rPr>
              <w:t>注册地址</w:t>
            </w:r>
          </w:p>
        </w:tc>
        <w:tc>
          <w:tcPr>
            <w:tcW w:w="6236" w:type="dxa"/>
            <w:gridSpan w:val="6"/>
            <w:vAlign w:val="top"/>
          </w:tcPr>
          <w:p w14:paraId="5623FC03">
            <w:pPr>
              <w:rPr>
                <w:rFonts w:ascii="Arial"/>
                <w:sz w:val="21"/>
              </w:rPr>
            </w:pPr>
          </w:p>
        </w:tc>
      </w:tr>
      <w:tr w14:paraId="3D11E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bottom w:val="nil"/>
            </w:tcBorders>
            <w:vAlign w:val="top"/>
          </w:tcPr>
          <w:p w14:paraId="5A9F9C72">
            <w:pPr>
              <w:rPr>
                <w:rFonts w:ascii="Arial"/>
                <w:sz w:val="21"/>
              </w:rPr>
            </w:pPr>
          </w:p>
        </w:tc>
        <w:tc>
          <w:tcPr>
            <w:tcW w:w="1889" w:type="dxa"/>
            <w:vAlign w:val="top"/>
          </w:tcPr>
          <w:p w14:paraId="116F2FA0">
            <w:pPr>
              <w:pStyle w:val="8"/>
              <w:spacing w:before="272" w:line="219" w:lineRule="auto"/>
              <w:ind w:left="588"/>
            </w:pPr>
            <w:r>
              <w:rPr>
                <w:b/>
                <w:bCs/>
                <w:spacing w:val="-5"/>
              </w:rPr>
              <w:t>联系人</w:t>
            </w:r>
          </w:p>
        </w:tc>
        <w:tc>
          <w:tcPr>
            <w:tcW w:w="1868" w:type="dxa"/>
            <w:vAlign w:val="top"/>
          </w:tcPr>
          <w:p w14:paraId="1CB74F94">
            <w:pPr>
              <w:rPr>
                <w:rFonts w:ascii="Arial"/>
                <w:sz w:val="21"/>
              </w:rPr>
            </w:pPr>
          </w:p>
        </w:tc>
        <w:tc>
          <w:tcPr>
            <w:tcW w:w="1347" w:type="dxa"/>
            <w:gridSpan w:val="2"/>
            <w:vAlign w:val="top"/>
          </w:tcPr>
          <w:p w14:paraId="578CED2A">
            <w:pPr>
              <w:pStyle w:val="8"/>
              <w:spacing w:before="223" w:line="218" w:lineRule="auto"/>
              <w:ind w:left="198"/>
            </w:pPr>
            <w:r>
              <w:rPr>
                <w:b/>
                <w:bCs/>
                <w:spacing w:val="-5"/>
              </w:rPr>
              <w:t>联系方式</w:t>
            </w:r>
          </w:p>
        </w:tc>
        <w:tc>
          <w:tcPr>
            <w:tcW w:w="3021" w:type="dxa"/>
            <w:gridSpan w:val="3"/>
            <w:vAlign w:val="top"/>
          </w:tcPr>
          <w:p w14:paraId="05198CF6">
            <w:pPr>
              <w:rPr>
                <w:rFonts w:ascii="Arial"/>
                <w:sz w:val="21"/>
              </w:rPr>
            </w:pPr>
          </w:p>
        </w:tc>
      </w:tr>
      <w:tr w14:paraId="18C9C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bottom w:val="nil"/>
            </w:tcBorders>
            <w:vAlign w:val="top"/>
          </w:tcPr>
          <w:p w14:paraId="10C6F3EE">
            <w:pPr>
              <w:rPr>
                <w:rFonts w:ascii="Arial"/>
                <w:sz w:val="21"/>
              </w:rPr>
            </w:pPr>
          </w:p>
        </w:tc>
        <w:tc>
          <w:tcPr>
            <w:tcW w:w="1889" w:type="dxa"/>
            <w:vAlign w:val="top"/>
          </w:tcPr>
          <w:p w14:paraId="25BD8606">
            <w:pPr>
              <w:pStyle w:val="8"/>
              <w:spacing w:before="86" w:line="199" w:lineRule="auto"/>
              <w:ind w:left="479"/>
            </w:pPr>
            <w:r>
              <w:rPr>
                <w:b/>
                <w:bCs/>
                <w:spacing w:val="-8"/>
              </w:rPr>
              <w:t>统一社会</w:t>
            </w:r>
          </w:p>
          <w:p w14:paraId="78A2998B">
            <w:pPr>
              <w:pStyle w:val="8"/>
              <w:spacing w:line="216" w:lineRule="auto"/>
              <w:ind w:left="460"/>
            </w:pPr>
            <w:r>
              <w:rPr>
                <w:b/>
                <w:bCs/>
                <w:spacing w:val="-3"/>
              </w:rPr>
              <w:t>信用代码</w:t>
            </w:r>
          </w:p>
        </w:tc>
        <w:tc>
          <w:tcPr>
            <w:tcW w:w="3215" w:type="dxa"/>
            <w:gridSpan w:val="3"/>
            <w:vAlign w:val="top"/>
          </w:tcPr>
          <w:p w14:paraId="33143B82">
            <w:pPr>
              <w:rPr>
                <w:rFonts w:ascii="Arial"/>
                <w:sz w:val="21"/>
              </w:rPr>
            </w:pPr>
          </w:p>
        </w:tc>
        <w:tc>
          <w:tcPr>
            <w:tcW w:w="1490" w:type="dxa"/>
            <w:gridSpan w:val="2"/>
            <w:vAlign w:val="top"/>
          </w:tcPr>
          <w:p w14:paraId="1BDA7F5F">
            <w:pPr>
              <w:pStyle w:val="8"/>
              <w:spacing w:before="222" w:line="218" w:lineRule="auto"/>
              <w:ind w:left="108"/>
            </w:pPr>
            <w:r>
              <w:rPr>
                <w:b/>
                <w:bCs/>
                <w:spacing w:val="-7"/>
              </w:rPr>
              <w:t>员工数量/人</w:t>
            </w:r>
          </w:p>
        </w:tc>
        <w:tc>
          <w:tcPr>
            <w:tcW w:w="1531" w:type="dxa"/>
            <w:vAlign w:val="top"/>
          </w:tcPr>
          <w:p w14:paraId="4EB2E230">
            <w:pPr>
              <w:rPr>
                <w:rFonts w:ascii="Arial"/>
                <w:sz w:val="21"/>
              </w:rPr>
            </w:pPr>
          </w:p>
        </w:tc>
      </w:tr>
      <w:tr w14:paraId="1B445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9" w:hRule="atLeast"/>
        </w:trPr>
        <w:tc>
          <w:tcPr>
            <w:tcW w:w="730" w:type="dxa"/>
            <w:vMerge w:val="continue"/>
            <w:tcBorders>
              <w:top w:val="nil"/>
              <w:bottom w:val="nil"/>
            </w:tcBorders>
            <w:vAlign w:val="top"/>
          </w:tcPr>
          <w:p w14:paraId="14B0A539">
            <w:pPr>
              <w:rPr>
                <w:rFonts w:ascii="Arial"/>
                <w:sz w:val="21"/>
              </w:rPr>
            </w:pPr>
          </w:p>
        </w:tc>
        <w:tc>
          <w:tcPr>
            <w:tcW w:w="1889" w:type="dxa"/>
            <w:vAlign w:val="top"/>
          </w:tcPr>
          <w:p w14:paraId="0133FCCC">
            <w:pPr>
              <w:spacing w:line="242" w:lineRule="auto"/>
              <w:rPr>
                <w:rFonts w:ascii="Arial"/>
                <w:sz w:val="21"/>
              </w:rPr>
            </w:pPr>
          </w:p>
          <w:p w14:paraId="0635CFB6">
            <w:pPr>
              <w:spacing w:line="242" w:lineRule="auto"/>
              <w:rPr>
                <w:rFonts w:ascii="Arial"/>
                <w:sz w:val="21"/>
              </w:rPr>
            </w:pPr>
          </w:p>
          <w:p w14:paraId="657FAB7B">
            <w:pPr>
              <w:spacing w:line="243" w:lineRule="auto"/>
              <w:rPr>
                <w:rFonts w:ascii="Arial"/>
                <w:sz w:val="21"/>
              </w:rPr>
            </w:pPr>
          </w:p>
          <w:p w14:paraId="21BCABF8">
            <w:pPr>
              <w:spacing w:line="243" w:lineRule="auto"/>
              <w:rPr>
                <w:rFonts w:ascii="Arial"/>
                <w:sz w:val="21"/>
              </w:rPr>
            </w:pPr>
          </w:p>
          <w:p w14:paraId="323E6046">
            <w:pPr>
              <w:spacing w:line="243" w:lineRule="auto"/>
              <w:rPr>
                <w:rFonts w:ascii="Arial"/>
                <w:sz w:val="21"/>
              </w:rPr>
            </w:pPr>
          </w:p>
          <w:p w14:paraId="578B2235">
            <w:pPr>
              <w:pStyle w:val="8"/>
              <w:spacing w:before="78" w:line="216" w:lineRule="auto"/>
              <w:ind w:left="470"/>
            </w:pPr>
            <w:r>
              <w:rPr>
                <w:b/>
                <w:bCs/>
                <w:spacing w:val="-5"/>
              </w:rPr>
              <w:t>企业简介</w:t>
            </w:r>
          </w:p>
        </w:tc>
        <w:tc>
          <w:tcPr>
            <w:tcW w:w="6236" w:type="dxa"/>
            <w:gridSpan w:val="6"/>
            <w:vAlign w:val="top"/>
          </w:tcPr>
          <w:p w14:paraId="0D876E73">
            <w:pPr>
              <w:rPr>
                <w:rFonts w:ascii="Arial"/>
                <w:sz w:val="21"/>
              </w:rPr>
            </w:pPr>
          </w:p>
        </w:tc>
      </w:tr>
      <w:tr w14:paraId="475F2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bottom w:val="nil"/>
            </w:tcBorders>
            <w:vAlign w:val="top"/>
          </w:tcPr>
          <w:p w14:paraId="1B904B35">
            <w:pPr>
              <w:rPr>
                <w:rFonts w:ascii="Arial"/>
                <w:sz w:val="21"/>
              </w:rPr>
            </w:pPr>
          </w:p>
        </w:tc>
        <w:tc>
          <w:tcPr>
            <w:tcW w:w="1889" w:type="dxa"/>
            <w:vMerge w:val="restart"/>
            <w:tcBorders>
              <w:bottom w:val="nil"/>
            </w:tcBorders>
            <w:vAlign w:val="top"/>
          </w:tcPr>
          <w:p w14:paraId="1F3F1957">
            <w:pPr>
              <w:spacing w:line="284" w:lineRule="auto"/>
              <w:rPr>
                <w:rFonts w:ascii="Arial"/>
                <w:sz w:val="21"/>
              </w:rPr>
            </w:pPr>
          </w:p>
          <w:p w14:paraId="0CC966CB">
            <w:pPr>
              <w:spacing w:line="285" w:lineRule="auto"/>
              <w:rPr>
                <w:rFonts w:ascii="Arial"/>
                <w:sz w:val="21"/>
              </w:rPr>
            </w:pPr>
          </w:p>
          <w:p w14:paraId="62C20709">
            <w:pPr>
              <w:pStyle w:val="8"/>
              <w:spacing w:before="78" w:line="215" w:lineRule="auto"/>
              <w:ind w:left="503"/>
            </w:pPr>
            <w:r>
              <w:rPr>
                <w:b/>
                <w:bCs/>
                <w:spacing w:val="-14"/>
              </w:rPr>
              <w:t>申请展位</w:t>
            </w:r>
          </w:p>
        </w:tc>
        <w:tc>
          <w:tcPr>
            <w:tcW w:w="2948" w:type="dxa"/>
            <w:gridSpan w:val="2"/>
            <w:vAlign w:val="top"/>
          </w:tcPr>
          <w:p w14:paraId="348602C9">
            <w:pPr>
              <w:pStyle w:val="8"/>
              <w:spacing w:before="306" w:line="188" w:lineRule="auto"/>
              <w:ind w:left="70"/>
            </w:pPr>
            <w:r>
              <w:rPr>
                <w:rFonts w:ascii="微软雅黑" w:hAnsi="微软雅黑" w:eastAsia="微软雅黑" w:cs="微软雅黑"/>
                <w:spacing w:val="-7"/>
              </w:rPr>
              <w:t xml:space="preserve">□  </w:t>
            </w:r>
            <w:r>
              <w:rPr>
                <w:spacing w:val="-7"/>
              </w:rPr>
              <w:t>空地（</w:t>
            </w:r>
            <w:r>
              <w:rPr>
                <w:spacing w:val="-55"/>
              </w:rPr>
              <w:t xml:space="preserve"> </w:t>
            </w:r>
            <w:r>
              <w:rPr>
                <w:spacing w:val="-7"/>
              </w:rPr>
              <w:t>至少</w:t>
            </w:r>
            <w:r>
              <w:rPr>
                <w:spacing w:val="-36"/>
              </w:rPr>
              <w:t xml:space="preserve"> </w:t>
            </w:r>
            <w:r>
              <w:rPr>
                <w:spacing w:val="-7"/>
              </w:rPr>
              <w:t>18</w:t>
            </w:r>
            <w:r>
              <w:rPr>
                <w:spacing w:val="-44"/>
              </w:rPr>
              <w:t xml:space="preserve"> </w:t>
            </w:r>
            <w:r>
              <w:rPr>
                <w:spacing w:val="-7"/>
              </w:rPr>
              <w:t>平方米）</w:t>
            </w:r>
          </w:p>
        </w:tc>
        <w:tc>
          <w:tcPr>
            <w:tcW w:w="3288" w:type="dxa"/>
            <w:gridSpan w:val="4"/>
            <w:vAlign w:val="top"/>
          </w:tcPr>
          <w:p w14:paraId="087F7BCE">
            <w:pPr>
              <w:pStyle w:val="8"/>
              <w:spacing w:before="305" w:line="188" w:lineRule="auto"/>
              <w:ind w:left="149"/>
            </w:pPr>
            <w:r>
              <w:rPr>
                <w:rFonts w:ascii="微软雅黑" w:hAnsi="微软雅黑" w:eastAsia="微软雅黑" w:cs="微软雅黑"/>
                <w:spacing w:val="-4"/>
              </w:rPr>
              <w:t>□</w:t>
            </w:r>
            <w:r>
              <w:rPr>
                <w:rFonts w:ascii="微软雅黑" w:hAnsi="微软雅黑" w:eastAsia="微软雅黑" w:cs="微软雅黑"/>
                <w:spacing w:val="66"/>
                <w:w w:val="101"/>
              </w:rPr>
              <w:t xml:space="preserve"> </w:t>
            </w:r>
            <w:r>
              <w:rPr>
                <w:spacing w:val="-4"/>
              </w:rPr>
              <w:t>标准摊位（</w:t>
            </w:r>
            <w:r>
              <w:rPr>
                <w:spacing w:val="-68"/>
              </w:rPr>
              <w:t xml:space="preserve"> </w:t>
            </w:r>
            <w:r>
              <w:rPr>
                <w:spacing w:val="-4"/>
              </w:rPr>
              <w:t>9</w:t>
            </w:r>
            <w:r>
              <w:rPr>
                <w:spacing w:val="-47"/>
              </w:rPr>
              <w:t xml:space="preserve"> </w:t>
            </w:r>
            <w:r>
              <w:rPr>
                <w:spacing w:val="-4"/>
              </w:rPr>
              <w:t>平方米/个）</w:t>
            </w:r>
          </w:p>
        </w:tc>
      </w:tr>
      <w:tr w14:paraId="39096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tcBorders>
            <w:vAlign w:val="top"/>
          </w:tcPr>
          <w:p w14:paraId="31AEE49D">
            <w:pPr>
              <w:rPr>
                <w:rFonts w:ascii="Arial"/>
                <w:sz w:val="21"/>
              </w:rPr>
            </w:pPr>
          </w:p>
        </w:tc>
        <w:tc>
          <w:tcPr>
            <w:tcW w:w="1889" w:type="dxa"/>
            <w:vMerge w:val="continue"/>
            <w:tcBorders>
              <w:top w:val="nil"/>
            </w:tcBorders>
            <w:vAlign w:val="top"/>
          </w:tcPr>
          <w:p w14:paraId="097D6D49">
            <w:pPr>
              <w:rPr>
                <w:rFonts w:ascii="Arial"/>
                <w:sz w:val="21"/>
              </w:rPr>
            </w:pPr>
          </w:p>
        </w:tc>
        <w:tc>
          <w:tcPr>
            <w:tcW w:w="2948" w:type="dxa"/>
            <w:gridSpan w:val="2"/>
            <w:vAlign w:val="top"/>
          </w:tcPr>
          <w:p w14:paraId="16A27B1F">
            <w:pPr>
              <w:pStyle w:val="8"/>
              <w:tabs>
                <w:tab w:val="left" w:pos="1831"/>
              </w:tabs>
              <w:spacing w:before="304" w:line="217" w:lineRule="auto"/>
              <w:ind w:left="391"/>
            </w:pPr>
            <w:r>
              <w:rPr>
                <w:u w:val="single" w:color="auto"/>
              </w:rPr>
              <w:tab/>
            </w:r>
            <w:r>
              <w:rPr>
                <w:spacing w:val="-106"/>
              </w:rPr>
              <w:t xml:space="preserve"> </w:t>
            </w:r>
            <w:r>
              <w:rPr>
                <w:spacing w:val="-5"/>
              </w:rPr>
              <w:t>平方米</w:t>
            </w:r>
          </w:p>
        </w:tc>
        <w:tc>
          <w:tcPr>
            <w:tcW w:w="3288" w:type="dxa"/>
            <w:gridSpan w:val="4"/>
            <w:vAlign w:val="top"/>
          </w:tcPr>
          <w:p w14:paraId="36BE5F79">
            <w:pPr>
              <w:pStyle w:val="8"/>
              <w:tabs>
                <w:tab w:val="left" w:pos="2541"/>
              </w:tabs>
              <w:spacing w:before="304" w:line="218" w:lineRule="auto"/>
              <w:ind w:left="741"/>
            </w:pPr>
            <w:r>
              <w:rPr>
                <w:u w:val="single" w:color="auto"/>
              </w:rPr>
              <w:tab/>
            </w:r>
            <w:r>
              <w:rPr>
                <w:spacing w:val="-108"/>
              </w:rPr>
              <w:t xml:space="preserve"> </w:t>
            </w:r>
            <w:r>
              <w:t>个</w:t>
            </w:r>
          </w:p>
        </w:tc>
      </w:tr>
      <w:tr w14:paraId="4CD25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2" w:hRule="atLeast"/>
        </w:trPr>
        <w:tc>
          <w:tcPr>
            <w:tcW w:w="8855" w:type="dxa"/>
            <w:gridSpan w:val="8"/>
            <w:vAlign w:val="top"/>
          </w:tcPr>
          <w:p w14:paraId="0904C0C1">
            <w:pPr>
              <w:spacing w:line="303" w:lineRule="auto"/>
              <w:rPr>
                <w:rFonts w:ascii="Arial"/>
                <w:sz w:val="21"/>
              </w:rPr>
            </w:pPr>
          </w:p>
          <w:p w14:paraId="123C7BF8">
            <w:pPr>
              <w:pStyle w:val="8"/>
              <w:spacing w:before="78" w:line="217" w:lineRule="auto"/>
              <w:ind w:left="290"/>
            </w:pPr>
            <w:r>
              <w:rPr>
                <w:b/>
                <w:bCs/>
                <w:spacing w:val="-9"/>
              </w:rPr>
              <w:t>申报企业确认：</w:t>
            </w:r>
          </w:p>
          <w:p w14:paraId="7CF87B38">
            <w:pPr>
              <w:spacing w:line="448" w:lineRule="auto"/>
              <w:rPr>
                <w:rFonts w:ascii="Arial"/>
                <w:sz w:val="21"/>
              </w:rPr>
            </w:pPr>
          </w:p>
          <w:p w14:paraId="4AAF1474">
            <w:pPr>
              <w:pStyle w:val="8"/>
              <w:spacing w:before="78" w:line="215" w:lineRule="auto"/>
              <w:jc w:val="right"/>
            </w:pPr>
            <w:r>
              <w:rPr>
                <w:b/>
                <w:bCs/>
                <w:spacing w:val="-4"/>
              </w:rPr>
              <w:t>本企业承诺有办公场所、有工作人员、有服务实体经营活动，上述填报信息属实。</w:t>
            </w:r>
          </w:p>
          <w:p w14:paraId="6EF2F4F0">
            <w:pPr>
              <w:spacing w:line="450" w:lineRule="auto"/>
              <w:rPr>
                <w:rFonts w:ascii="Arial"/>
                <w:sz w:val="21"/>
              </w:rPr>
            </w:pPr>
          </w:p>
          <w:p w14:paraId="01DD7479">
            <w:pPr>
              <w:pStyle w:val="8"/>
              <w:spacing w:before="78" w:line="216" w:lineRule="auto"/>
              <w:ind w:left="256"/>
            </w:pPr>
            <w:r>
              <w:rPr>
                <w:b/>
                <w:bCs/>
                <w:spacing w:val="-4"/>
              </w:rPr>
              <w:t>企业名称（盖章</w:t>
            </w:r>
            <w:r>
              <w:rPr>
                <w:b/>
                <w:bCs/>
                <w:spacing w:val="-49"/>
              </w:rPr>
              <w:t>）：</w:t>
            </w:r>
          </w:p>
          <w:p w14:paraId="6E41A4FF">
            <w:pPr>
              <w:spacing w:line="450" w:lineRule="auto"/>
              <w:rPr>
                <w:rFonts w:ascii="Arial"/>
                <w:sz w:val="21"/>
              </w:rPr>
            </w:pPr>
          </w:p>
          <w:p w14:paraId="3AA3E97E">
            <w:pPr>
              <w:pStyle w:val="8"/>
              <w:spacing w:before="78" w:line="217" w:lineRule="auto"/>
              <w:ind w:left="299"/>
            </w:pPr>
            <w:r>
              <w:rPr>
                <w:b/>
                <w:bCs/>
                <w:spacing w:val="-26"/>
              </w:rPr>
              <w:t>日</w:t>
            </w:r>
            <w:r>
              <w:rPr>
                <w:spacing w:val="5"/>
              </w:rPr>
              <w:t xml:space="preserve">    </w:t>
            </w:r>
            <w:r>
              <w:rPr>
                <w:b/>
                <w:bCs/>
                <w:spacing w:val="-26"/>
              </w:rPr>
              <w:t>期</w:t>
            </w:r>
            <w:r>
              <w:rPr>
                <w:spacing w:val="-97"/>
              </w:rPr>
              <w:t xml:space="preserve"> </w:t>
            </w:r>
            <w:r>
              <w:rPr>
                <w:b/>
                <w:bCs/>
                <w:spacing w:val="-26"/>
              </w:rPr>
              <w:t>：</w:t>
            </w:r>
            <w:r>
              <w:rPr>
                <w:spacing w:val="4"/>
              </w:rPr>
              <w:t xml:space="preserve">      </w:t>
            </w:r>
            <w:r>
              <w:rPr>
                <w:b/>
                <w:bCs/>
                <w:spacing w:val="-26"/>
              </w:rPr>
              <w:t>年</w:t>
            </w:r>
            <w:r>
              <w:rPr>
                <w:spacing w:val="5"/>
              </w:rPr>
              <w:t xml:space="preserve">     </w:t>
            </w:r>
            <w:r>
              <w:rPr>
                <w:b/>
                <w:bCs/>
                <w:spacing w:val="-26"/>
              </w:rPr>
              <w:t>月</w:t>
            </w:r>
            <w:r>
              <w:rPr>
                <w:spacing w:val="15"/>
              </w:rPr>
              <w:t xml:space="preserve">    </w:t>
            </w:r>
            <w:r>
              <w:rPr>
                <w:b/>
                <w:bCs/>
                <w:spacing w:val="-26"/>
              </w:rPr>
              <w:t>日</w:t>
            </w:r>
          </w:p>
        </w:tc>
      </w:tr>
    </w:tbl>
    <w:p w14:paraId="567EB26E">
      <w:pPr>
        <w:rPr>
          <w:rFonts w:ascii="Arial"/>
          <w:sz w:val="21"/>
        </w:rPr>
      </w:pPr>
    </w:p>
    <w:p w14:paraId="77A6B49E">
      <w:pPr>
        <w:rPr>
          <w:rFonts w:ascii="Arial" w:hAnsi="Arial" w:eastAsia="Arial" w:cs="Arial"/>
          <w:sz w:val="21"/>
          <w:szCs w:val="21"/>
        </w:rPr>
        <w:sectPr>
          <w:headerReference r:id="rId8" w:type="default"/>
          <w:footerReference r:id="rId9" w:type="default"/>
          <w:pgSz w:w="11907" w:h="16840"/>
          <w:pgMar w:top="2023" w:right="1522" w:bottom="1135" w:left="1523" w:header="1532" w:footer="882" w:gutter="0"/>
          <w:cols w:space="720" w:num="1"/>
        </w:sectPr>
      </w:pPr>
    </w:p>
    <w:p w14:paraId="240E82C6">
      <w:pPr>
        <w:spacing w:line="479" w:lineRule="auto"/>
        <w:rPr>
          <w:rFonts w:ascii="Arial"/>
          <w:sz w:val="21"/>
        </w:rPr>
      </w:pPr>
    </w:p>
    <w:p w14:paraId="0C59B447">
      <w:pPr>
        <w:spacing w:before="139" w:line="568" w:lineRule="exact"/>
        <w:ind w:left="2937"/>
        <w:outlineLvl w:val="0"/>
        <w:rPr>
          <w:rFonts w:ascii="宋体" w:hAnsi="宋体" w:eastAsia="宋体" w:cs="宋体"/>
          <w:sz w:val="43"/>
          <w:szCs w:val="43"/>
        </w:rPr>
      </w:pPr>
      <w:r>
        <w:rPr>
          <w:rFonts w:ascii="宋体" w:hAnsi="宋体" w:eastAsia="宋体" w:cs="宋体"/>
          <w:b/>
          <w:bCs/>
          <w:spacing w:val="-5"/>
          <w:position w:val="2"/>
          <w:sz w:val="43"/>
          <w:szCs w:val="43"/>
        </w:rPr>
        <w:t>申报企业承诺书</w:t>
      </w:r>
    </w:p>
    <w:p w14:paraId="21863C97">
      <w:pPr>
        <w:spacing w:line="479" w:lineRule="auto"/>
        <w:rPr>
          <w:rFonts w:ascii="Arial"/>
          <w:sz w:val="21"/>
        </w:rPr>
      </w:pPr>
    </w:p>
    <w:p w14:paraId="4E8DD4EE">
      <w:pPr>
        <w:pStyle w:val="3"/>
        <w:spacing w:before="101" w:line="310" w:lineRule="auto"/>
        <w:ind w:firstLine="658"/>
        <w:jc w:val="both"/>
      </w:pPr>
      <w:r>
        <w:rPr>
          <w:spacing w:val="8"/>
        </w:rPr>
        <w:t>我单位已认真阅读了《广东省商务厅关于邀请参加</w:t>
      </w:r>
      <w:r>
        <w:rPr>
          <w:spacing w:val="-46"/>
        </w:rPr>
        <w:t xml:space="preserve"> </w:t>
      </w:r>
      <w:r>
        <w:rPr>
          <w:spacing w:val="8"/>
        </w:rPr>
        <w:t>2026</w:t>
      </w:r>
      <w:r>
        <w:rPr>
          <w:spacing w:val="-57"/>
        </w:rPr>
        <w:t xml:space="preserve"> </w:t>
      </w:r>
      <w:r>
        <w:rPr>
          <w:spacing w:val="8"/>
        </w:rPr>
        <w:t>粤</w:t>
      </w:r>
      <w:r>
        <w:rPr>
          <w:spacing w:val="-3"/>
        </w:rPr>
        <w:t>港澳大湾区服务贸易大会的函》，了解申报条件及申报材料要求。</w:t>
      </w:r>
      <w:r>
        <w:rPr>
          <w:spacing w:val="5"/>
        </w:rPr>
        <w:t>本单位承诺：</w:t>
      </w:r>
    </w:p>
    <w:p w14:paraId="4771565D">
      <w:pPr>
        <w:pStyle w:val="3"/>
        <w:spacing w:line="220" w:lineRule="auto"/>
        <w:ind w:left="660"/>
      </w:pPr>
      <w:r>
        <w:rPr>
          <w:spacing w:val="6"/>
        </w:rPr>
        <w:t>1.对全部申报资料的真实性负责。</w:t>
      </w:r>
    </w:p>
    <w:p w14:paraId="5EEF9D16">
      <w:pPr>
        <w:pStyle w:val="3"/>
        <w:spacing w:before="147" w:line="310" w:lineRule="auto"/>
        <w:ind w:right="37" w:firstLine="653"/>
      </w:pPr>
      <w:r>
        <w:rPr>
          <w:spacing w:val="4"/>
        </w:rPr>
        <w:t>2.企业经营纳税及信用情况良好，近</w:t>
      </w:r>
      <w:r>
        <w:rPr>
          <w:spacing w:val="-35"/>
        </w:rPr>
        <w:t xml:space="preserve"> </w:t>
      </w:r>
      <w:r>
        <w:rPr>
          <w:spacing w:val="4"/>
        </w:rPr>
        <w:t>2</w:t>
      </w:r>
      <w:r>
        <w:rPr>
          <w:spacing w:val="-58"/>
        </w:rPr>
        <w:t xml:space="preserve"> </w:t>
      </w:r>
      <w:r>
        <w:rPr>
          <w:spacing w:val="4"/>
        </w:rPr>
        <w:t>年未发生重大质量、</w:t>
      </w:r>
      <w:r>
        <w:rPr>
          <w:spacing w:val="5"/>
        </w:rPr>
        <w:t>环保、劳资、安全生产、侵犯知识产权、偷税漏税等违法违规行为或经查证属实的重大投诉和纠纷，未被国家、省、市相关部门</w:t>
      </w:r>
      <w:r>
        <w:rPr>
          <w:spacing w:val="7"/>
        </w:rPr>
        <w:t>列为失信联合惩戒对象。</w:t>
      </w:r>
    </w:p>
    <w:p w14:paraId="5E984F3F">
      <w:pPr>
        <w:pStyle w:val="3"/>
        <w:spacing w:before="1" w:line="221" w:lineRule="auto"/>
        <w:ind w:left="665"/>
      </w:pPr>
      <w:r>
        <w:rPr>
          <w:spacing w:val="7"/>
        </w:rPr>
        <w:t>3.企业已实际开展或有计划开展服务贸易相关业务。</w:t>
      </w:r>
    </w:p>
    <w:p w14:paraId="201FF674">
      <w:pPr>
        <w:pStyle w:val="3"/>
        <w:spacing w:before="148" w:line="220" w:lineRule="auto"/>
        <w:jc w:val="right"/>
      </w:pPr>
      <w:r>
        <w:rPr>
          <w:spacing w:val="6"/>
        </w:rPr>
        <w:t>4.在当地有办公场所、有工作人员、有服务实体经营活动。</w:t>
      </w:r>
    </w:p>
    <w:p w14:paraId="7B5BFBC5">
      <w:pPr>
        <w:pStyle w:val="3"/>
        <w:spacing w:before="151" w:line="220" w:lineRule="auto"/>
        <w:ind w:left="657"/>
      </w:pPr>
      <w:r>
        <w:rPr>
          <w:spacing w:val="8"/>
        </w:rPr>
        <w:t>5.获得支持资格后，按照时间要求提供相关补充材料。</w:t>
      </w:r>
    </w:p>
    <w:p w14:paraId="0BFFDBB8">
      <w:pPr>
        <w:pStyle w:val="3"/>
        <w:spacing w:before="150" w:line="222" w:lineRule="auto"/>
        <w:ind w:left="655"/>
      </w:pPr>
      <w:r>
        <w:rPr>
          <w:spacing w:val="7"/>
        </w:rPr>
        <w:t>6.相关文字和图片已经审核，确认无误。</w:t>
      </w:r>
    </w:p>
    <w:p w14:paraId="27ED8470">
      <w:pPr>
        <w:pStyle w:val="3"/>
        <w:spacing w:before="148" w:line="222" w:lineRule="auto"/>
        <w:ind w:left="655"/>
      </w:pPr>
      <w:r>
        <w:rPr>
          <w:spacing w:val="7"/>
        </w:rPr>
        <w:t>7.积极配合相关部门对本项目的监督调查。</w:t>
      </w:r>
    </w:p>
    <w:p w14:paraId="6B104AD8">
      <w:pPr>
        <w:pStyle w:val="3"/>
        <w:spacing w:before="144" w:line="311" w:lineRule="auto"/>
        <w:ind w:right="89" w:firstLine="640"/>
        <w:jc w:val="both"/>
      </w:pPr>
      <w:r>
        <w:rPr>
          <w:spacing w:val="5"/>
        </w:rPr>
        <w:t>本单位对违反上述声明导致的后果承担全部法律责任，</w:t>
      </w:r>
      <w:r>
        <w:rPr>
          <w:spacing w:val="4"/>
        </w:rPr>
        <w:t>自愿</w:t>
      </w:r>
      <w:r>
        <w:rPr>
          <w:spacing w:val="9"/>
        </w:rPr>
        <w:t>放弃</w:t>
      </w:r>
      <w:r>
        <w:rPr>
          <w:spacing w:val="-48"/>
        </w:rPr>
        <w:t xml:space="preserve"> </w:t>
      </w:r>
      <w:r>
        <w:rPr>
          <w:spacing w:val="9"/>
        </w:rPr>
        <w:t>2026</w:t>
      </w:r>
      <w:r>
        <w:rPr>
          <w:spacing w:val="-57"/>
        </w:rPr>
        <w:t xml:space="preserve"> </w:t>
      </w:r>
      <w:r>
        <w:rPr>
          <w:spacing w:val="9"/>
        </w:rPr>
        <w:t>粤港澳大湾区服务贸易大会展位支持资格</w:t>
      </w:r>
      <w:r>
        <w:rPr>
          <w:spacing w:val="8"/>
        </w:rPr>
        <w:t>，并按市场</w:t>
      </w:r>
      <w:r>
        <w:rPr>
          <w:spacing w:val="9"/>
        </w:rPr>
        <w:t>价格向中国对外贸易广州展览有限公司补交展位费用。</w:t>
      </w:r>
    </w:p>
    <w:p w14:paraId="75BA4594">
      <w:pPr>
        <w:pStyle w:val="3"/>
        <w:spacing w:before="329" w:line="217" w:lineRule="auto"/>
        <w:ind w:left="644"/>
        <w:rPr>
          <w:sz w:val="28"/>
          <w:szCs w:val="28"/>
        </w:rPr>
      </w:pPr>
      <w:r>
        <w:rPr>
          <w:spacing w:val="2"/>
          <w:sz w:val="30"/>
          <w:szCs w:val="30"/>
        </w:rPr>
        <w:t>申报企业</w:t>
      </w:r>
      <w:r>
        <w:rPr>
          <w:spacing w:val="-35"/>
          <w:sz w:val="30"/>
          <w:szCs w:val="30"/>
        </w:rPr>
        <w:t>：</w:t>
      </w:r>
      <w:r>
        <w:rPr>
          <w:spacing w:val="4"/>
          <w:sz w:val="30"/>
          <w:szCs w:val="30"/>
        </w:rPr>
        <w:t xml:space="preserve">                    </w:t>
      </w:r>
      <w:r>
        <w:rPr>
          <w:spacing w:val="-35"/>
          <w:sz w:val="28"/>
          <w:szCs w:val="28"/>
        </w:rPr>
        <w:t>（</w:t>
      </w:r>
      <w:r>
        <w:rPr>
          <w:spacing w:val="2"/>
          <w:sz w:val="28"/>
          <w:szCs w:val="28"/>
        </w:rPr>
        <w:t>加盖公章）</w:t>
      </w:r>
    </w:p>
    <w:p w14:paraId="0830F526">
      <w:pPr>
        <w:spacing w:line="264" w:lineRule="auto"/>
        <w:rPr>
          <w:rFonts w:ascii="Arial"/>
          <w:sz w:val="21"/>
        </w:rPr>
      </w:pPr>
    </w:p>
    <w:p w14:paraId="236613DA">
      <w:pPr>
        <w:spacing w:line="264" w:lineRule="auto"/>
        <w:rPr>
          <w:rFonts w:ascii="Arial"/>
          <w:sz w:val="21"/>
        </w:rPr>
      </w:pPr>
    </w:p>
    <w:p w14:paraId="5294C5F3">
      <w:pPr>
        <w:spacing w:line="264" w:lineRule="auto"/>
        <w:rPr>
          <w:rFonts w:ascii="Arial"/>
          <w:sz w:val="21"/>
        </w:rPr>
      </w:pPr>
    </w:p>
    <w:p w14:paraId="38176A7C">
      <w:pPr>
        <w:pStyle w:val="3"/>
        <w:spacing w:before="98" w:line="218" w:lineRule="auto"/>
        <w:ind w:left="609"/>
        <w:rPr>
          <w:sz w:val="28"/>
          <w:szCs w:val="28"/>
        </w:rPr>
      </w:pPr>
      <w:r>
        <w:rPr>
          <w:spacing w:val="7"/>
          <w:sz w:val="30"/>
          <w:szCs w:val="30"/>
        </w:rPr>
        <w:t>法定代表人</w:t>
      </w:r>
      <w:r>
        <w:rPr>
          <w:spacing w:val="-32"/>
          <w:sz w:val="30"/>
          <w:szCs w:val="30"/>
        </w:rPr>
        <w:t>：</w:t>
      </w:r>
      <w:r>
        <w:rPr>
          <w:spacing w:val="3"/>
          <w:sz w:val="30"/>
          <w:szCs w:val="30"/>
        </w:rPr>
        <w:t xml:space="preserve">                    </w:t>
      </w:r>
      <w:r>
        <w:rPr>
          <w:spacing w:val="-32"/>
          <w:sz w:val="28"/>
          <w:szCs w:val="28"/>
        </w:rPr>
        <w:t>（</w:t>
      </w:r>
      <w:r>
        <w:rPr>
          <w:spacing w:val="7"/>
          <w:sz w:val="28"/>
          <w:szCs w:val="28"/>
        </w:rPr>
        <w:t>签    章）</w:t>
      </w:r>
    </w:p>
    <w:p w14:paraId="37122895">
      <w:pPr>
        <w:spacing w:line="263" w:lineRule="auto"/>
        <w:rPr>
          <w:rFonts w:ascii="Arial"/>
          <w:sz w:val="21"/>
        </w:rPr>
      </w:pPr>
    </w:p>
    <w:p w14:paraId="67C94F1D">
      <w:pPr>
        <w:spacing w:line="264" w:lineRule="auto"/>
        <w:rPr>
          <w:rFonts w:ascii="Arial"/>
          <w:sz w:val="21"/>
        </w:rPr>
      </w:pPr>
    </w:p>
    <w:p w14:paraId="1058975F">
      <w:pPr>
        <w:spacing w:line="264" w:lineRule="auto"/>
        <w:rPr>
          <w:rFonts w:ascii="Arial"/>
          <w:sz w:val="21"/>
        </w:rPr>
      </w:pPr>
    </w:p>
    <w:p w14:paraId="278F8D01">
      <w:pPr>
        <w:pStyle w:val="3"/>
        <w:spacing w:before="98" w:line="218" w:lineRule="auto"/>
        <w:ind w:left="655"/>
        <w:rPr>
          <w:sz w:val="28"/>
          <w:szCs w:val="28"/>
        </w:rPr>
      </w:pPr>
      <w:r>
        <w:rPr>
          <w:spacing w:val="-20"/>
          <w:sz w:val="30"/>
          <w:szCs w:val="30"/>
        </w:rPr>
        <w:t>日期：</w:t>
      </w:r>
      <w:r>
        <w:rPr>
          <w:spacing w:val="4"/>
          <w:sz w:val="30"/>
          <w:szCs w:val="30"/>
        </w:rPr>
        <w:t xml:space="preserve">                         </w:t>
      </w:r>
      <w:r>
        <w:rPr>
          <w:spacing w:val="-20"/>
          <w:sz w:val="28"/>
          <w:szCs w:val="28"/>
        </w:rPr>
        <w:t>年</w:t>
      </w:r>
      <w:r>
        <w:rPr>
          <w:spacing w:val="7"/>
          <w:sz w:val="28"/>
          <w:szCs w:val="28"/>
        </w:rPr>
        <w:t xml:space="preserve">      </w:t>
      </w:r>
      <w:r>
        <w:rPr>
          <w:spacing w:val="-20"/>
          <w:sz w:val="28"/>
          <w:szCs w:val="28"/>
        </w:rPr>
        <w:t>月</w:t>
      </w:r>
      <w:r>
        <w:rPr>
          <w:spacing w:val="12"/>
          <w:sz w:val="28"/>
          <w:szCs w:val="28"/>
        </w:rPr>
        <w:t xml:space="preserve">     </w:t>
      </w:r>
      <w:r>
        <w:rPr>
          <w:spacing w:val="-20"/>
          <w:sz w:val="28"/>
          <w:szCs w:val="28"/>
        </w:rPr>
        <w:t>日</w:t>
      </w:r>
    </w:p>
    <w:p w14:paraId="5D191C57">
      <w:pPr>
        <w:spacing w:line="218" w:lineRule="auto"/>
        <w:rPr>
          <w:sz w:val="28"/>
          <w:szCs w:val="28"/>
        </w:rPr>
        <w:sectPr>
          <w:headerReference r:id="rId10" w:type="default"/>
          <w:footerReference r:id="rId11" w:type="default"/>
          <w:pgSz w:w="11907" w:h="16840"/>
          <w:pgMar w:top="1970" w:right="1441" w:bottom="1250" w:left="1543" w:header="1479" w:footer="997" w:gutter="0"/>
          <w:cols w:space="720" w:num="1"/>
        </w:sectPr>
      </w:pPr>
    </w:p>
    <w:p w14:paraId="57EBC209">
      <w:pPr>
        <w:spacing w:line="243" w:lineRule="auto"/>
        <w:rPr>
          <w:rFonts w:ascii="Arial"/>
          <w:sz w:val="21"/>
        </w:rPr>
      </w:pPr>
    </w:p>
    <w:p w14:paraId="19EB4362">
      <w:pPr>
        <w:spacing w:line="243" w:lineRule="auto"/>
        <w:rPr>
          <w:rFonts w:ascii="Arial"/>
          <w:sz w:val="21"/>
        </w:rPr>
      </w:pPr>
    </w:p>
    <w:p w14:paraId="6BFAAE80">
      <w:pPr>
        <w:spacing w:before="140" w:line="566" w:lineRule="exact"/>
        <w:ind w:left="2668"/>
        <w:outlineLvl w:val="0"/>
        <w:rPr>
          <w:rFonts w:ascii="宋体" w:hAnsi="宋体" w:eastAsia="宋体" w:cs="宋体"/>
          <w:sz w:val="43"/>
          <w:szCs w:val="43"/>
        </w:rPr>
      </w:pPr>
      <w:r>
        <w:rPr>
          <w:rFonts w:ascii="宋体" w:hAnsi="宋体" w:eastAsia="宋体" w:cs="宋体"/>
          <w:b/>
          <w:bCs/>
          <w:spacing w:val="3"/>
          <w:position w:val="2"/>
          <w:sz w:val="43"/>
          <w:szCs w:val="43"/>
        </w:rPr>
        <w:t>企业相关情况报告</w:t>
      </w:r>
    </w:p>
    <w:p w14:paraId="7EFFFCCD">
      <w:pPr>
        <w:spacing w:line="290" w:lineRule="auto"/>
        <w:rPr>
          <w:rFonts w:ascii="Arial"/>
          <w:sz w:val="21"/>
        </w:rPr>
      </w:pPr>
    </w:p>
    <w:p w14:paraId="2D7F74EC">
      <w:pPr>
        <w:spacing w:line="291" w:lineRule="auto"/>
        <w:rPr>
          <w:rFonts w:ascii="Arial"/>
          <w:sz w:val="21"/>
        </w:rPr>
      </w:pPr>
    </w:p>
    <w:p w14:paraId="44E31A2E">
      <w:pPr>
        <w:pStyle w:val="3"/>
        <w:spacing w:before="101" w:line="333" w:lineRule="auto"/>
        <w:ind w:left="3" w:firstLine="650"/>
        <w:jc w:val="both"/>
      </w:pPr>
      <w:r>
        <w:rPr>
          <w:spacing w:val="4"/>
        </w:rPr>
        <w:t>报告的撰写应充分吸纳技术、业务、财务等方面的骨干人员</w:t>
      </w:r>
      <w:r>
        <w:rPr>
          <w:spacing w:val="5"/>
        </w:rPr>
        <w:t>参与，以提高报告的完整性和专业性。报告应突出展现企业开展服务贸易取得的主要业绩、产品特色等情况，从以下五个方面进行具体叙述：</w:t>
      </w:r>
    </w:p>
    <w:p w14:paraId="69233F53">
      <w:pPr>
        <w:pStyle w:val="3"/>
        <w:spacing w:before="2" w:line="333" w:lineRule="auto"/>
        <w:ind w:right="2" w:firstLine="664"/>
      </w:pPr>
      <w:r>
        <w:rPr>
          <w:spacing w:val="4"/>
        </w:rPr>
        <w:t>一、企业基本情况。包括企业名称、地址、成立时间、经营</w:t>
      </w:r>
      <w:r>
        <w:rPr>
          <w:spacing w:val="8"/>
        </w:rPr>
        <w:t>模式、经营产品等基本情况。</w:t>
      </w:r>
    </w:p>
    <w:p w14:paraId="70107ABE">
      <w:pPr>
        <w:pStyle w:val="3"/>
        <w:spacing w:before="2" w:line="333" w:lineRule="auto"/>
        <w:ind w:left="13" w:firstLine="648"/>
      </w:pPr>
      <w:r>
        <w:rPr>
          <w:spacing w:val="2"/>
        </w:rPr>
        <w:t>二、经营业绩情况。企业近</w:t>
      </w:r>
      <w:r>
        <w:rPr>
          <w:spacing w:val="-39"/>
        </w:rPr>
        <w:t xml:space="preserve"> </w:t>
      </w:r>
      <w:r>
        <w:rPr>
          <w:spacing w:val="2"/>
        </w:rPr>
        <w:t>2</w:t>
      </w:r>
      <w:r>
        <w:rPr>
          <w:spacing w:val="-58"/>
        </w:rPr>
        <w:t xml:space="preserve"> </w:t>
      </w:r>
      <w:r>
        <w:rPr>
          <w:spacing w:val="2"/>
        </w:rPr>
        <w:t>年开展与服务贸易相关业务情</w:t>
      </w:r>
      <w:r>
        <w:rPr>
          <w:spacing w:val="5"/>
        </w:rPr>
        <w:t>况，市场拓展及分布情况，经营商品种类、市场占有率和近年用户规模成长情况。（拟开展服务贸易相关业务的企业请结合主营</w:t>
      </w:r>
      <w:r>
        <w:rPr>
          <w:spacing w:val="7"/>
        </w:rPr>
        <w:t>业务提供相关情况）</w:t>
      </w:r>
    </w:p>
    <w:p w14:paraId="1FD10571">
      <w:pPr>
        <w:pStyle w:val="3"/>
        <w:spacing w:before="3" w:line="333" w:lineRule="auto"/>
        <w:ind w:left="7" w:firstLine="660"/>
      </w:pPr>
      <w:r>
        <w:rPr>
          <w:spacing w:val="4"/>
        </w:rPr>
        <w:t>三、运营管理情况。企业与服务贸易相关业务匹配的业务流</w:t>
      </w:r>
      <w:r>
        <w:rPr>
          <w:spacing w:val="5"/>
        </w:rPr>
        <w:t>程、质量保证、技术保障和财务管理等制度，售前、售中、售后服务保障体系建设情况，企业在法律、知识产权等方面合规运营情况。（拟开展服务贸易相关业务的企业请结合主营业务提供相</w:t>
      </w:r>
    </w:p>
    <w:p w14:paraId="582619C8">
      <w:pPr>
        <w:pStyle w:val="3"/>
        <w:spacing w:before="1" w:line="223" w:lineRule="auto"/>
        <w:ind w:left="17"/>
      </w:pPr>
      <w:r>
        <w:rPr>
          <w:spacing w:val="2"/>
        </w:rPr>
        <w:t>关情况）</w:t>
      </w:r>
    </w:p>
    <w:p w14:paraId="3F50463C">
      <w:pPr>
        <w:pStyle w:val="3"/>
        <w:spacing w:before="188" w:line="333" w:lineRule="auto"/>
        <w:ind w:left="13" w:firstLine="668"/>
      </w:pPr>
      <w:r>
        <w:rPr>
          <w:spacing w:val="3"/>
        </w:rPr>
        <w:t>四、人才管理情况。服务贸易相关业务团队建设情况，包括</w:t>
      </w:r>
      <w:r>
        <w:rPr>
          <w:spacing w:val="5"/>
        </w:rPr>
        <w:t>专业服务贸易人才数量、人才的专项培养等情况。企业人事管理制度及奖惩制度建设情况。（拟开展服务贸易相关业务的企业请</w:t>
      </w:r>
      <w:r>
        <w:rPr>
          <w:spacing w:val="7"/>
        </w:rPr>
        <w:t>结合主营业务提供相关情况）</w:t>
      </w:r>
    </w:p>
    <w:p w14:paraId="6E01DA5D">
      <w:pPr>
        <w:pStyle w:val="3"/>
        <w:spacing w:before="1" w:line="222" w:lineRule="auto"/>
        <w:ind w:left="655"/>
      </w:pPr>
      <w:r>
        <w:rPr>
          <w:spacing w:val="7"/>
        </w:rPr>
        <w:t>五、企业获得的有关荣誉情况（若有）。</w:t>
      </w:r>
    </w:p>
    <w:p w14:paraId="34F0F8AC">
      <w:pPr>
        <w:pStyle w:val="3"/>
        <w:spacing w:before="189" w:line="220" w:lineRule="auto"/>
        <w:ind w:left="652"/>
      </w:pPr>
      <w:r>
        <w:rPr>
          <w:spacing w:val="8"/>
        </w:rPr>
        <w:t>注：情况报告按以上五个标题形成书面材料。</w:t>
      </w:r>
    </w:p>
    <w:p w14:paraId="1D576631">
      <w:pPr>
        <w:spacing w:line="220" w:lineRule="auto"/>
        <w:sectPr>
          <w:headerReference r:id="rId12" w:type="default"/>
          <w:footerReference r:id="rId13" w:type="default"/>
          <w:pgSz w:w="11907" w:h="16840"/>
          <w:pgMar w:top="1970" w:right="1530" w:bottom="1250" w:left="1539" w:header="1479" w:footer="997" w:gutter="0"/>
          <w:cols w:space="720" w:num="1"/>
        </w:sectPr>
      </w:pPr>
    </w:p>
    <w:p w14:paraId="4905219C">
      <w:pPr>
        <w:spacing w:before="286" w:line="186" w:lineRule="auto"/>
        <w:ind w:left="3834"/>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参展确认表</w:t>
      </w:r>
    </w:p>
    <w:p w14:paraId="0E043916">
      <w:pPr>
        <w:spacing w:before="219"/>
      </w:pPr>
    </w:p>
    <w:tbl>
      <w:tblPr>
        <w:tblStyle w:val="7"/>
        <w:tblW w:w="98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0"/>
        <w:gridCol w:w="506"/>
        <w:gridCol w:w="2010"/>
        <w:gridCol w:w="307"/>
        <w:gridCol w:w="2453"/>
        <w:gridCol w:w="2441"/>
      </w:tblGrid>
      <w:tr w14:paraId="62C3D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130" w:type="dxa"/>
            <w:vMerge w:val="restart"/>
            <w:tcBorders>
              <w:bottom w:val="nil"/>
            </w:tcBorders>
            <w:vAlign w:val="top"/>
          </w:tcPr>
          <w:p w14:paraId="7F0A4D36">
            <w:pPr>
              <w:spacing w:line="343" w:lineRule="auto"/>
              <w:rPr>
                <w:rFonts w:ascii="Arial"/>
                <w:sz w:val="21"/>
              </w:rPr>
            </w:pPr>
          </w:p>
          <w:p w14:paraId="74F2B55A">
            <w:pPr>
              <w:spacing w:line="344" w:lineRule="auto"/>
              <w:rPr>
                <w:rFonts w:ascii="Arial"/>
                <w:sz w:val="21"/>
              </w:rPr>
            </w:pPr>
          </w:p>
          <w:p w14:paraId="0981515B">
            <w:pPr>
              <w:spacing w:before="95"/>
              <w:ind w:left="113"/>
              <w:rPr>
                <w:rFonts w:ascii="宋体" w:hAnsi="宋体" w:eastAsia="宋体" w:cs="宋体"/>
                <w:sz w:val="29"/>
                <w:szCs w:val="29"/>
              </w:rPr>
            </w:pPr>
            <w:r>
              <w:rPr>
                <w:rFonts w:ascii="宋体" w:hAnsi="宋体" w:eastAsia="宋体" w:cs="宋体"/>
                <w:b/>
                <w:bCs/>
                <w:spacing w:val="-4"/>
                <w:sz w:val="29"/>
                <w:szCs w:val="29"/>
              </w:rPr>
              <w:t>展会概况</w:t>
            </w:r>
          </w:p>
        </w:tc>
        <w:tc>
          <w:tcPr>
            <w:tcW w:w="7717" w:type="dxa"/>
            <w:gridSpan w:val="5"/>
            <w:vAlign w:val="top"/>
          </w:tcPr>
          <w:p w14:paraId="5E1CBACC">
            <w:pPr>
              <w:spacing w:before="187"/>
              <w:ind w:left="109"/>
              <w:rPr>
                <w:rFonts w:ascii="宋体" w:hAnsi="宋体" w:eastAsia="宋体" w:cs="宋体"/>
                <w:sz w:val="20"/>
                <w:szCs w:val="20"/>
              </w:rPr>
            </w:pPr>
            <w:r>
              <w:rPr>
                <w:rFonts w:ascii="宋体" w:hAnsi="宋体" w:eastAsia="宋体" w:cs="宋体"/>
                <w:spacing w:val="5"/>
                <w:sz w:val="23"/>
                <w:szCs w:val="23"/>
              </w:rPr>
              <w:t>展会名称：</w:t>
            </w:r>
            <w:r>
              <w:rPr>
                <w:rFonts w:ascii="Lucida Sans Unicode" w:hAnsi="Lucida Sans Unicode" w:eastAsia="Lucida Sans Unicode" w:cs="Lucida Sans Unicode"/>
                <w:spacing w:val="5"/>
                <w:sz w:val="20"/>
                <w:szCs w:val="20"/>
              </w:rPr>
              <w:t>2026</w:t>
            </w:r>
            <w:r>
              <w:rPr>
                <w:rFonts w:ascii="宋体" w:hAnsi="宋体" w:eastAsia="宋体" w:cs="宋体"/>
                <w:spacing w:val="5"/>
                <w:sz w:val="20"/>
                <w:szCs w:val="20"/>
              </w:rPr>
              <w:t>粤港澳大湾区服务贸易大会（广州展区）</w:t>
            </w:r>
          </w:p>
        </w:tc>
      </w:tr>
      <w:tr w14:paraId="4EE1A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30" w:type="dxa"/>
            <w:vMerge w:val="continue"/>
            <w:tcBorders>
              <w:top w:val="nil"/>
              <w:bottom w:val="nil"/>
            </w:tcBorders>
            <w:vAlign w:val="top"/>
          </w:tcPr>
          <w:p w14:paraId="779E8C01">
            <w:pPr>
              <w:rPr>
                <w:rFonts w:ascii="Arial"/>
                <w:sz w:val="21"/>
              </w:rPr>
            </w:pPr>
          </w:p>
        </w:tc>
        <w:tc>
          <w:tcPr>
            <w:tcW w:w="7717" w:type="dxa"/>
            <w:gridSpan w:val="5"/>
            <w:vAlign w:val="top"/>
          </w:tcPr>
          <w:p w14:paraId="044D9BBD">
            <w:pPr>
              <w:spacing w:before="183" w:line="241" w:lineRule="auto"/>
              <w:ind w:left="120"/>
              <w:rPr>
                <w:rFonts w:ascii="宋体" w:hAnsi="宋体" w:eastAsia="宋体" w:cs="宋体"/>
                <w:sz w:val="20"/>
                <w:szCs w:val="20"/>
              </w:rPr>
            </w:pPr>
            <w:r>
              <w:rPr>
                <w:rFonts w:ascii="宋体" w:hAnsi="宋体" w:eastAsia="宋体" w:cs="宋体"/>
                <w:spacing w:val="-2"/>
                <w:sz w:val="23"/>
                <w:szCs w:val="23"/>
              </w:rPr>
              <w:t>时    间：自</w:t>
            </w:r>
            <w:r>
              <w:rPr>
                <w:rFonts w:ascii="Lucida Sans Unicode" w:hAnsi="Lucida Sans Unicode" w:eastAsia="Lucida Sans Unicode" w:cs="Lucida Sans Unicode"/>
                <w:spacing w:val="-2"/>
                <w:sz w:val="20"/>
                <w:szCs w:val="20"/>
              </w:rPr>
              <w:t>2026</w:t>
            </w:r>
            <w:r>
              <w:rPr>
                <w:rFonts w:ascii="宋体" w:hAnsi="宋体" w:eastAsia="宋体" w:cs="宋体"/>
                <w:spacing w:val="-2"/>
                <w:sz w:val="20"/>
                <w:szCs w:val="20"/>
              </w:rPr>
              <w:t>年</w:t>
            </w:r>
            <w:r>
              <w:rPr>
                <w:rFonts w:ascii="Lucida Sans Unicode" w:hAnsi="Lucida Sans Unicode" w:eastAsia="Lucida Sans Unicode" w:cs="Lucida Sans Unicode"/>
                <w:spacing w:val="-2"/>
                <w:sz w:val="20"/>
                <w:szCs w:val="20"/>
              </w:rPr>
              <w:t>11</w:t>
            </w:r>
            <w:r>
              <w:rPr>
                <w:rFonts w:ascii="宋体" w:hAnsi="宋体" w:eastAsia="宋体" w:cs="宋体"/>
                <w:spacing w:val="-2"/>
                <w:sz w:val="20"/>
                <w:szCs w:val="20"/>
              </w:rPr>
              <w:t>月</w:t>
            </w:r>
            <w:r>
              <w:rPr>
                <w:rFonts w:ascii="Lucida Sans Unicode" w:hAnsi="Lucida Sans Unicode" w:eastAsia="Lucida Sans Unicode" w:cs="Lucida Sans Unicode"/>
                <w:spacing w:val="-2"/>
                <w:sz w:val="20"/>
                <w:szCs w:val="20"/>
              </w:rPr>
              <w:t>26</w:t>
            </w:r>
            <w:r>
              <w:rPr>
                <w:rFonts w:ascii="宋体" w:hAnsi="宋体" w:eastAsia="宋体" w:cs="宋体"/>
                <w:spacing w:val="-2"/>
                <w:sz w:val="20"/>
                <w:szCs w:val="20"/>
              </w:rPr>
              <w:t>日至</w:t>
            </w:r>
            <w:r>
              <w:rPr>
                <w:rFonts w:ascii="Lucida Sans Unicode" w:hAnsi="Lucida Sans Unicode" w:eastAsia="Lucida Sans Unicode" w:cs="Lucida Sans Unicode"/>
                <w:spacing w:val="-2"/>
                <w:sz w:val="20"/>
                <w:szCs w:val="20"/>
              </w:rPr>
              <w:t>2026</w:t>
            </w:r>
            <w:r>
              <w:rPr>
                <w:rFonts w:ascii="宋体" w:hAnsi="宋体" w:eastAsia="宋体" w:cs="宋体"/>
                <w:spacing w:val="-2"/>
                <w:sz w:val="20"/>
                <w:szCs w:val="20"/>
              </w:rPr>
              <w:t>年</w:t>
            </w:r>
            <w:r>
              <w:rPr>
                <w:rFonts w:ascii="Lucida Sans Unicode" w:hAnsi="Lucida Sans Unicode" w:eastAsia="Lucida Sans Unicode" w:cs="Lucida Sans Unicode"/>
                <w:spacing w:val="-2"/>
                <w:sz w:val="20"/>
                <w:szCs w:val="20"/>
              </w:rPr>
              <w:t>11</w:t>
            </w:r>
            <w:r>
              <w:rPr>
                <w:rFonts w:ascii="宋体" w:hAnsi="宋体" w:eastAsia="宋体" w:cs="宋体"/>
                <w:spacing w:val="-2"/>
                <w:sz w:val="20"/>
                <w:szCs w:val="20"/>
              </w:rPr>
              <w:t>月</w:t>
            </w:r>
            <w:r>
              <w:rPr>
                <w:rFonts w:ascii="Lucida Sans Unicode" w:hAnsi="Lucida Sans Unicode" w:eastAsia="Lucida Sans Unicode" w:cs="Lucida Sans Unicode"/>
                <w:spacing w:val="-2"/>
                <w:sz w:val="20"/>
                <w:szCs w:val="20"/>
              </w:rPr>
              <w:t>28</w:t>
            </w:r>
            <w:r>
              <w:rPr>
                <w:rFonts w:ascii="宋体" w:hAnsi="宋体" w:eastAsia="宋体" w:cs="宋体"/>
                <w:spacing w:val="-2"/>
                <w:sz w:val="20"/>
                <w:szCs w:val="20"/>
              </w:rPr>
              <w:t>日</w:t>
            </w:r>
          </w:p>
        </w:tc>
      </w:tr>
      <w:tr w14:paraId="01673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tcBorders>
            <w:vAlign w:val="top"/>
          </w:tcPr>
          <w:p w14:paraId="4523BA40">
            <w:pPr>
              <w:rPr>
                <w:rFonts w:ascii="Arial"/>
                <w:sz w:val="21"/>
              </w:rPr>
            </w:pPr>
          </w:p>
        </w:tc>
        <w:tc>
          <w:tcPr>
            <w:tcW w:w="7717" w:type="dxa"/>
            <w:gridSpan w:val="5"/>
            <w:vAlign w:val="top"/>
          </w:tcPr>
          <w:p w14:paraId="2AD4FDD7">
            <w:pPr>
              <w:spacing w:before="184" w:line="242" w:lineRule="auto"/>
              <w:ind w:left="109"/>
              <w:rPr>
                <w:rFonts w:ascii="宋体" w:hAnsi="宋体" w:eastAsia="宋体" w:cs="宋体"/>
                <w:sz w:val="20"/>
                <w:szCs w:val="20"/>
              </w:rPr>
            </w:pPr>
            <w:r>
              <w:rPr>
                <w:rFonts w:ascii="宋体" w:hAnsi="宋体" w:eastAsia="宋体" w:cs="宋体"/>
                <w:spacing w:val="8"/>
                <w:sz w:val="23"/>
                <w:szCs w:val="23"/>
              </w:rPr>
              <w:t>地</w:t>
            </w:r>
            <w:r>
              <w:rPr>
                <w:rFonts w:ascii="宋体" w:hAnsi="宋体" w:eastAsia="宋体" w:cs="宋体"/>
                <w:spacing w:val="1"/>
                <w:sz w:val="23"/>
                <w:szCs w:val="23"/>
              </w:rPr>
              <w:t xml:space="preserve">    </w:t>
            </w:r>
            <w:r>
              <w:rPr>
                <w:rFonts w:ascii="宋体" w:hAnsi="宋体" w:eastAsia="宋体" w:cs="宋体"/>
                <w:spacing w:val="8"/>
                <w:sz w:val="23"/>
                <w:szCs w:val="23"/>
              </w:rPr>
              <w:t>点：</w:t>
            </w:r>
            <w:r>
              <w:rPr>
                <w:rFonts w:ascii="宋体" w:hAnsi="宋体" w:eastAsia="宋体" w:cs="宋体"/>
                <w:spacing w:val="8"/>
                <w:sz w:val="20"/>
                <w:szCs w:val="20"/>
              </w:rPr>
              <w:t>中国进出口商品交易会展馆</w:t>
            </w:r>
            <w:r>
              <w:rPr>
                <w:rFonts w:ascii="Lucida Sans Unicode" w:hAnsi="Lucida Sans Unicode" w:eastAsia="Lucida Sans Unicode" w:cs="Lucida Sans Unicode"/>
                <w:spacing w:val="8"/>
                <w:sz w:val="20"/>
                <w:szCs w:val="20"/>
              </w:rPr>
              <w:t>B</w:t>
            </w:r>
            <w:r>
              <w:rPr>
                <w:rFonts w:ascii="宋体" w:hAnsi="宋体" w:eastAsia="宋体" w:cs="宋体"/>
                <w:spacing w:val="8"/>
                <w:sz w:val="20"/>
                <w:szCs w:val="20"/>
              </w:rPr>
              <w:t>区</w:t>
            </w:r>
          </w:p>
        </w:tc>
      </w:tr>
      <w:tr w14:paraId="1624B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restart"/>
            <w:tcBorders>
              <w:bottom w:val="nil"/>
            </w:tcBorders>
            <w:vAlign w:val="top"/>
          </w:tcPr>
          <w:p w14:paraId="38AB3366">
            <w:pPr>
              <w:spacing w:line="263" w:lineRule="auto"/>
              <w:rPr>
                <w:rFonts w:ascii="Arial"/>
                <w:sz w:val="21"/>
              </w:rPr>
            </w:pPr>
          </w:p>
          <w:p w14:paraId="385FB642">
            <w:pPr>
              <w:spacing w:line="263" w:lineRule="auto"/>
              <w:rPr>
                <w:rFonts w:ascii="Arial"/>
                <w:sz w:val="21"/>
              </w:rPr>
            </w:pPr>
          </w:p>
          <w:p w14:paraId="2BF5DF70">
            <w:pPr>
              <w:spacing w:line="263" w:lineRule="auto"/>
              <w:rPr>
                <w:rFonts w:ascii="Arial"/>
                <w:sz w:val="21"/>
              </w:rPr>
            </w:pPr>
          </w:p>
          <w:p w14:paraId="53E2D0B3">
            <w:pPr>
              <w:spacing w:line="263" w:lineRule="auto"/>
              <w:rPr>
                <w:rFonts w:ascii="Arial"/>
                <w:sz w:val="21"/>
              </w:rPr>
            </w:pPr>
          </w:p>
          <w:p w14:paraId="72599AA0">
            <w:pPr>
              <w:spacing w:line="264" w:lineRule="auto"/>
              <w:rPr>
                <w:rFonts w:ascii="Arial"/>
                <w:sz w:val="21"/>
              </w:rPr>
            </w:pPr>
          </w:p>
          <w:p w14:paraId="33D4FCEE">
            <w:pPr>
              <w:spacing w:before="95" w:line="241" w:lineRule="auto"/>
              <w:ind w:left="111"/>
              <w:rPr>
                <w:rFonts w:ascii="宋体" w:hAnsi="宋体" w:eastAsia="宋体" w:cs="宋体"/>
                <w:sz w:val="29"/>
                <w:szCs w:val="29"/>
              </w:rPr>
            </w:pPr>
            <w:r>
              <w:rPr>
                <w:rFonts w:ascii="宋体" w:hAnsi="宋体" w:eastAsia="宋体" w:cs="宋体"/>
                <w:b/>
                <w:bCs/>
                <w:spacing w:val="-3"/>
                <w:sz w:val="29"/>
                <w:szCs w:val="29"/>
              </w:rPr>
              <w:t>参展单位</w:t>
            </w:r>
          </w:p>
        </w:tc>
        <w:tc>
          <w:tcPr>
            <w:tcW w:w="7717" w:type="dxa"/>
            <w:gridSpan w:val="5"/>
            <w:vAlign w:val="top"/>
          </w:tcPr>
          <w:p w14:paraId="1E7B6E3E">
            <w:pPr>
              <w:spacing w:before="183" w:line="302" w:lineRule="exact"/>
              <w:ind w:left="107"/>
              <w:rPr>
                <w:rFonts w:ascii="宋体" w:hAnsi="宋体" w:eastAsia="宋体" w:cs="宋体"/>
                <w:sz w:val="23"/>
                <w:szCs w:val="23"/>
              </w:rPr>
            </w:pPr>
            <w:r>
              <w:rPr>
                <w:rFonts w:ascii="宋体" w:hAnsi="宋体" w:eastAsia="宋体" w:cs="宋体"/>
                <w:spacing w:val="-1"/>
                <w:position w:val="1"/>
                <w:sz w:val="23"/>
                <w:szCs w:val="23"/>
              </w:rPr>
              <w:t>公司名称：</w:t>
            </w:r>
          </w:p>
        </w:tc>
      </w:tr>
      <w:tr w14:paraId="63C98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bottom w:val="nil"/>
            </w:tcBorders>
            <w:vAlign w:val="top"/>
          </w:tcPr>
          <w:p w14:paraId="4FB23EDC">
            <w:pPr>
              <w:rPr>
                <w:rFonts w:ascii="Arial"/>
                <w:sz w:val="21"/>
              </w:rPr>
            </w:pPr>
          </w:p>
        </w:tc>
        <w:tc>
          <w:tcPr>
            <w:tcW w:w="7717" w:type="dxa"/>
            <w:gridSpan w:val="5"/>
            <w:vAlign w:val="top"/>
          </w:tcPr>
          <w:p w14:paraId="3B41661E">
            <w:pPr>
              <w:spacing w:before="182"/>
              <w:ind w:left="110"/>
              <w:rPr>
                <w:rFonts w:ascii="宋体" w:hAnsi="宋体" w:eastAsia="宋体" w:cs="宋体"/>
                <w:sz w:val="23"/>
                <w:szCs w:val="23"/>
              </w:rPr>
            </w:pPr>
            <w:r>
              <w:rPr>
                <w:rFonts w:ascii="宋体" w:hAnsi="宋体" w:eastAsia="宋体" w:cs="宋体"/>
                <w:spacing w:val="-1"/>
                <w:sz w:val="23"/>
                <w:szCs w:val="23"/>
              </w:rPr>
              <w:t>统一社会信用代码：</w:t>
            </w:r>
          </w:p>
        </w:tc>
      </w:tr>
      <w:tr w14:paraId="40425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bottom w:val="nil"/>
            </w:tcBorders>
            <w:vAlign w:val="top"/>
          </w:tcPr>
          <w:p w14:paraId="00FCDCD5">
            <w:pPr>
              <w:rPr>
                <w:rFonts w:ascii="Arial"/>
                <w:sz w:val="21"/>
              </w:rPr>
            </w:pPr>
          </w:p>
        </w:tc>
        <w:tc>
          <w:tcPr>
            <w:tcW w:w="7717" w:type="dxa"/>
            <w:gridSpan w:val="5"/>
            <w:vAlign w:val="top"/>
          </w:tcPr>
          <w:p w14:paraId="6242E6CE">
            <w:pPr>
              <w:spacing w:before="185" w:line="311" w:lineRule="exact"/>
              <w:ind w:left="109"/>
              <w:rPr>
                <w:rFonts w:ascii="宋体" w:hAnsi="宋体" w:eastAsia="宋体" w:cs="宋体"/>
                <w:sz w:val="23"/>
                <w:szCs w:val="23"/>
              </w:rPr>
            </w:pPr>
            <w:r>
              <w:rPr>
                <w:rFonts w:ascii="宋体" w:hAnsi="宋体" w:eastAsia="宋体" w:cs="宋体"/>
                <w:spacing w:val="-1"/>
                <w:position w:val="1"/>
                <w:sz w:val="23"/>
                <w:szCs w:val="23"/>
              </w:rPr>
              <w:t>地    址：</w:t>
            </w:r>
          </w:p>
        </w:tc>
      </w:tr>
      <w:tr w14:paraId="37842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bottom w:val="nil"/>
            </w:tcBorders>
            <w:vAlign w:val="top"/>
          </w:tcPr>
          <w:p w14:paraId="4B0939CC">
            <w:pPr>
              <w:rPr>
                <w:rFonts w:ascii="Arial"/>
                <w:sz w:val="21"/>
              </w:rPr>
            </w:pPr>
          </w:p>
        </w:tc>
        <w:tc>
          <w:tcPr>
            <w:tcW w:w="7717" w:type="dxa"/>
            <w:gridSpan w:val="5"/>
            <w:vAlign w:val="top"/>
          </w:tcPr>
          <w:p w14:paraId="5625B383">
            <w:pPr>
              <w:spacing w:before="185" w:line="241" w:lineRule="auto"/>
              <w:ind w:left="109"/>
              <w:rPr>
                <w:rFonts w:ascii="宋体" w:hAnsi="宋体" w:eastAsia="宋体" w:cs="宋体"/>
                <w:sz w:val="23"/>
                <w:szCs w:val="23"/>
              </w:rPr>
            </w:pPr>
            <w:r>
              <w:rPr>
                <w:rFonts w:ascii="宋体" w:hAnsi="宋体" w:eastAsia="宋体" w:cs="宋体"/>
                <w:spacing w:val="-2"/>
                <w:sz w:val="23"/>
                <w:szCs w:val="23"/>
              </w:rPr>
              <w:t>联 系 人：</w:t>
            </w:r>
            <w:r>
              <w:rPr>
                <w:rFonts w:ascii="宋体" w:hAnsi="宋体" w:eastAsia="宋体" w:cs="宋体"/>
                <w:spacing w:val="4"/>
                <w:sz w:val="23"/>
                <w:szCs w:val="23"/>
              </w:rPr>
              <w:t xml:space="preserve">                         </w:t>
            </w:r>
            <w:r>
              <w:rPr>
                <w:rFonts w:ascii="宋体" w:hAnsi="宋体" w:eastAsia="宋体" w:cs="宋体"/>
                <w:spacing w:val="-2"/>
                <w:sz w:val="23"/>
                <w:szCs w:val="23"/>
              </w:rPr>
              <w:t>电子邮箱：</w:t>
            </w:r>
          </w:p>
        </w:tc>
      </w:tr>
      <w:tr w14:paraId="33F32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tcBorders>
            <w:vAlign w:val="top"/>
          </w:tcPr>
          <w:p w14:paraId="69C8405E">
            <w:pPr>
              <w:rPr>
                <w:rFonts w:ascii="Arial"/>
                <w:sz w:val="21"/>
              </w:rPr>
            </w:pPr>
          </w:p>
        </w:tc>
        <w:tc>
          <w:tcPr>
            <w:tcW w:w="7717" w:type="dxa"/>
            <w:gridSpan w:val="5"/>
            <w:vAlign w:val="top"/>
          </w:tcPr>
          <w:p w14:paraId="12276B1E">
            <w:pPr>
              <w:spacing w:before="184" w:line="302" w:lineRule="exact"/>
              <w:ind w:left="130"/>
              <w:rPr>
                <w:rFonts w:ascii="宋体" w:hAnsi="宋体" w:eastAsia="宋体" w:cs="宋体"/>
                <w:sz w:val="23"/>
                <w:szCs w:val="23"/>
              </w:rPr>
            </w:pPr>
            <w:r>
              <w:rPr>
                <w:rFonts w:ascii="宋体" w:hAnsi="宋体" w:eastAsia="宋体" w:cs="宋体"/>
                <w:spacing w:val="-9"/>
                <w:position w:val="1"/>
                <w:sz w:val="23"/>
                <w:szCs w:val="23"/>
              </w:rPr>
              <w:t>电</w:t>
            </w:r>
            <w:r>
              <w:rPr>
                <w:rFonts w:ascii="宋体" w:hAnsi="宋体" w:eastAsia="宋体" w:cs="宋体"/>
                <w:spacing w:val="38"/>
                <w:position w:val="1"/>
                <w:sz w:val="23"/>
                <w:szCs w:val="23"/>
              </w:rPr>
              <w:t xml:space="preserve">   </w:t>
            </w:r>
            <w:r>
              <w:rPr>
                <w:rFonts w:ascii="宋体" w:hAnsi="宋体" w:eastAsia="宋体" w:cs="宋体"/>
                <w:spacing w:val="-9"/>
                <w:position w:val="1"/>
                <w:sz w:val="23"/>
                <w:szCs w:val="23"/>
              </w:rPr>
              <w:t>话：</w:t>
            </w:r>
          </w:p>
        </w:tc>
      </w:tr>
      <w:tr w14:paraId="3BC5B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Align w:val="top"/>
          </w:tcPr>
          <w:p w14:paraId="62468F3B">
            <w:pPr>
              <w:spacing w:before="149" w:line="242" w:lineRule="auto"/>
              <w:ind w:left="113"/>
              <w:rPr>
                <w:rFonts w:ascii="宋体" w:hAnsi="宋体" w:eastAsia="宋体" w:cs="宋体"/>
                <w:sz w:val="29"/>
                <w:szCs w:val="29"/>
              </w:rPr>
            </w:pPr>
            <w:r>
              <w:rPr>
                <w:rFonts w:ascii="宋体" w:hAnsi="宋体" w:eastAsia="宋体" w:cs="宋体"/>
                <w:b/>
                <w:bCs/>
                <w:spacing w:val="-7"/>
                <w:sz w:val="29"/>
                <w:szCs w:val="29"/>
              </w:rPr>
              <w:t>展</w:t>
            </w:r>
            <w:r>
              <w:rPr>
                <w:rFonts w:ascii="宋体" w:hAnsi="宋体" w:eastAsia="宋体" w:cs="宋体"/>
                <w:spacing w:val="7"/>
                <w:sz w:val="29"/>
                <w:szCs w:val="29"/>
              </w:rPr>
              <w:t xml:space="preserve"> </w:t>
            </w:r>
            <w:r>
              <w:rPr>
                <w:rFonts w:ascii="宋体" w:hAnsi="宋体" w:eastAsia="宋体" w:cs="宋体"/>
                <w:b/>
                <w:bCs/>
                <w:spacing w:val="-7"/>
                <w:sz w:val="29"/>
                <w:szCs w:val="29"/>
              </w:rPr>
              <w:t>位</w:t>
            </w:r>
            <w:r>
              <w:rPr>
                <w:rFonts w:ascii="宋体" w:hAnsi="宋体" w:eastAsia="宋体" w:cs="宋体"/>
                <w:spacing w:val="9"/>
                <w:sz w:val="29"/>
                <w:szCs w:val="29"/>
              </w:rPr>
              <w:t xml:space="preserve"> </w:t>
            </w:r>
            <w:r>
              <w:rPr>
                <w:rFonts w:ascii="宋体" w:hAnsi="宋体" w:eastAsia="宋体" w:cs="宋体"/>
                <w:b/>
                <w:bCs/>
                <w:spacing w:val="-7"/>
                <w:sz w:val="29"/>
                <w:szCs w:val="29"/>
              </w:rPr>
              <w:t>号</w:t>
            </w:r>
          </w:p>
        </w:tc>
        <w:tc>
          <w:tcPr>
            <w:tcW w:w="7717" w:type="dxa"/>
            <w:gridSpan w:val="5"/>
            <w:vAlign w:val="top"/>
          </w:tcPr>
          <w:p w14:paraId="11D174B4">
            <w:pPr>
              <w:rPr>
                <w:rFonts w:ascii="Arial"/>
                <w:sz w:val="21"/>
              </w:rPr>
            </w:pPr>
          </w:p>
        </w:tc>
      </w:tr>
      <w:tr w14:paraId="019D5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Align w:val="top"/>
          </w:tcPr>
          <w:p w14:paraId="3C5772E7">
            <w:pPr>
              <w:spacing w:before="149" w:line="242" w:lineRule="auto"/>
              <w:ind w:left="113"/>
              <w:rPr>
                <w:rFonts w:ascii="宋体" w:hAnsi="宋体" w:eastAsia="宋体" w:cs="宋体"/>
                <w:sz w:val="29"/>
                <w:szCs w:val="29"/>
              </w:rPr>
            </w:pPr>
            <w:r>
              <w:rPr>
                <w:rFonts w:ascii="宋体" w:hAnsi="宋体" w:eastAsia="宋体" w:cs="宋体"/>
                <w:b/>
                <w:bCs/>
                <w:spacing w:val="-6"/>
                <w:sz w:val="29"/>
                <w:szCs w:val="29"/>
              </w:rPr>
              <w:t>备注</w:t>
            </w:r>
          </w:p>
        </w:tc>
        <w:tc>
          <w:tcPr>
            <w:tcW w:w="7717" w:type="dxa"/>
            <w:gridSpan w:val="5"/>
            <w:vAlign w:val="top"/>
          </w:tcPr>
          <w:p w14:paraId="7F1815AF">
            <w:pPr>
              <w:rPr>
                <w:rFonts w:ascii="Arial"/>
                <w:sz w:val="21"/>
              </w:rPr>
            </w:pPr>
          </w:p>
        </w:tc>
      </w:tr>
      <w:tr w14:paraId="11A99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 w:hRule="atLeast"/>
        </w:trPr>
        <w:tc>
          <w:tcPr>
            <w:tcW w:w="9847" w:type="dxa"/>
            <w:gridSpan w:val="6"/>
            <w:vAlign w:val="top"/>
          </w:tcPr>
          <w:p w14:paraId="7D88B098">
            <w:pPr>
              <w:spacing w:line="185" w:lineRule="exact"/>
              <w:rPr>
                <w:rFonts w:ascii="Arial"/>
                <w:sz w:val="16"/>
              </w:rPr>
            </w:pPr>
          </w:p>
        </w:tc>
      </w:tr>
      <w:tr w14:paraId="57F01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6" w:type="dxa"/>
            <w:gridSpan w:val="2"/>
            <w:vAlign w:val="top"/>
          </w:tcPr>
          <w:p w14:paraId="1CF50D87">
            <w:pPr>
              <w:spacing w:before="47" w:line="200" w:lineRule="auto"/>
              <w:ind w:left="856"/>
              <w:rPr>
                <w:rFonts w:ascii="黑体" w:hAnsi="黑体" w:eastAsia="黑体" w:cs="黑体"/>
                <w:sz w:val="24"/>
                <w:szCs w:val="24"/>
              </w:rPr>
            </w:pPr>
            <w:r>
              <w:rPr>
                <w:rFonts w:ascii="黑体" w:hAnsi="黑体" w:eastAsia="黑体" w:cs="黑体"/>
                <w:spacing w:val="-4"/>
                <w:sz w:val="24"/>
                <w:szCs w:val="24"/>
              </w:rPr>
              <w:t>展位说明</w:t>
            </w:r>
          </w:p>
        </w:tc>
        <w:tc>
          <w:tcPr>
            <w:tcW w:w="2317" w:type="dxa"/>
            <w:gridSpan w:val="2"/>
            <w:vAlign w:val="top"/>
          </w:tcPr>
          <w:p w14:paraId="2380902D">
            <w:pPr>
              <w:spacing w:before="45" w:line="201" w:lineRule="auto"/>
              <w:ind w:left="563"/>
              <w:rPr>
                <w:rFonts w:ascii="黑体" w:hAnsi="黑体" w:eastAsia="黑体" w:cs="黑体"/>
                <w:sz w:val="24"/>
                <w:szCs w:val="24"/>
              </w:rPr>
            </w:pPr>
            <w:r>
              <w:rPr>
                <w:rFonts w:ascii="黑体" w:hAnsi="黑体" w:eastAsia="黑体" w:cs="黑体"/>
                <w:spacing w:val="-2"/>
                <w:sz w:val="24"/>
                <w:szCs w:val="24"/>
              </w:rPr>
              <w:t>补贴后单价</w:t>
            </w:r>
          </w:p>
        </w:tc>
        <w:tc>
          <w:tcPr>
            <w:tcW w:w="2453" w:type="dxa"/>
            <w:vAlign w:val="top"/>
          </w:tcPr>
          <w:p w14:paraId="356BAD05">
            <w:pPr>
              <w:spacing w:before="47" w:line="200" w:lineRule="auto"/>
              <w:ind w:left="757"/>
              <w:rPr>
                <w:rFonts w:ascii="黑体" w:hAnsi="黑体" w:eastAsia="黑体" w:cs="黑体"/>
                <w:sz w:val="24"/>
                <w:szCs w:val="24"/>
              </w:rPr>
            </w:pPr>
            <w:r>
              <w:rPr>
                <w:rFonts w:ascii="黑体" w:hAnsi="黑体" w:eastAsia="黑体" w:cs="黑体"/>
                <w:spacing w:val="-4"/>
                <w:sz w:val="24"/>
                <w:szCs w:val="24"/>
              </w:rPr>
              <w:t>展位数量</w:t>
            </w:r>
          </w:p>
        </w:tc>
        <w:tc>
          <w:tcPr>
            <w:tcW w:w="2441" w:type="dxa"/>
            <w:vAlign w:val="top"/>
          </w:tcPr>
          <w:p w14:paraId="0873D570">
            <w:pPr>
              <w:spacing w:before="45" w:line="201" w:lineRule="auto"/>
              <w:ind w:left="985"/>
              <w:rPr>
                <w:rFonts w:ascii="黑体" w:hAnsi="黑体" w:eastAsia="黑体" w:cs="黑体"/>
                <w:sz w:val="24"/>
                <w:szCs w:val="24"/>
              </w:rPr>
            </w:pPr>
            <w:r>
              <w:rPr>
                <w:rFonts w:ascii="黑体" w:hAnsi="黑体" w:eastAsia="黑体" w:cs="黑体"/>
                <w:spacing w:val="-6"/>
                <w:sz w:val="24"/>
                <w:szCs w:val="24"/>
              </w:rPr>
              <w:t>金额</w:t>
            </w:r>
          </w:p>
        </w:tc>
      </w:tr>
      <w:tr w14:paraId="32040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36" w:type="dxa"/>
            <w:gridSpan w:val="2"/>
            <w:vAlign w:val="top"/>
          </w:tcPr>
          <w:p w14:paraId="7E54031A">
            <w:pPr>
              <w:spacing w:before="180" w:line="241" w:lineRule="auto"/>
              <w:ind w:left="848"/>
              <w:rPr>
                <w:rFonts w:ascii="宋体" w:hAnsi="宋体" w:eastAsia="宋体" w:cs="宋体"/>
                <w:sz w:val="24"/>
                <w:szCs w:val="24"/>
              </w:rPr>
            </w:pPr>
            <w:r>
              <w:rPr>
                <w:rFonts w:ascii="宋体" w:hAnsi="宋体" w:eastAsia="宋体" w:cs="宋体"/>
                <w:spacing w:val="-1"/>
                <w:sz w:val="24"/>
                <w:szCs w:val="24"/>
              </w:rPr>
              <w:t>标准展位</w:t>
            </w:r>
          </w:p>
        </w:tc>
        <w:tc>
          <w:tcPr>
            <w:tcW w:w="2317" w:type="dxa"/>
            <w:gridSpan w:val="2"/>
            <w:vAlign w:val="top"/>
          </w:tcPr>
          <w:p w14:paraId="10C81ACB">
            <w:pPr>
              <w:spacing w:before="180" w:line="241" w:lineRule="auto"/>
              <w:ind w:left="290"/>
              <w:rPr>
                <w:rFonts w:ascii="宋体" w:hAnsi="宋体" w:eastAsia="宋体" w:cs="宋体"/>
                <w:sz w:val="24"/>
                <w:szCs w:val="24"/>
              </w:rPr>
            </w:pPr>
            <w:r>
              <w:rPr>
                <w:rFonts w:ascii="宋体" w:hAnsi="宋体" w:eastAsia="宋体" w:cs="宋体"/>
                <w:spacing w:val="-7"/>
                <w:sz w:val="24"/>
                <w:szCs w:val="24"/>
              </w:rPr>
              <w:t>2220元/标准展位</w:t>
            </w:r>
          </w:p>
        </w:tc>
        <w:tc>
          <w:tcPr>
            <w:tcW w:w="2453" w:type="dxa"/>
            <w:vAlign w:val="top"/>
          </w:tcPr>
          <w:p w14:paraId="6FBFD991">
            <w:pPr>
              <w:spacing w:before="180"/>
              <w:ind w:left="1708"/>
              <w:rPr>
                <w:rFonts w:ascii="宋体" w:hAnsi="宋体" w:eastAsia="宋体" w:cs="宋体"/>
                <w:sz w:val="24"/>
                <w:szCs w:val="24"/>
              </w:rPr>
            </w:pPr>
            <w:r>
              <w:rPr>
                <w:rFonts w:ascii="宋体" w:hAnsi="宋体" w:eastAsia="宋体" w:cs="宋体"/>
                <w:sz w:val="24"/>
                <w:szCs w:val="24"/>
              </w:rPr>
              <w:t>个</w:t>
            </w:r>
          </w:p>
        </w:tc>
        <w:tc>
          <w:tcPr>
            <w:tcW w:w="2441" w:type="dxa"/>
            <w:vAlign w:val="top"/>
          </w:tcPr>
          <w:p w14:paraId="0A3F0BF2">
            <w:pPr>
              <w:rPr>
                <w:rFonts w:ascii="Arial"/>
                <w:sz w:val="21"/>
              </w:rPr>
            </w:pPr>
          </w:p>
        </w:tc>
      </w:tr>
      <w:tr w14:paraId="13600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36" w:type="dxa"/>
            <w:gridSpan w:val="2"/>
            <w:vAlign w:val="top"/>
          </w:tcPr>
          <w:p w14:paraId="029ED161">
            <w:pPr>
              <w:spacing w:before="180"/>
              <w:ind w:left="1090"/>
              <w:rPr>
                <w:rFonts w:ascii="宋体" w:hAnsi="宋体" w:eastAsia="宋体" w:cs="宋体"/>
                <w:sz w:val="24"/>
                <w:szCs w:val="24"/>
              </w:rPr>
            </w:pPr>
            <w:r>
              <w:rPr>
                <w:rFonts w:ascii="宋体" w:hAnsi="宋体" w:eastAsia="宋体" w:cs="宋体"/>
                <w:spacing w:val="-3"/>
                <w:sz w:val="24"/>
                <w:szCs w:val="24"/>
              </w:rPr>
              <w:t>光地</w:t>
            </w:r>
          </w:p>
        </w:tc>
        <w:tc>
          <w:tcPr>
            <w:tcW w:w="2317" w:type="dxa"/>
            <w:gridSpan w:val="2"/>
            <w:vAlign w:val="top"/>
          </w:tcPr>
          <w:p w14:paraId="29AF3F6E">
            <w:pPr>
              <w:spacing w:before="180"/>
              <w:ind w:left="480"/>
              <w:rPr>
                <w:rFonts w:ascii="宋体" w:hAnsi="宋体" w:eastAsia="宋体" w:cs="宋体"/>
                <w:sz w:val="24"/>
                <w:szCs w:val="24"/>
              </w:rPr>
            </w:pPr>
            <w:r>
              <w:rPr>
                <w:rFonts w:ascii="宋体" w:hAnsi="宋体" w:eastAsia="宋体" w:cs="宋体"/>
                <w:spacing w:val="-10"/>
                <w:sz w:val="24"/>
                <w:szCs w:val="24"/>
              </w:rPr>
              <w:t>148元/平方米</w:t>
            </w:r>
          </w:p>
        </w:tc>
        <w:tc>
          <w:tcPr>
            <w:tcW w:w="2453" w:type="dxa"/>
            <w:vAlign w:val="top"/>
          </w:tcPr>
          <w:p w14:paraId="0C896C40">
            <w:pPr>
              <w:spacing w:before="180"/>
              <w:ind w:left="1349"/>
              <w:rPr>
                <w:rFonts w:ascii="宋体" w:hAnsi="宋体" w:eastAsia="宋体" w:cs="宋体"/>
                <w:sz w:val="24"/>
                <w:szCs w:val="24"/>
              </w:rPr>
            </w:pPr>
            <w:r>
              <w:rPr>
                <w:rFonts w:ascii="宋体" w:hAnsi="宋体" w:eastAsia="宋体" w:cs="宋体"/>
                <w:spacing w:val="-2"/>
                <w:sz w:val="24"/>
                <w:szCs w:val="24"/>
              </w:rPr>
              <w:t>平方米</w:t>
            </w:r>
          </w:p>
        </w:tc>
        <w:tc>
          <w:tcPr>
            <w:tcW w:w="2441" w:type="dxa"/>
            <w:vAlign w:val="top"/>
          </w:tcPr>
          <w:p w14:paraId="5E8002D1">
            <w:pPr>
              <w:rPr>
                <w:rFonts w:ascii="Arial"/>
                <w:sz w:val="21"/>
              </w:rPr>
            </w:pPr>
          </w:p>
        </w:tc>
      </w:tr>
      <w:tr w14:paraId="3F8D9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6" w:type="dxa"/>
            <w:gridSpan w:val="5"/>
            <w:vAlign w:val="top"/>
          </w:tcPr>
          <w:p w14:paraId="578DEF53">
            <w:pPr>
              <w:spacing w:before="179" w:line="242" w:lineRule="auto"/>
              <w:ind w:left="3474"/>
              <w:rPr>
                <w:rFonts w:ascii="宋体" w:hAnsi="宋体" w:eastAsia="宋体" w:cs="宋体"/>
                <w:sz w:val="24"/>
                <w:szCs w:val="24"/>
              </w:rPr>
            </w:pPr>
            <w:r>
              <w:rPr>
                <w:rFonts w:ascii="宋体" w:hAnsi="宋体" w:eastAsia="宋体" w:cs="宋体"/>
                <w:spacing w:val="-2"/>
                <w:sz w:val="24"/>
                <w:szCs w:val="24"/>
              </w:rPr>
              <w:t>合计</w:t>
            </w:r>
          </w:p>
        </w:tc>
        <w:tc>
          <w:tcPr>
            <w:tcW w:w="2441" w:type="dxa"/>
            <w:vAlign w:val="top"/>
          </w:tcPr>
          <w:p w14:paraId="5A470A76">
            <w:pPr>
              <w:rPr>
                <w:rFonts w:ascii="Arial"/>
                <w:sz w:val="21"/>
              </w:rPr>
            </w:pPr>
          </w:p>
        </w:tc>
      </w:tr>
      <w:tr w14:paraId="1B549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8" w:hRule="atLeast"/>
        </w:trPr>
        <w:tc>
          <w:tcPr>
            <w:tcW w:w="9847" w:type="dxa"/>
            <w:gridSpan w:val="6"/>
            <w:vAlign w:val="top"/>
          </w:tcPr>
          <w:p w14:paraId="508D0DE5">
            <w:pPr>
              <w:pStyle w:val="8"/>
              <w:spacing w:before="39" w:line="288" w:lineRule="auto"/>
              <w:ind w:left="130" w:right="111"/>
              <w:jc w:val="both"/>
              <w:rPr>
                <w:rFonts w:ascii="宋体" w:hAnsi="宋体" w:eastAsia="宋体" w:cs="宋体"/>
                <w:sz w:val="20"/>
                <w:szCs w:val="20"/>
              </w:rPr>
            </w:pPr>
            <w:r>
              <w:rPr>
                <w:rFonts w:ascii="宋体" w:hAnsi="宋体" w:eastAsia="宋体" w:cs="宋体"/>
                <w:b/>
                <w:bCs/>
                <w:spacing w:val="8"/>
                <w:sz w:val="20"/>
                <w:szCs w:val="20"/>
              </w:rPr>
              <w:t>特别说明</w:t>
            </w:r>
            <w:r>
              <w:rPr>
                <w:rFonts w:ascii="宋体" w:hAnsi="宋体" w:eastAsia="宋体" w:cs="宋体"/>
                <w:spacing w:val="-59"/>
                <w:sz w:val="20"/>
                <w:szCs w:val="20"/>
              </w:rPr>
              <w:t xml:space="preserve"> </w:t>
            </w:r>
            <w:r>
              <w:rPr>
                <w:rFonts w:ascii="宋体" w:hAnsi="宋体" w:eastAsia="宋体" w:cs="宋体"/>
                <w:b/>
                <w:bCs/>
                <w:spacing w:val="8"/>
                <w:sz w:val="20"/>
                <w:szCs w:val="20"/>
              </w:rPr>
              <w:t>：上述补贴后单价将按照《广东省商</w:t>
            </w:r>
            <w:r>
              <w:rPr>
                <w:rFonts w:ascii="宋体" w:hAnsi="宋体" w:eastAsia="宋体" w:cs="宋体"/>
                <w:b/>
                <w:bCs/>
                <w:spacing w:val="7"/>
                <w:sz w:val="20"/>
                <w:szCs w:val="20"/>
              </w:rPr>
              <w:t>务厅关于印发</w:t>
            </w:r>
            <w:r>
              <w:rPr>
                <w:b/>
                <w:bCs/>
                <w:spacing w:val="7"/>
                <w:sz w:val="20"/>
                <w:szCs w:val="20"/>
              </w:rPr>
              <w:t>&lt;</w:t>
            </w:r>
            <w:r>
              <w:rPr>
                <w:rFonts w:ascii="宋体" w:hAnsi="宋体" w:eastAsia="宋体" w:cs="宋体"/>
                <w:b/>
                <w:bCs/>
                <w:spacing w:val="7"/>
                <w:sz w:val="20"/>
                <w:szCs w:val="20"/>
              </w:rPr>
              <w:t>2026年中央外经贸发展资金（服贸会事项）</w:t>
            </w:r>
            <w:r>
              <w:rPr>
                <w:rFonts w:ascii="宋体" w:hAnsi="宋体" w:eastAsia="宋体" w:cs="宋体"/>
                <w:b/>
                <w:bCs/>
                <w:spacing w:val="9"/>
                <w:sz w:val="20"/>
                <w:szCs w:val="20"/>
              </w:rPr>
              <w:t>申报指南</w:t>
            </w:r>
            <w:r>
              <w:rPr>
                <w:b/>
                <w:bCs/>
                <w:spacing w:val="9"/>
                <w:sz w:val="20"/>
                <w:szCs w:val="20"/>
              </w:rPr>
              <w:t>&gt;</w:t>
            </w:r>
            <w:r>
              <w:rPr>
                <w:rFonts w:ascii="宋体" w:hAnsi="宋体" w:eastAsia="宋体" w:cs="宋体"/>
                <w:b/>
                <w:bCs/>
                <w:spacing w:val="9"/>
                <w:sz w:val="20"/>
                <w:szCs w:val="20"/>
              </w:rPr>
              <w:t>的通知》执行，具体以广东省商务厅确认的实际补贴金</w:t>
            </w:r>
            <w:r>
              <w:rPr>
                <w:rFonts w:ascii="宋体" w:hAnsi="宋体" w:eastAsia="宋体" w:cs="宋体"/>
                <w:b/>
                <w:bCs/>
                <w:spacing w:val="8"/>
                <w:sz w:val="20"/>
                <w:szCs w:val="20"/>
              </w:rPr>
              <w:t>额为准。若参展单位出现未按照上述通</w:t>
            </w:r>
            <w:r>
              <w:rPr>
                <w:rFonts w:ascii="宋体" w:hAnsi="宋体" w:eastAsia="宋体" w:cs="宋体"/>
                <w:b/>
                <w:bCs/>
                <w:spacing w:val="6"/>
                <w:sz w:val="20"/>
                <w:szCs w:val="20"/>
              </w:rPr>
              <w:t>知执行的行为导致补贴资格最终未被认定的</w:t>
            </w:r>
            <w:r>
              <w:rPr>
                <w:rFonts w:ascii="宋体" w:hAnsi="宋体" w:eastAsia="宋体" w:cs="宋体"/>
                <w:spacing w:val="-59"/>
                <w:sz w:val="20"/>
                <w:szCs w:val="20"/>
              </w:rPr>
              <w:t xml:space="preserve"> </w:t>
            </w:r>
            <w:r>
              <w:rPr>
                <w:rFonts w:ascii="宋体" w:hAnsi="宋体" w:eastAsia="宋体" w:cs="宋体"/>
                <w:b/>
                <w:bCs/>
                <w:spacing w:val="6"/>
                <w:sz w:val="20"/>
                <w:szCs w:val="20"/>
              </w:rPr>
              <w:t>，应按市场价（14800元/标准展位</w:t>
            </w:r>
            <w:r>
              <w:rPr>
                <w:rFonts w:ascii="宋体" w:hAnsi="宋体" w:eastAsia="宋体" w:cs="宋体"/>
                <w:spacing w:val="-60"/>
                <w:sz w:val="20"/>
                <w:szCs w:val="20"/>
              </w:rPr>
              <w:t xml:space="preserve"> </w:t>
            </w:r>
            <w:r>
              <w:rPr>
                <w:rFonts w:ascii="宋体" w:hAnsi="宋体" w:eastAsia="宋体" w:cs="宋体"/>
                <w:b/>
                <w:bCs/>
                <w:spacing w:val="6"/>
                <w:sz w:val="20"/>
                <w:szCs w:val="20"/>
              </w:rPr>
              <w:t>；1480元/平方米光地）在</w:t>
            </w:r>
            <w:r>
              <w:rPr>
                <w:rFonts w:ascii="宋体" w:hAnsi="宋体" w:eastAsia="宋体" w:cs="宋体"/>
                <w:b/>
                <w:bCs/>
                <w:spacing w:val="8"/>
                <w:sz w:val="20"/>
                <w:szCs w:val="20"/>
              </w:rPr>
              <w:t>确认未被认定之日起10个工作日内向中国对外贸易广州展览有限公司补齐展位费用。</w:t>
            </w:r>
          </w:p>
        </w:tc>
      </w:tr>
      <w:tr w14:paraId="2EBA4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847" w:type="dxa"/>
            <w:gridSpan w:val="6"/>
            <w:tcBorders>
              <w:bottom w:val="nil"/>
            </w:tcBorders>
            <w:vAlign w:val="top"/>
          </w:tcPr>
          <w:p w14:paraId="03921D12">
            <w:pPr>
              <w:spacing w:before="175"/>
              <w:ind w:left="108"/>
              <w:rPr>
                <w:rFonts w:ascii="宋体" w:hAnsi="宋体" w:eastAsia="宋体" w:cs="宋体"/>
                <w:sz w:val="25"/>
                <w:szCs w:val="25"/>
              </w:rPr>
            </w:pPr>
            <w:r>
              <w:rPr>
                <w:rFonts w:ascii="宋体" w:hAnsi="宋体" w:eastAsia="宋体" w:cs="宋体"/>
                <w:b/>
                <w:bCs/>
                <w:spacing w:val="-2"/>
                <w:sz w:val="25"/>
                <w:szCs w:val="25"/>
              </w:rPr>
              <w:t>请参展单位在本合同签订之日起10个工作日内，将展位费汇入以下账户：</w:t>
            </w:r>
          </w:p>
        </w:tc>
      </w:tr>
      <w:tr w14:paraId="4450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46" w:type="dxa"/>
            <w:gridSpan w:val="3"/>
            <w:tcBorders>
              <w:top w:val="nil"/>
              <w:right w:val="nil"/>
            </w:tcBorders>
            <w:vAlign w:val="top"/>
          </w:tcPr>
          <w:p w14:paraId="7822A69F">
            <w:pPr>
              <w:spacing w:line="242" w:lineRule="auto"/>
              <w:rPr>
                <w:rFonts w:ascii="Arial"/>
                <w:sz w:val="21"/>
              </w:rPr>
            </w:pPr>
          </w:p>
          <w:p w14:paraId="3944C7FB">
            <w:pPr>
              <w:spacing w:line="242" w:lineRule="auto"/>
              <w:rPr>
                <w:rFonts w:ascii="Arial"/>
                <w:sz w:val="21"/>
              </w:rPr>
            </w:pPr>
          </w:p>
          <w:p w14:paraId="3722852D">
            <w:pPr>
              <w:spacing w:line="243" w:lineRule="auto"/>
              <w:rPr>
                <w:rFonts w:ascii="Arial"/>
                <w:sz w:val="21"/>
              </w:rPr>
            </w:pPr>
          </w:p>
          <w:p w14:paraId="5C5A3BD8">
            <w:pPr>
              <w:spacing w:before="75"/>
              <w:ind w:left="111"/>
              <w:rPr>
                <w:rFonts w:ascii="宋体" w:hAnsi="宋体" w:eastAsia="宋体" w:cs="宋体"/>
                <w:sz w:val="23"/>
                <w:szCs w:val="23"/>
              </w:rPr>
            </w:pPr>
            <w:r>
              <w:rPr>
                <w:rFonts w:ascii="宋体" w:hAnsi="宋体" w:eastAsia="宋体" w:cs="宋体"/>
                <w:spacing w:val="-1"/>
                <w:sz w:val="23"/>
                <w:szCs w:val="23"/>
              </w:rPr>
              <w:t>账户名称：中国对外贸易广州展览有限公司</w:t>
            </w:r>
          </w:p>
        </w:tc>
        <w:tc>
          <w:tcPr>
            <w:tcW w:w="5201" w:type="dxa"/>
            <w:gridSpan w:val="3"/>
            <w:tcBorders>
              <w:top w:val="nil"/>
              <w:left w:val="nil"/>
            </w:tcBorders>
            <w:vAlign w:val="top"/>
          </w:tcPr>
          <w:p w14:paraId="51E928A1">
            <w:pPr>
              <w:spacing w:before="182" w:line="915" w:lineRule="exact"/>
              <w:ind w:firstLine="166"/>
            </w:pPr>
            <w:r>
              <w:rPr>
                <w:position w:val="-18"/>
              </w:rPr>
              <w:pict>
                <v:group id="_x0000_s1026" o:spid="_x0000_s1026" o:spt="203" style="height:45.75pt;width:245.35pt;" coordsize="4907,915">
                  <o:lock v:ext="edit"/>
                  <v:shape id="_x0000_s1027" o:spid="_x0000_s1027" o:spt="75" type="#_x0000_t75" style="position:absolute;left:0;top:0;height:915;width:4907;" filled="f" stroked="f" coordsize="21600,21600">
                    <v:path/>
                    <v:fill on="f" focussize="0,0"/>
                    <v:stroke on="f"/>
                    <v:imagedata r:id="rId22" o:title=""/>
                    <o:lock v:ext="edit" aspectratio="t"/>
                  </v:shape>
                  <v:shape id="_x0000_s1028" o:spid="_x0000_s1028" o:spt="202" type="#_x0000_t202" style="position:absolute;left:-20;top:-20;height:955;width:4947;" filled="f" stroked="f" coordsize="21600,21600">
                    <v:path/>
                    <v:fill on="f" focussize="0,0"/>
                    <v:stroke on="f"/>
                    <v:imagedata o:title=""/>
                    <o:lock v:ext="edit" aspectratio="f"/>
                    <v:textbox inset="0mm,0mm,0mm,0mm">
                      <w:txbxContent>
                        <w:p w14:paraId="2D751573">
                          <w:pPr>
                            <w:spacing w:before="288"/>
                            <w:ind w:left="188"/>
                            <w:rPr>
                              <w:rFonts w:ascii="宋体" w:hAnsi="宋体" w:eastAsia="宋体" w:cs="宋体"/>
                              <w:sz w:val="23"/>
                              <w:szCs w:val="23"/>
                            </w:rPr>
                          </w:pPr>
                          <w:r>
                            <w:rPr>
                              <w:rFonts w:ascii="宋体" w:hAnsi="宋体" w:eastAsia="宋体" w:cs="宋体"/>
                              <w:b/>
                              <w:bCs/>
                              <w:spacing w:val="-3"/>
                              <w:sz w:val="23"/>
                              <w:szCs w:val="23"/>
                            </w:rPr>
                            <w:t>汇款时请在汇款用途或附</w:t>
                          </w:r>
                        </w:p>
                      </w:txbxContent>
                    </v:textbox>
                  </v:shape>
                  <w10:wrap type="none"/>
                  <w10:anchorlock/>
                </v:group>
              </w:pict>
            </w:r>
          </w:p>
        </w:tc>
      </w:tr>
    </w:tbl>
    <w:p w14:paraId="6822F76C">
      <w:pPr>
        <w:rPr>
          <w:rFonts w:ascii="Arial"/>
          <w:sz w:val="21"/>
        </w:rPr>
      </w:pPr>
    </w:p>
    <w:p w14:paraId="29332B95">
      <w:pPr>
        <w:rPr>
          <w:rFonts w:ascii="Arial" w:hAnsi="Arial" w:eastAsia="Arial" w:cs="Arial"/>
          <w:sz w:val="21"/>
          <w:szCs w:val="21"/>
        </w:rPr>
        <w:sectPr>
          <w:headerReference r:id="rId14" w:type="default"/>
          <w:footerReference r:id="rId15" w:type="default"/>
          <w:pgSz w:w="11907" w:h="16840"/>
          <w:pgMar w:top="1970" w:right="1026" w:bottom="1025" w:left="1027" w:header="1479" w:footer="771" w:gutter="0"/>
          <w:cols w:space="720" w:num="1"/>
        </w:sectPr>
      </w:pPr>
    </w:p>
    <w:p w14:paraId="33B639F4">
      <w:pPr>
        <w:spacing w:before="13"/>
      </w:pPr>
    </w:p>
    <w:p w14:paraId="5E23AE29">
      <w:pPr>
        <w:spacing w:before="13"/>
      </w:pPr>
    </w:p>
    <w:p w14:paraId="6386663E">
      <w:pPr>
        <w:spacing w:before="13"/>
      </w:pPr>
    </w:p>
    <w:p w14:paraId="0A855137">
      <w:pPr>
        <w:spacing w:before="12"/>
      </w:pPr>
    </w:p>
    <w:tbl>
      <w:tblPr>
        <w:tblStyle w:val="7"/>
        <w:tblW w:w="98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63"/>
        <w:gridCol w:w="4884"/>
      </w:tblGrid>
      <w:tr w14:paraId="211EF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7" w:hRule="atLeast"/>
        </w:trPr>
        <w:tc>
          <w:tcPr>
            <w:tcW w:w="9847" w:type="dxa"/>
            <w:gridSpan w:val="2"/>
            <w:vAlign w:val="top"/>
          </w:tcPr>
          <w:p w14:paraId="0A6CB56F">
            <w:pPr>
              <w:spacing w:before="187"/>
              <w:ind w:left="116"/>
              <w:rPr>
                <w:rFonts w:ascii="宋体" w:hAnsi="宋体" w:eastAsia="宋体" w:cs="宋体"/>
                <w:sz w:val="23"/>
                <w:szCs w:val="23"/>
              </w:rPr>
            </w:pPr>
            <w:r>
              <w:rPr>
                <w:rFonts w:ascii="宋体" w:hAnsi="宋体" w:eastAsia="宋体" w:cs="宋体"/>
                <w:spacing w:val="-1"/>
                <w:sz w:val="23"/>
                <w:szCs w:val="23"/>
              </w:rPr>
              <w:t>开 户 行：中信银行广州花园支行</w:t>
            </w:r>
          </w:p>
          <w:p w14:paraId="5D68B739">
            <w:pPr>
              <w:spacing w:line="248" w:lineRule="auto"/>
              <w:rPr>
                <w:rFonts w:ascii="Arial"/>
                <w:sz w:val="21"/>
              </w:rPr>
            </w:pPr>
          </w:p>
          <w:p w14:paraId="0F8AA0C6">
            <w:pPr>
              <w:spacing w:before="75" w:line="242" w:lineRule="auto"/>
              <w:ind w:left="111"/>
              <w:rPr>
                <w:rFonts w:ascii="宋体" w:hAnsi="宋体" w:eastAsia="宋体" w:cs="宋体"/>
                <w:sz w:val="23"/>
                <w:szCs w:val="23"/>
              </w:rPr>
            </w:pPr>
            <w:r>
              <w:rPr>
                <w:rFonts w:ascii="宋体" w:hAnsi="宋体" w:eastAsia="宋体" w:cs="宋体"/>
                <w:sz w:val="23"/>
                <w:szCs w:val="23"/>
              </w:rPr>
              <w:t>账    号：744390018260</w:t>
            </w:r>
            <w:r>
              <w:rPr>
                <w:rFonts w:ascii="宋体" w:hAnsi="宋体" w:eastAsia="宋体" w:cs="宋体"/>
                <w:spacing w:val="-1"/>
                <w:sz w:val="23"/>
                <w:szCs w:val="23"/>
              </w:rPr>
              <w:t>0098831</w:t>
            </w:r>
          </w:p>
        </w:tc>
      </w:tr>
      <w:tr w14:paraId="22B2E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24" w:hRule="atLeast"/>
        </w:trPr>
        <w:tc>
          <w:tcPr>
            <w:tcW w:w="9847" w:type="dxa"/>
            <w:gridSpan w:val="2"/>
            <w:vAlign w:val="top"/>
          </w:tcPr>
          <w:p w14:paraId="7D579EB7">
            <w:pPr>
              <w:spacing w:before="58" w:line="214" w:lineRule="auto"/>
              <w:ind w:left="115"/>
              <w:rPr>
                <w:rFonts w:ascii="黑体" w:hAnsi="黑体" w:eastAsia="黑体" w:cs="黑体"/>
                <w:sz w:val="20"/>
                <w:szCs w:val="20"/>
              </w:rPr>
            </w:pPr>
            <w:r>
              <w:rPr>
                <w:rFonts w:ascii="黑体" w:hAnsi="黑体" w:eastAsia="黑体" w:cs="黑体"/>
                <w:b/>
                <w:bCs/>
                <w:spacing w:val="4"/>
                <w:sz w:val="20"/>
                <w:szCs w:val="20"/>
              </w:rPr>
              <w:t>参展须知：</w:t>
            </w:r>
          </w:p>
          <w:p w14:paraId="7891ECAB">
            <w:pPr>
              <w:spacing w:before="74" w:line="287" w:lineRule="auto"/>
              <w:ind w:left="126" w:right="108"/>
              <w:rPr>
                <w:rFonts w:ascii="黑体" w:hAnsi="黑体" w:eastAsia="黑体" w:cs="黑体"/>
                <w:sz w:val="20"/>
                <w:szCs w:val="20"/>
              </w:rPr>
            </w:pPr>
            <w:r>
              <w:rPr>
                <w:rFonts w:ascii="黑体" w:hAnsi="黑体" w:eastAsia="黑体" w:cs="黑体"/>
                <w:b/>
                <w:bCs/>
                <w:spacing w:val="7"/>
                <w:sz w:val="20"/>
                <w:szCs w:val="20"/>
              </w:rPr>
              <w:t>1、参展单位应认真阅读本表和所附的《参展细则》</w:t>
            </w:r>
            <w:r>
              <w:rPr>
                <w:rFonts w:ascii="黑体" w:hAnsi="黑体" w:eastAsia="黑体" w:cs="黑体"/>
                <w:spacing w:val="-47"/>
                <w:sz w:val="20"/>
                <w:szCs w:val="20"/>
              </w:rPr>
              <w:t xml:space="preserve"> </w:t>
            </w:r>
            <w:r>
              <w:rPr>
                <w:rFonts w:ascii="黑体" w:hAnsi="黑体" w:eastAsia="黑体" w:cs="黑体"/>
                <w:b/>
                <w:bCs/>
                <w:spacing w:val="7"/>
                <w:sz w:val="20"/>
                <w:szCs w:val="20"/>
              </w:rPr>
              <w:t>，本参展确认表经参展单位盖章生效，与参展细则共同构成参展合同，具有法律效力。盖章后的参展确认表和参展细则请回传</w:t>
            </w:r>
            <w:r>
              <w:rPr>
                <w:rFonts w:ascii="黑体" w:hAnsi="黑体" w:eastAsia="黑体" w:cs="黑体"/>
                <w:b/>
                <w:bCs/>
                <w:spacing w:val="6"/>
                <w:sz w:val="20"/>
                <w:szCs w:val="20"/>
              </w:rPr>
              <w:t>并邮寄给展会方。</w:t>
            </w:r>
            <w:r>
              <w:rPr>
                <w:rFonts w:ascii="黑体" w:hAnsi="黑体" w:eastAsia="黑体" w:cs="黑体"/>
                <w:b/>
                <w:bCs/>
                <w:spacing w:val="6"/>
                <w:sz w:val="20"/>
                <w:szCs w:val="20"/>
                <w:u w:val="single" w:color="auto"/>
              </w:rPr>
              <w:t>邮寄地址：中</w:t>
            </w:r>
            <w:r>
              <w:rPr>
                <w:rFonts w:ascii="黑体" w:hAnsi="黑体" w:eastAsia="黑体" w:cs="黑体"/>
                <w:b/>
                <w:bCs/>
                <w:spacing w:val="7"/>
                <w:sz w:val="20"/>
                <w:szCs w:val="20"/>
                <w:u w:val="single" w:color="auto"/>
              </w:rPr>
              <w:t>国广东省广州市海珠区凤浦中路</w:t>
            </w:r>
            <w:r>
              <w:rPr>
                <w:rFonts w:ascii="黑体" w:hAnsi="黑体" w:eastAsia="黑体" w:cs="黑体"/>
                <w:spacing w:val="7"/>
                <w:sz w:val="20"/>
                <w:szCs w:val="20"/>
                <w:u w:val="single" w:color="auto"/>
              </w:rPr>
              <w:t xml:space="preserve"> </w:t>
            </w:r>
            <w:r>
              <w:rPr>
                <w:rFonts w:ascii="黑体" w:hAnsi="黑体" w:eastAsia="黑体" w:cs="黑体"/>
                <w:b/>
                <w:bCs/>
                <w:spacing w:val="7"/>
                <w:sz w:val="20"/>
                <w:szCs w:val="20"/>
                <w:u w:val="single" w:color="auto"/>
              </w:rPr>
              <w:t>669号广交会大厦B</w:t>
            </w:r>
            <w:r>
              <w:rPr>
                <w:rFonts w:ascii="黑体" w:hAnsi="黑体" w:eastAsia="黑体" w:cs="黑体"/>
                <w:b/>
                <w:bCs/>
                <w:spacing w:val="6"/>
                <w:sz w:val="20"/>
                <w:szCs w:val="20"/>
                <w:u w:val="single" w:color="auto"/>
              </w:rPr>
              <w:t>座1521室，邮政编码：510335。</w:t>
            </w:r>
          </w:p>
          <w:p w14:paraId="735E517E">
            <w:pPr>
              <w:spacing w:before="6" w:line="286" w:lineRule="auto"/>
              <w:ind w:left="120" w:right="108" w:hanging="6"/>
              <w:rPr>
                <w:rFonts w:ascii="黑体" w:hAnsi="黑体" w:eastAsia="黑体" w:cs="黑体"/>
                <w:sz w:val="20"/>
                <w:szCs w:val="20"/>
              </w:rPr>
            </w:pPr>
            <w:r>
              <w:rPr>
                <w:rFonts w:ascii="黑体" w:hAnsi="黑体" w:eastAsia="黑体" w:cs="黑体"/>
                <w:b/>
                <w:bCs/>
                <w:spacing w:val="8"/>
                <w:sz w:val="20"/>
                <w:szCs w:val="20"/>
              </w:rPr>
              <w:t>2、参展单位付款后，请将相关支付凭证电邮至</w:t>
            </w:r>
            <w:r>
              <w:rPr>
                <w:rFonts w:ascii="黑体" w:hAnsi="黑体" w:eastAsia="黑体" w:cs="黑体"/>
                <w:spacing w:val="8"/>
                <w:sz w:val="20"/>
                <w:szCs w:val="20"/>
              </w:rPr>
              <w:t xml:space="preserve">  </w:t>
            </w:r>
            <w:r>
              <w:rPr>
                <w:rFonts w:ascii="黑体" w:hAnsi="黑体" w:eastAsia="黑体" w:cs="黑体"/>
                <w:b/>
                <w:bCs/>
                <w:spacing w:val="8"/>
                <w:sz w:val="20"/>
                <w:szCs w:val="20"/>
              </w:rPr>
              <w:t>或其他方式（须事先告知展会方）提交至展会方；若不</w:t>
            </w:r>
            <w:r>
              <w:rPr>
                <w:rFonts w:ascii="黑体" w:hAnsi="黑体" w:eastAsia="黑体" w:cs="黑体"/>
                <w:b/>
                <w:bCs/>
                <w:spacing w:val="7"/>
                <w:sz w:val="20"/>
                <w:szCs w:val="20"/>
              </w:rPr>
              <w:t>能按时支付参展费用，则视为放弃参展申请，展会方保留对上述展位重新安排的权利，</w:t>
            </w:r>
            <w:r>
              <w:rPr>
                <w:rFonts w:ascii="黑体" w:hAnsi="黑体" w:eastAsia="黑体" w:cs="黑体"/>
                <w:b/>
                <w:bCs/>
                <w:spacing w:val="6"/>
                <w:sz w:val="20"/>
                <w:szCs w:val="20"/>
              </w:rPr>
              <w:t>已支付的展位费作</w:t>
            </w:r>
            <w:r>
              <w:rPr>
                <w:rFonts w:ascii="黑体" w:hAnsi="黑体" w:eastAsia="黑体" w:cs="黑体"/>
                <w:b/>
                <w:bCs/>
                <w:spacing w:val="5"/>
                <w:sz w:val="20"/>
                <w:szCs w:val="20"/>
              </w:rPr>
              <w:t>为违约金概不退还。</w:t>
            </w:r>
          </w:p>
          <w:p w14:paraId="21E4066B">
            <w:pPr>
              <w:spacing w:before="8" w:line="285" w:lineRule="auto"/>
              <w:ind w:left="128" w:right="142" w:hanging="13"/>
              <w:rPr>
                <w:rFonts w:ascii="黑体" w:hAnsi="黑体" w:eastAsia="黑体" w:cs="黑体"/>
                <w:sz w:val="20"/>
                <w:szCs w:val="20"/>
              </w:rPr>
            </w:pPr>
            <w:r>
              <w:rPr>
                <w:rFonts w:ascii="黑体" w:hAnsi="黑体" w:eastAsia="黑体" w:cs="黑体"/>
                <w:b/>
                <w:bCs/>
                <w:spacing w:val="8"/>
                <w:sz w:val="20"/>
                <w:szCs w:val="20"/>
              </w:rPr>
              <w:t>3、需开具增值税发票的，展位费须以对公账户汇出。本表中“参展单位”的名称、发票抬头及展位费汇</w:t>
            </w:r>
            <w:r>
              <w:rPr>
                <w:rFonts w:ascii="黑体" w:hAnsi="黑体" w:eastAsia="黑体" w:cs="黑体"/>
                <w:b/>
                <w:bCs/>
                <w:spacing w:val="5"/>
                <w:sz w:val="20"/>
                <w:szCs w:val="20"/>
              </w:rPr>
              <w:t>出单位三者必须一致。</w:t>
            </w:r>
          </w:p>
          <w:p w14:paraId="3E26FCFC">
            <w:pPr>
              <w:spacing w:before="6" w:line="216" w:lineRule="auto"/>
              <w:ind w:left="110"/>
              <w:rPr>
                <w:rFonts w:ascii="黑体" w:hAnsi="黑体" w:eastAsia="黑体" w:cs="黑体"/>
                <w:sz w:val="20"/>
                <w:szCs w:val="20"/>
              </w:rPr>
            </w:pPr>
            <w:r>
              <w:rPr>
                <w:rFonts w:ascii="黑体" w:hAnsi="黑体" w:eastAsia="黑体" w:cs="黑体"/>
                <w:b/>
                <w:bCs/>
                <w:spacing w:val="7"/>
                <w:sz w:val="20"/>
                <w:szCs w:val="20"/>
              </w:rPr>
              <w:t>4、展会方对上述条款有最终解释权。</w:t>
            </w:r>
          </w:p>
        </w:tc>
      </w:tr>
      <w:tr w14:paraId="5CBCB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1" w:hRule="atLeast"/>
        </w:trPr>
        <w:tc>
          <w:tcPr>
            <w:tcW w:w="9847" w:type="dxa"/>
            <w:gridSpan w:val="2"/>
            <w:tcBorders>
              <w:bottom w:val="nil"/>
            </w:tcBorders>
            <w:vAlign w:val="top"/>
          </w:tcPr>
          <w:p w14:paraId="6CE89534">
            <w:pPr>
              <w:spacing w:before="186"/>
              <w:ind w:left="118"/>
              <w:rPr>
                <w:rFonts w:ascii="宋体" w:hAnsi="宋体" w:eastAsia="宋体" w:cs="宋体"/>
                <w:sz w:val="23"/>
                <w:szCs w:val="23"/>
              </w:rPr>
            </w:pPr>
            <w:r>
              <w:rPr>
                <w:rFonts w:ascii="宋体" w:hAnsi="宋体" w:eastAsia="宋体" w:cs="宋体"/>
                <w:b/>
                <w:bCs/>
                <w:spacing w:val="-2"/>
                <w:sz w:val="23"/>
                <w:szCs w:val="23"/>
              </w:rPr>
              <w:t>为昭信守，展会方与参展单位于2026年</w:t>
            </w:r>
            <w:r>
              <w:rPr>
                <w:rFonts w:ascii="宋体" w:hAnsi="宋体" w:eastAsia="宋体" w:cs="宋体"/>
                <w:spacing w:val="-2"/>
                <w:sz w:val="23"/>
                <w:szCs w:val="23"/>
              </w:rPr>
              <w:t xml:space="preserve">  </w:t>
            </w:r>
            <w:r>
              <w:rPr>
                <w:rFonts w:ascii="宋体" w:hAnsi="宋体" w:eastAsia="宋体" w:cs="宋体"/>
                <w:b/>
                <w:bCs/>
                <w:spacing w:val="-2"/>
                <w:sz w:val="23"/>
                <w:szCs w:val="23"/>
              </w:rPr>
              <w:t>月</w:t>
            </w:r>
            <w:r>
              <w:rPr>
                <w:rFonts w:ascii="宋体" w:hAnsi="宋体" w:eastAsia="宋体" w:cs="宋体"/>
                <w:spacing w:val="-2"/>
                <w:sz w:val="23"/>
                <w:szCs w:val="23"/>
              </w:rPr>
              <w:t xml:space="preserve">  </w:t>
            </w:r>
            <w:r>
              <w:rPr>
                <w:rFonts w:ascii="宋体" w:hAnsi="宋体" w:eastAsia="宋体" w:cs="宋体"/>
                <w:b/>
                <w:bCs/>
                <w:spacing w:val="-2"/>
                <w:sz w:val="23"/>
                <w:szCs w:val="23"/>
              </w:rPr>
              <w:t>日达成共识并签署本表及所附《参展细则》。</w:t>
            </w:r>
          </w:p>
        </w:tc>
      </w:tr>
      <w:tr w14:paraId="70684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7" w:hRule="atLeast"/>
        </w:trPr>
        <w:tc>
          <w:tcPr>
            <w:tcW w:w="4963" w:type="dxa"/>
            <w:tcBorders>
              <w:top w:val="nil"/>
            </w:tcBorders>
            <w:vAlign w:val="top"/>
          </w:tcPr>
          <w:p w14:paraId="15B3E3D5">
            <w:pPr>
              <w:spacing w:before="279"/>
              <w:ind w:left="112"/>
              <w:rPr>
                <w:rFonts w:ascii="宋体" w:hAnsi="宋体" w:eastAsia="宋体" w:cs="宋体"/>
                <w:sz w:val="23"/>
                <w:szCs w:val="23"/>
              </w:rPr>
            </w:pPr>
            <w:r>
              <w:rPr>
                <w:rFonts w:ascii="宋体" w:hAnsi="宋体" w:eastAsia="宋体" w:cs="宋体"/>
                <w:b/>
                <w:bCs/>
                <w:spacing w:val="-2"/>
                <w:sz w:val="23"/>
                <w:szCs w:val="23"/>
              </w:rPr>
              <w:t>展会方：中国对外贸易广州展览有限公司</w:t>
            </w:r>
          </w:p>
          <w:p w14:paraId="4811599F">
            <w:pPr>
              <w:spacing w:line="249" w:lineRule="auto"/>
              <w:rPr>
                <w:rFonts w:ascii="Arial"/>
                <w:sz w:val="21"/>
              </w:rPr>
            </w:pPr>
          </w:p>
          <w:p w14:paraId="352DC1F7">
            <w:pPr>
              <w:spacing w:before="75"/>
              <w:ind w:left="114"/>
              <w:rPr>
                <w:rFonts w:ascii="宋体" w:hAnsi="宋体" w:eastAsia="宋体" w:cs="宋体"/>
                <w:sz w:val="23"/>
                <w:szCs w:val="23"/>
              </w:rPr>
            </w:pPr>
            <w:r>
              <w:rPr>
                <w:rFonts w:ascii="宋体" w:hAnsi="宋体" w:eastAsia="宋体" w:cs="宋体"/>
                <w:b/>
                <w:bCs/>
                <w:spacing w:val="-4"/>
                <w:sz w:val="23"/>
                <w:szCs w:val="23"/>
              </w:rPr>
              <w:t>经办人：</w:t>
            </w:r>
          </w:p>
          <w:p w14:paraId="06BF9789">
            <w:pPr>
              <w:spacing w:line="248" w:lineRule="auto"/>
              <w:rPr>
                <w:rFonts w:ascii="Arial"/>
                <w:sz w:val="21"/>
              </w:rPr>
            </w:pPr>
          </w:p>
          <w:p w14:paraId="5139DE68">
            <w:pPr>
              <w:spacing w:before="75" w:line="302" w:lineRule="exact"/>
              <w:ind w:left="112"/>
              <w:rPr>
                <w:rFonts w:ascii="宋体" w:hAnsi="宋体" w:eastAsia="宋体" w:cs="宋体"/>
                <w:sz w:val="23"/>
                <w:szCs w:val="23"/>
              </w:rPr>
            </w:pPr>
            <w:r>
              <w:rPr>
                <w:rFonts w:ascii="宋体" w:hAnsi="宋体" w:eastAsia="宋体" w:cs="宋体"/>
                <w:b/>
                <w:bCs/>
                <w:spacing w:val="-3"/>
                <w:position w:val="1"/>
                <w:sz w:val="23"/>
                <w:szCs w:val="23"/>
              </w:rPr>
              <w:t>联系电话：</w:t>
            </w:r>
          </w:p>
          <w:p w14:paraId="12F3222C">
            <w:pPr>
              <w:spacing w:line="245" w:lineRule="auto"/>
              <w:rPr>
                <w:rFonts w:ascii="Arial"/>
                <w:sz w:val="21"/>
              </w:rPr>
            </w:pPr>
          </w:p>
          <w:p w14:paraId="2ACC9D46">
            <w:pPr>
              <w:spacing w:before="75" w:line="241" w:lineRule="auto"/>
              <w:ind w:left="117"/>
              <w:rPr>
                <w:rFonts w:ascii="宋体" w:hAnsi="宋体" w:eastAsia="宋体" w:cs="宋体"/>
                <w:sz w:val="23"/>
                <w:szCs w:val="23"/>
              </w:rPr>
            </w:pPr>
            <w:r>
              <w:rPr>
                <w:rFonts w:ascii="宋体" w:hAnsi="宋体" w:eastAsia="宋体" w:cs="宋体"/>
                <w:b/>
                <w:bCs/>
                <w:spacing w:val="-5"/>
                <w:sz w:val="23"/>
                <w:szCs w:val="23"/>
              </w:rPr>
              <w:t>复核人：</w:t>
            </w:r>
          </w:p>
        </w:tc>
        <w:tc>
          <w:tcPr>
            <w:tcW w:w="4884" w:type="dxa"/>
            <w:tcBorders>
              <w:top w:val="nil"/>
            </w:tcBorders>
            <w:vAlign w:val="top"/>
          </w:tcPr>
          <w:p w14:paraId="1507CC0F">
            <w:pPr>
              <w:spacing w:before="279"/>
              <w:ind w:left="108"/>
              <w:rPr>
                <w:rFonts w:ascii="宋体" w:hAnsi="宋体" w:eastAsia="宋体" w:cs="宋体"/>
                <w:sz w:val="23"/>
                <w:szCs w:val="23"/>
              </w:rPr>
            </w:pPr>
            <w:r>
              <w:rPr>
                <w:rFonts w:ascii="宋体" w:hAnsi="宋体" w:eastAsia="宋体" w:cs="宋体"/>
                <w:b/>
                <w:bCs/>
                <w:spacing w:val="-3"/>
                <w:sz w:val="23"/>
                <w:szCs w:val="23"/>
              </w:rPr>
              <w:t>参展单位（盖章</w:t>
            </w:r>
            <w:r>
              <w:rPr>
                <w:rFonts w:ascii="宋体" w:hAnsi="宋体" w:eastAsia="宋体" w:cs="宋体"/>
                <w:b/>
                <w:bCs/>
                <w:sz w:val="23"/>
                <w:szCs w:val="23"/>
              </w:rPr>
              <w:t>）：</w:t>
            </w:r>
          </w:p>
          <w:p w14:paraId="3A788DA1">
            <w:pPr>
              <w:spacing w:line="289" w:lineRule="auto"/>
              <w:rPr>
                <w:rFonts w:ascii="Arial"/>
                <w:sz w:val="21"/>
              </w:rPr>
            </w:pPr>
          </w:p>
          <w:p w14:paraId="4394D8B8">
            <w:pPr>
              <w:spacing w:line="290" w:lineRule="auto"/>
              <w:rPr>
                <w:rFonts w:ascii="Arial"/>
                <w:sz w:val="21"/>
              </w:rPr>
            </w:pPr>
          </w:p>
          <w:p w14:paraId="4FAB1329">
            <w:pPr>
              <w:spacing w:line="290" w:lineRule="auto"/>
              <w:rPr>
                <w:rFonts w:ascii="Arial"/>
                <w:sz w:val="21"/>
              </w:rPr>
            </w:pPr>
          </w:p>
          <w:p w14:paraId="735399EA">
            <w:pPr>
              <w:spacing w:before="75"/>
              <w:ind w:left="113"/>
              <w:rPr>
                <w:rFonts w:ascii="宋体" w:hAnsi="宋体" w:eastAsia="宋体" w:cs="宋体"/>
                <w:sz w:val="23"/>
                <w:szCs w:val="23"/>
              </w:rPr>
            </w:pPr>
            <w:r>
              <w:rPr>
                <w:rFonts w:ascii="宋体" w:hAnsi="宋体" w:eastAsia="宋体" w:cs="宋体"/>
                <w:b/>
                <w:bCs/>
                <w:spacing w:val="-5"/>
                <w:sz w:val="23"/>
                <w:szCs w:val="23"/>
              </w:rPr>
              <w:t>经</w:t>
            </w:r>
            <w:r>
              <w:rPr>
                <w:rFonts w:ascii="宋体" w:hAnsi="宋体" w:eastAsia="宋体" w:cs="宋体"/>
                <w:spacing w:val="8"/>
                <w:sz w:val="23"/>
                <w:szCs w:val="23"/>
              </w:rPr>
              <w:t xml:space="preserve"> </w:t>
            </w:r>
            <w:r>
              <w:rPr>
                <w:rFonts w:ascii="宋体" w:hAnsi="宋体" w:eastAsia="宋体" w:cs="宋体"/>
                <w:b/>
                <w:bCs/>
                <w:spacing w:val="-5"/>
                <w:sz w:val="23"/>
                <w:szCs w:val="23"/>
              </w:rPr>
              <w:t>办</w:t>
            </w:r>
            <w:r>
              <w:rPr>
                <w:rFonts w:ascii="宋体" w:hAnsi="宋体" w:eastAsia="宋体" w:cs="宋体"/>
                <w:spacing w:val="-5"/>
                <w:sz w:val="23"/>
                <w:szCs w:val="23"/>
              </w:rPr>
              <w:t xml:space="preserve"> </w:t>
            </w:r>
            <w:r>
              <w:rPr>
                <w:rFonts w:ascii="宋体" w:hAnsi="宋体" w:eastAsia="宋体" w:cs="宋体"/>
                <w:b/>
                <w:bCs/>
                <w:spacing w:val="-5"/>
                <w:sz w:val="23"/>
                <w:szCs w:val="23"/>
              </w:rPr>
              <w:t>人：</w:t>
            </w:r>
          </w:p>
        </w:tc>
      </w:tr>
    </w:tbl>
    <w:p w14:paraId="7FBDDFEB">
      <w:pPr>
        <w:rPr>
          <w:rFonts w:ascii="Arial"/>
          <w:sz w:val="21"/>
        </w:rPr>
      </w:pPr>
    </w:p>
    <w:p w14:paraId="2D5C276F">
      <w:pPr>
        <w:rPr>
          <w:rFonts w:ascii="Arial" w:hAnsi="Arial" w:eastAsia="Arial" w:cs="Arial"/>
          <w:sz w:val="21"/>
          <w:szCs w:val="21"/>
        </w:rPr>
        <w:sectPr>
          <w:headerReference r:id="rId16" w:type="default"/>
          <w:footerReference r:id="rId17" w:type="default"/>
          <w:pgSz w:w="11907" w:h="16840"/>
          <w:pgMar w:top="400" w:right="1026" w:bottom="1025" w:left="1027" w:header="0" w:footer="771" w:gutter="0"/>
          <w:cols w:space="720" w:num="1"/>
        </w:sectPr>
      </w:pPr>
    </w:p>
    <w:p w14:paraId="20A11AA4">
      <w:pPr>
        <w:spacing w:line="246" w:lineRule="auto"/>
        <w:rPr>
          <w:rFonts w:ascii="Arial"/>
          <w:sz w:val="21"/>
        </w:rPr>
      </w:pPr>
    </w:p>
    <w:p w14:paraId="34C8C803">
      <w:pPr>
        <w:spacing w:line="246" w:lineRule="auto"/>
        <w:rPr>
          <w:rFonts w:ascii="Arial"/>
          <w:sz w:val="21"/>
        </w:rPr>
      </w:pPr>
    </w:p>
    <w:p w14:paraId="353C64F2">
      <w:pPr>
        <w:spacing w:line="246" w:lineRule="auto"/>
        <w:rPr>
          <w:rFonts w:ascii="Arial"/>
          <w:sz w:val="21"/>
        </w:rPr>
      </w:pPr>
    </w:p>
    <w:p w14:paraId="6C25170F">
      <w:pPr>
        <w:spacing w:line="247" w:lineRule="auto"/>
        <w:rPr>
          <w:rFonts w:ascii="Arial"/>
          <w:sz w:val="21"/>
        </w:rPr>
      </w:pPr>
    </w:p>
    <w:p w14:paraId="2B7B48BF">
      <w:pPr>
        <w:spacing w:before="98" w:line="196" w:lineRule="auto"/>
        <w:ind w:left="3600"/>
        <w:outlineLvl w:val="0"/>
        <w:rPr>
          <w:rFonts w:ascii="黑体" w:hAnsi="黑体" w:eastAsia="黑体" w:cs="黑体"/>
          <w:sz w:val="30"/>
          <w:szCs w:val="30"/>
        </w:rPr>
      </w:pPr>
      <w:r>
        <w:rPr>
          <w:rFonts w:ascii="黑体" w:hAnsi="黑体" w:eastAsia="黑体" w:cs="黑体"/>
          <w:b/>
          <w:bCs/>
          <w:spacing w:val="-14"/>
          <w:sz w:val="30"/>
          <w:szCs w:val="30"/>
        </w:rPr>
        <w:t>参</w:t>
      </w:r>
      <w:r>
        <w:rPr>
          <w:rFonts w:ascii="黑体" w:hAnsi="黑体" w:eastAsia="黑体" w:cs="黑体"/>
          <w:spacing w:val="16"/>
          <w:sz w:val="30"/>
          <w:szCs w:val="30"/>
        </w:rPr>
        <w:t xml:space="preserve"> </w:t>
      </w:r>
      <w:r>
        <w:rPr>
          <w:rFonts w:ascii="黑体" w:hAnsi="黑体" w:eastAsia="黑体" w:cs="黑体"/>
          <w:b/>
          <w:bCs/>
          <w:spacing w:val="-14"/>
          <w:sz w:val="30"/>
          <w:szCs w:val="30"/>
        </w:rPr>
        <w:t>展</w:t>
      </w:r>
      <w:r>
        <w:rPr>
          <w:rFonts w:ascii="黑体" w:hAnsi="黑体" w:eastAsia="黑体" w:cs="黑体"/>
          <w:spacing w:val="19"/>
          <w:sz w:val="30"/>
          <w:szCs w:val="30"/>
        </w:rPr>
        <w:t xml:space="preserve"> </w:t>
      </w:r>
      <w:r>
        <w:rPr>
          <w:rFonts w:ascii="黑体" w:hAnsi="黑体" w:eastAsia="黑体" w:cs="黑体"/>
          <w:b/>
          <w:bCs/>
          <w:spacing w:val="-14"/>
          <w:sz w:val="30"/>
          <w:szCs w:val="30"/>
        </w:rPr>
        <w:t>细</w:t>
      </w:r>
      <w:r>
        <w:rPr>
          <w:rFonts w:ascii="黑体" w:hAnsi="黑体" w:eastAsia="黑体" w:cs="黑体"/>
          <w:spacing w:val="12"/>
          <w:sz w:val="30"/>
          <w:szCs w:val="30"/>
        </w:rPr>
        <w:t xml:space="preserve"> </w:t>
      </w:r>
      <w:r>
        <w:rPr>
          <w:rFonts w:ascii="黑体" w:hAnsi="黑体" w:eastAsia="黑体" w:cs="黑体"/>
          <w:b/>
          <w:bCs/>
          <w:spacing w:val="-14"/>
          <w:sz w:val="30"/>
          <w:szCs w:val="30"/>
        </w:rPr>
        <w:t>则</w:t>
      </w:r>
    </w:p>
    <w:p w14:paraId="6F1DFD32">
      <w:pPr>
        <w:pStyle w:val="3"/>
        <w:spacing w:before="3" w:line="190" w:lineRule="auto"/>
        <w:ind w:right="79" w:firstLine="427"/>
        <w:jc w:val="both"/>
        <w:rPr>
          <w:sz w:val="19"/>
          <w:szCs w:val="19"/>
        </w:rPr>
      </w:pPr>
      <w:r>
        <w:rPr>
          <w:spacing w:val="6"/>
          <w:sz w:val="19"/>
          <w:szCs w:val="19"/>
        </w:rPr>
        <w:t>参展确认表与本参展细则共同构成中国对外贸易广州展览有限公司（</w:t>
      </w:r>
      <w:r>
        <w:rPr>
          <w:spacing w:val="-30"/>
          <w:sz w:val="19"/>
          <w:szCs w:val="19"/>
        </w:rPr>
        <w:t xml:space="preserve"> </w:t>
      </w:r>
      <w:r>
        <w:rPr>
          <w:spacing w:val="6"/>
          <w:sz w:val="19"/>
          <w:szCs w:val="19"/>
        </w:rPr>
        <w:t>以下简称</w:t>
      </w:r>
      <w:r>
        <w:rPr>
          <w:spacing w:val="-61"/>
          <w:sz w:val="19"/>
          <w:szCs w:val="19"/>
        </w:rPr>
        <w:t xml:space="preserve"> </w:t>
      </w:r>
      <w:r>
        <w:rPr>
          <w:spacing w:val="6"/>
          <w:sz w:val="19"/>
          <w:szCs w:val="19"/>
        </w:rPr>
        <w:t>“展会方”</w:t>
      </w:r>
      <w:r>
        <w:rPr>
          <w:spacing w:val="-41"/>
          <w:sz w:val="19"/>
          <w:szCs w:val="19"/>
        </w:rPr>
        <w:t xml:space="preserve"> </w:t>
      </w:r>
      <w:r>
        <w:rPr>
          <w:spacing w:val="6"/>
          <w:sz w:val="19"/>
          <w:szCs w:val="19"/>
        </w:rPr>
        <w:t>）与参</w:t>
      </w:r>
      <w:r>
        <w:rPr>
          <w:spacing w:val="7"/>
          <w:sz w:val="19"/>
          <w:szCs w:val="19"/>
        </w:rPr>
        <w:t>展单位的参加</w:t>
      </w:r>
      <w:r>
        <w:rPr>
          <w:spacing w:val="7"/>
          <w:sz w:val="20"/>
          <w:szCs w:val="20"/>
        </w:rPr>
        <w:t>2026粤港澳大湾区服务贸易大</w:t>
      </w:r>
      <w:r>
        <w:rPr>
          <w:spacing w:val="6"/>
          <w:sz w:val="20"/>
          <w:szCs w:val="20"/>
        </w:rPr>
        <w:t>会（广州</w:t>
      </w:r>
      <w:r>
        <w:rPr>
          <w:spacing w:val="-4"/>
          <w:sz w:val="20"/>
          <w:szCs w:val="20"/>
        </w:rPr>
        <w:t>）</w:t>
      </w:r>
      <w:r>
        <w:rPr>
          <w:spacing w:val="-4"/>
          <w:sz w:val="19"/>
          <w:szCs w:val="19"/>
        </w:rPr>
        <w:t>（</w:t>
      </w:r>
      <w:r>
        <w:rPr>
          <w:spacing w:val="-32"/>
          <w:sz w:val="19"/>
          <w:szCs w:val="19"/>
        </w:rPr>
        <w:t xml:space="preserve"> </w:t>
      </w:r>
      <w:r>
        <w:rPr>
          <w:spacing w:val="6"/>
          <w:sz w:val="19"/>
          <w:szCs w:val="19"/>
        </w:rPr>
        <w:t>以下简称</w:t>
      </w:r>
      <w:r>
        <w:rPr>
          <w:spacing w:val="-59"/>
          <w:sz w:val="19"/>
          <w:szCs w:val="19"/>
        </w:rPr>
        <w:t xml:space="preserve"> </w:t>
      </w:r>
      <w:r>
        <w:rPr>
          <w:spacing w:val="6"/>
          <w:sz w:val="19"/>
          <w:szCs w:val="19"/>
        </w:rPr>
        <w:t>“展会”</w:t>
      </w:r>
      <w:r>
        <w:rPr>
          <w:spacing w:val="-41"/>
          <w:sz w:val="19"/>
          <w:szCs w:val="19"/>
        </w:rPr>
        <w:t xml:space="preserve"> </w:t>
      </w:r>
      <w:r>
        <w:rPr>
          <w:spacing w:val="6"/>
          <w:sz w:val="19"/>
          <w:szCs w:val="19"/>
        </w:rPr>
        <w:t>）的参展合同。参展单</w:t>
      </w:r>
      <w:r>
        <w:rPr>
          <w:spacing w:val="9"/>
          <w:sz w:val="19"/>
          <w:szCs w:val="19"/>
        </w:rPr>
        <w:t>位确认已仔细阅读并同意以下条款。</w:t>
      </w:r>
    </w:p>
    <w:p w14:paraId="719EAC39">
      <w:pPr>
        <w:pStyle w:val="3"/>
        <w:spacing w:line="193" w:lineRule="auto"/>
        <w:ind w:left="433"/>
        <w:outlineLvl w:val="2"/>
        <w:rPr>
          <w:sz w:val="19"/>
          <w:szCs w:val="19"/>
        </w:rPr>
      </w:pPr>
      <w:r>
        <w:rPr>
          <w:b/>
          <w:bCs/>
          <w:spacing w:val="7"/>
          <w:sz w:val="19"/>
          <w:szCs w:val="19"/>
        </w:rPr>
        <w:t>第一条</w:t>
      </w:r>
      <w:r>
        <w:rPr>
          <w:spacing w:val="7"/>
          <w:sz w:val="19"/>
          <w:szCs w:val="19"/>
        </w:rPr>
        <w:t xml:space="preserve"> </w:t>
      </w:r>
      <w:r>
        <w:rPr>
          <w:b/>
          <w:bCs/>
          <w:spacing w:val="7"/>
          <w:sz w:val="19"/>
          <w:szCs w:val="19"/>
        </w:rPr>
        <w:t>参展合同的签订与参展费用的支付</w:t>
      </w:r>
    </w:p>
    <w:p w14:paraId="4F3BF989">
      <w:pPr>
        <w:pStyle w:val="3"/>
        <w:spacing w:line="193" w:lineRule="auto"/>
        <w:ind w:left="435"/>
        <w:rPr>
          <w:sz w:val="19"/>
          <w:szCs w:val="19"/>
        </w:rPr>
      </w:pPr>
      <w:r>
        <w:rPr>
          <w:b/>
          <w:bCs/>
          <w:spacing w:val="8"/>
          <w:sz w:val="19"/>
          <w:szCs w:val="19"/>
        </w:rPr>
        <w:t>1.1</w:t>
      </w:r>
      <w:r>
        <w:rPr>
          <w:spacing w:val="8"/>
          <w:sz w:val="19"/>
          <w:szCs w:val="19"/>
        </w:rPr>
        <w:t xml:space="preserve"> </w:t>
      </w:r>
      <w:r>
        <w:rPr>
          <w:b/>
          <w:bCs/>
          <w:spacing w:val="8"/>
          <w:sz w:val="19"/>
          <w:szCs w:val="19"/>
        </w:rPr>
        <w:t>参展单位应按参展合同的约定向展会方支付参展费用。若参展单位</w:t>
      </w:r>
      <w:r>
        <w:rPr>
          <w:b/>
          <w:bCs/>
          <w:spacing w:val="7"/>
          <w:sz w:val="19"/>
          <w:szCs w:val="19"/>
        </w:rPr>
        <w:t>不能按时付清参展费用</w:t>
      </w:r>
    </w:p>
    <w:p w14:paraId="77D369A2">
      <w:pPr>
        <w:pStyle w:val="3"/>
        <w:spacing w:before="1" w:line="194" w:lineRule="auto"/>
        <w:ind w:left="14" w:right="65" w:firstLine="6"/>
        <w:rPr>
          <w:sz w:val="19"/>
          <w:szCs w:val="19"/>
        </w:rPr>
      </w:pPr>
      <w:r>
        <w:rPr>
          <w:b/>
          <w:bCs/>
          <w:spacing w:val="8"/>
          <w:sz w:val="19"/>
          <w:szCs w:val="19"/>
        </w:rPr>
        <w:t>的，视为违约，展会方有权取消参展单位预定展位并将展位另行安排，参展单位已交的展位费作为违</w:t>
      </w:r>
      <w:r>
        <w:rPr>
          <w:b/>
          <w:bCs/>
          <w:spacing w:val="4"/>
          <w:sz w:val="19"/>
          <w:szCs w:val="19"/>
        </w:rPr>
        <w:t>约金概不退还。</w:t>
      </w:r>
    </w:p>
    <w:p w14:paraId="144FC31C">
      <w:pPr>
        <w:pStyle w:val="3"/>
        <w:spacing w:before="1" w:line="194" w:lineRule="auto"/>
        <w:ind w:left="27" w:right="53" w:firstLine="408"/>
        <w:rPr>
          <w:sz w:val="19"/>
          <w:szCs w:val="19"/>
        </w:rPr>
      </w:pPr>
      <w:r>
        <w:rPr>
          <w:spacing w:val="10"/>
          <w:sz w:val="19"/>
          <w:szCs w:val="19"/>
        </w:rPr>
        <w:t>1.2 凡同时与展会方签订其他参展合同的，参展单位同时</w:t>
      </w:r>
      <w:r>
        <w:rPr>
          <w:spacing w:val="9"/>
          <w:sz w:val="19"/>
          <w:szCs w:val="19"/>
        </w:rPr>
        <w:t>承诺将按照相应参展合同的约定，及时</w:t>
      </w:r>
      <w:r>
        <w:rPr>
          <w:spacing w:val="6"/>
          <w:sz w:val="19"/>
          <w:szCs w:val="19"/>
        </w:rPr>
        <w:t>向展会方支付参展费用。</w:t>
      </w:r>
    </w:p>
    <w:p w14:paraId="5C387218">
      <w:pPr>
        <w:pStyle w:val="3"/>
        <w:spacing w:before="1" w:line="193" w:lineRule="auto"/>
        <w:ind w:left="433"/>
        <w:outlineLvl w:val="2"/>
        <w:rPr>
          <w:sz w:val="19"/>
          <w:szCs w:val="19"/>
        </w:rPr>
      </w:pPr>
      <w:r>
        <w:rPr>
          <w:b/>
          <w:bCs/>
          <w:spacing w:val="6"/>
          <w:sz w:val="19"/>
          <w:szCs w:val="19"/>
        </w:rPr>
        <w:t>第二条</w:t>
      </w:r>
      <w:r>
        <w:rPr>
          <w:spacing w:val="6"/>
          <w:sz w:val="19"/>
          <w:szCs w:val="19"/>
        </w:rPr>
        <w:t xml:space="preserve"> </w:t>
      </w:r>
      <w:r>
        <w:rPr>
          <w:b/>
          <w:bCs/>
          <w:spacing w:val="6"/>
          <w:sz w:val="19"/>
          <w:szCs w:val="19"/>
        </w:rPr>
        <w:t>展会方权利义务</w:t>
      </w:r>
    </w:p>
    <w:p w14:paraId="3B76576E">
      <w:pPr>
        <w:pStyle w:val="3"/>
        <w:spacing w:before="1" w:line="194" w:lineRule="auto"/>
        <w:ind w:left="3" w:right="135" w:firstLine="427"/>
        <w:rPr>
          <w:sz w:val="19"/>
          <w:szCs w:val="19"/>
        </w:rPr>
      </w:pPr>
      <w:r>
        <w:rPr>
          <w:spacing w:val="8"/>
          <w:sz w:val="19"/>
          <w:szCs w:val="19"/>
        </w:rPr>
        <w:t>2.1 展会方应向参展单位提供《参展商手册》、参展证件等资料；并为参展单位提</w:t>
      </w:r>
      <w:r>
        <w:rPr>
          <w:spacing w:val="7"/>
          <w:sz w:val="19"/>
          <w:szCs w:val="19"/>
        </w:rPr>
        <w:t>供以下服务：</w:t>
      </w:r>
      <w:r>
        <w:rPr>
          <w:spacing w:val="10"/>
          <w:sz w:val="19"/>
          <w:szCs w:val="19"/>
        </w:rPr>
        <w:t>展位预订、展会现场管理、推荐展会指定服务</w:t>
      </w:r>
      <w:r>
        <w:rPr>
          <w:spacing w:val="9"/>
          <w:sz w:val="19"/>
          <w:szCs w:val="19"/>
        </w:rPr>
        <w:t>商（包括：展会指定承建商、承运商等）等。</w:t>
      </w:r>
    </w:p>
    <w:p w14:paraId="67169688">
      <w:pPr>
        <w:pStyle w:val="3"/>
        <w:spacing w:before="1" w:line="193" w:lineRule="auto"/>
        <w:jc w:val="right"/>
        <w:rPr>
          <w:sz w:val="19"/>
          <w:szCs w:val="19"/>
        </w:rPr>
      </w:pPr>
      <w:r>
        <w:rPr>
          <w:spacing w:val="7"/>
          <w:sz w:val="19"/>
          <w:szCs w:val="19"/>
        </w:rPr>
        <w:t>2.2 展会方可根据展会的实际情况，决定参</w:t>
      </w:r>
      <w:r>
        <w:rPr>
          <w:spacing w:val="6"/>
          <w:sz w:val="19"/>
          <w:szCs w:val="19"/>
        </w:rPr>
        <w:t>展单位的展位的具体位置安排，并保留最终的解释权。</w:t>
      </w:r>
    </w:p>
    <w:p w14:paraId="2A8E58DD">
      <w:pPr>
        <w:pStyle w:val="3"/>
        <w:spacing w:before="1" w:line="194" w:lineRule="auto"/>
        <w:ind w:right="56" w:firstLine="431"/>
        <w:rPr>
          <w:sz w:val="19"/>
          <w:szCs w:val="19"/>
        </w:rPr>
      </w:pPr>
      <w:r>
        <w:rPr>
          <w:b/>
          <w:bCs/>
          <w:spacing w:val="8"/>
          <w:sz w:val="19"/>
          <w:szCs w:val="19"/>
          <w:u w:val="single" w:color="auto"/>
        </w:rPr>
        <w:t>2.3</w:t>
      </w:r>
      <w:r>
        <w:rPr>
          <w:spacing w:val="8"/>
          <w:sz w:val="19"/>
          <w:szCs w:val="19"/>
          <w:u w:val="single" w:color="auto"/>
        </w:rPr>
        <w:t xml:space="preserve"> </w:t>
      </w:r>
      <w:r>
        <w:rPr>
          <w:b/>
          <w:bCs/>
          <w:spacing w:val="8"/>
          <w:sz w:val="19"/>
          <w:szCs w:val="19"/>
          <w:u w:val="single" w:color="auto"/>
        </w:rPr>
        <w:t>如因展会主办方调整布局等原因需变更参展单位展位的，展会方</w:t>
      </w:r>
      <w:r>
        <w:rPr>
          <w:b/>
          <w:bCs/>
          <w:spacing w:val="7"/>
          <w:sz w:val="19"/>
          <w:szCs w:val="19"/>
          <w:u w:val="single" w:color="auto"/>
        </w:rPr>
        <w:t>有权另行安排展位供参展单</w:t>
      </w:r>
      <w:r>
        <w:rPr>
          <w:b/>
          <w:bCs/>
          <w:spacing w:val="9"/>
          <w:sz w:val="19"/>
          <w:szCs w:val="19"/>
          <w:u w:val="single" w:color="auto"/>
        </w:rPr>
        <w:t>位确认，如参展单位不同意展会方展位安排的，展会方将原路</w:t>
      </w:r>
      <w:r>
        <w:rPr>
          <w:b/>
          <w:bCs/>
          <w:spacing w:val="8"/>
          <w:sz w:val="19"/>
          <w:szCs w:val="19"/>
          <w:u w:val="single" w:color="auto"/>
        </w:rPr>
        <w:t>全额无息退还参展单位已支付的参展费</w:t>
      </w:r>
      <w:r>
        <w:rPr>
          <w:b/>
          <w:bCs/>
          <w:spacing w:val="9"/>
          <w:sz w:val="19"/>
          <w:szCs w:val="19"/>
          <w:u w:val="single" w:color="auto"/>
        </w:rPr>
        <w:t>用，本参展合同终止。本参展合同因此终止的，不构成展会方违约。</w:t>
      </w:r>
    </w:p>
    <w:p w14:paraId="61C91F78">
      <w:pPr>
        <w:pStyle w:val="3"/>
        <w:spacing w:before="1" w:line="194" w:lineRule="auto"/>
        <w:ind w:left="5" w:right="43" w:firstLine="425"/>
        <w:rPr>
          <w:sz w:val="19"/>
          <w:szCs w:val="19"/>
        </w:rPr>
      </w:pPr>
      <w:r>
        <w:rPr>
          <w:spacing w:val="9"/>
          <w:sz w:val="19"/>
          <w:szCs w:val="19"/>
        </w:rPr>
        <w:t>2.4 对于在广州举办的展会，展会方有权在《广州市展会知识产权保护办法》及其不时做出的修订所授权的范围内，对参展单位涉嫌侵犯他人知识产权的产品采取</w:t>
      </w:r>
      <w:r>
        <w:rPr>
          <w:spacing w:val="8"/>
          <w:sz w:val="19"/>
          <w:szCs w:val="19"/>
        </w:rPr>
        <w:t>相应措施,参展单位承诺予以配合。</w:t>
      </w:r>
    </w:p>
    <w:p w14:paraId="2D28ABEB">
      <w:pPr>
        <w:pStyle w:val="3"/>
        <w:spacing w:before="1" w:line="193" w:lineRule="auto"/>
        <w:ind w:left="433"/>
        <w:outlineLvl w:val="2"/>
        <w:rPr>
          <w:sz w:val="19"/>
          <w:szCs w:val="19"/>
        </w:rPr>
      </w:pPr>
      <w:r>
        <w:rPr>
          <w:b/>
          <w:bCs/>
          <w:spacing w:val="6"/>
          <w:sz w:val="19"/>
          <w:szCs w:val="19"/>
        </w:rPr>
        <w:t>第三条</w:t>
      </w:r>
      <w:r>
        <w:rPr>
          <w:spacing w:val="6"/>
          <w:sz w:val="19"/>
          <w:szCs w:val="19"/>
        </w:rPr>
        <w:t xml:space="preserve"> </w:t>
      </w:r>
      <w:r>
        <w:rPr>
          <w:b/>
          <w:bCs/>
          <w:spacing w:val="6"/>
          <w:sz w:val="19"/>
          <w:szCs w:val="19"/>
        </w:rPr>
        <w:t>参展单位权利义务</w:t>
      </w:r>
    </w:p>
    <w:p w14:paraId="14E99D11">
      <w:pPr>
        <w:pStyle w:val="3"/>
        <w:spacing w:before="1" w:line="194" w:lineRule="auto"/>
        <w:ind w:left="3" w:right="53" w:firstLine="435"/>
        <w:rPr>
          <w:sz w:val="19"/>
          <w:szCs w:val="19"/>
        </w:rPr>
      </w:pPr>
      <w:r>
        <w:rPr>
          <w:spacing w:val="9"/>
          <w:sz w:val="19"/>
          <w:szCs w:val="19"/>
        </w:rPr>
        <w:t>3.1 在展会举办期间，参展单位应按展会规定的展品范围选择产品参展，不得在展会上展示和销</w:t>
      </w:r>
      <w:r>
        <w:rPr>
          <w:spacing w:val="8"/>
          <w:sz w:val="19"/>
          <w:szCs w:val="19"/>
        </w:rPr>
        <w:t>售展会展品范围以外的产品、假冒伪劣产品或侵权产品(包括但不限于被司法行政机关认定侵权的或经</w:t>
      </w:r>
      <w:r>
        <w:rPr>
          <w:spacing w:val="9"/>
          <w:sz w:val="19"/>
          <w:szCs w:val="19"/>
        </w:rPr>
        <w:t>展会方认定涉嫌侵权的产品)。特别地，参展</w:t>
      </w:r>
      <w:r>
        <w:rPr>
          <w:spacing w:val="8"/>
          <w:sz w:val="19"/>
          <w:szCs w:val="19"/>
        </w:rPr>
        <w:t>商承诺其所有的参展项目均不会侵犯他人在先拥有的知识</w:t>
      </w:r>
      <w:r>
        <w:rPr>
          <w:spacing w:val="3"/>
          <w:sz w:val="19"/>
          <w:szCs w:val="19"/>
        </w:rPr>
        <w:t>产权。</w:t>
      </w:r>
    </w:p>
    <w:p w14:paraId="0EC10FC6">
      <w:pPr>
        <w:pStyle w:val="3"/>
        <w:spacing w:before="1" w:line="194" w:lineRule="auto"/>
        <w:ind w:left="7" w:right="77" w:firstLine="430"/>
        <w:rPr>
          <w:sz w:val="19"/>
          <w:szCs w:val="19"/>
        </w:rPr>
      </w:pPr>
      <w:r>
        <w:rPr>
          <w:spacing w:val="9"/>
          <w:sz w:val="19"/>
          <w:szCs w:val="19"/>
        </w:rPr>
        <w:t>3.2 在展会举办期间，如参展单位的任何参展项目经展会方认定涉嫌侵犯他人知识产权，且参展</w:t>
      </w:r>
      <w:r>
        <w:rPr>
          <w:spacing w:val="10"/>
          <w:sz w:val="19"/>
          <w:szCs w:val="19"/>
        </w:rPr>
        <w:t>商不能在规定期限内提供充分证据做出有效的不侵权抗辩或抗辩被</w:t>
      </w:r>
      <w:r>
        <w:rPr>
          <w:spacing w:val="9"/>
          <w:sz w:val="19"/>
          <w:szCs w:val="19"/>
        </w:rPr>
        <w:t>展会方认定为不成立的，展会方有权要求参展单位立即采取遮盖、撤展、赔偿损失等措施。</w:t>
      </w:r>
    </w:p>
    <w:p w14:paraId="43FFE661">
      <w:pPr>
        <w:pStyle w:val="3"/>
        <w:spacing w:before="3" w:line="194" w:lineRule="auto"/>
        <w:ind w:left="7" w:firstLine="430"/>
        <w:rPr>
          <w:sz w:val="19"/>
          <w:szCs w:val="19"/>
        </w:rPr>
      </w:pPr>
      <w:r>
        <w:rPr>
          <w:spacing w:val="9"/>
          <w:sz w:val="19"/>
          <w:szCs w:val="19"/>
        </w:rPr>
        <w:t>3.3 如果参展单位之参展展品、项目已由人民法院/仲裁机构作出认定侵权的</w:t>
      </w:r>
      <w:r>
        <w:rPr>
          <w:spacing w:val="8"/>
          <w:sz w:val="19"/>
          <w:szCs w:val="19"/>
        </w:rPr>
        <w:t>判决/裁决或者由负责知识产权行政管理的部门作出认定侵权的处理决定，并且该等判决/裁决或处理决定已经生效，参展</w:t>
      </w:r>
      <w:r>
        <w:rPr>
          <w:spacing w:val="10"/>
          <w:sz w:val="19"/>
          <w:szCs w:val="19"/>
        </w:rPr>
        <w:t>单位拒绝配合展会方工作的，展会方将收回参展人员参展证件及取</w:t>
      </w:r>
      <w:r>
        <w:rPr>
          <w:spacing w:val="9"/>
          <w:sz w:val="19"/>
          <w:szCs w:val="19"/>
        </w:rPr>
        <w:t>消参展单位的参展资格，参展单位</w:t>
      </w:r>
      <w:r>
        <w:rPr>
          <w:spacing w:val="8"/>
          <w:sz w:val="19"/>
          <w:szCs w:val="19"/>
        </w:rPr>
        <w:t>已付费用概不退还，由参展单位承担由此产</w:t>
      </w:r>
      <w:r>
        <w:rPr>
          <w:spacing w:val="7"/>
          <w:sz w:val="19"/>
          <w:szCs w:val="19"/>
        </w:rPr>
        <w:t>生的一切责任，展会方有权依法就其全部损失向乙方追偿。</w:t>
      </w:r>
    </w:p>
    <w:p w14:paraId="259BBC66">
      <w:pPr>
        <w:pStyle w:val="3"/>
        <w:spacing w:line="194" w:lineRule="auto"/>
        <w:ind w:left="2" w:right="53" w:firstLine="436"/>
        <w:rPr>
          <w:sz w:val="19"/>
          <w:szCs w:val="19"/>
        </w:rPr>
      </w:pPr>
      <w:r>
        <w:rPr>
          <w:spacing w:val="9"/>
          <w:sz w:val="19"/>
          <w:szCs w:val="19"/>
        </w:rPr>
        <w:t>3.4 未经展会方事先书面同意，参展单位不得将本合同所约定的权利义务（包括但不</w:t>
      </w:r>
      <w:r>
        <w:rPr>
          <w:spacing w:val="8"/>
          <w:sz w:val="19"/>
          <w:szCs w:val="19"/>
        </w:rPr>
        <w:t>限于展位）</w:t>
      </w:r>
      <w:r>
        <w:rPr>
          <w:spacing w:val="9"/>
          <w:sz w:val="19"/>
          <w:szCs w:val="19"/>
        </w:rPr>
        <w:t>全部/部分向第三方转让；否则，展会方有权取</w:t>
      </w:r>
      <w:r>
        <w:rPr>
          <w:spacing w:val="8"/>
          <w:sz w:val="19"/>
          <w:szCs w:val="19"/>
        </w:rPr>
        <w:t>消该参展单位及相关第三方参展单位的参展资格并将其</w:t>
      </w:r>
      <w:r>
        <w:rPr>
          <w:spacing w:val="9"/>
          <w:sz w:val="19"/>
          <w:szCs w:val="19"/>
        </w:rPr>
        <w:t>展位另行处置。</w:t>
      </w:r>
      <w:r>
        <w:rPr>
          <w:spacing w:val="-40"/>
          <w:sz w:val="19"/>
          <w:szCs w:val="19"/>
        </w:rPr>
        <w:t xml:space="preserve"> </w:t>
      </w:r>
      <w:r>
        <w:rPr>
          <w:spacing w:val="9"/>
          <w:sz w:val="19"/>
          <w:szCs w:val="19"/>
        </w:rPr>
        <w:t>乙方进场身份以参展报名时向甲方提</w:t>
      </w:r>
      <w:r>
        <w:rPr>
          <w:spacing w:val="8"/>
          <w:sz w:val="19"/>
          <w:szCs w:val="19"/>
        </w:rPr>
        <w:t>交的营业执照信息为准，进场身份与报名身份不</w:t>
      </w:r>
      <w:r>
        <w:rPr>
          <w:spacing w:val="7"/>
          <w:sz w:val="19"/>
          <w:szCs w:val="19"/>
        </w:rPr>
        <w:t>一致不得进场。</w:t>
      </w:r>
    </w:p>
    <w:p w14:paraId="7F5D0A0A">
      <w:pPr>
        <w:pStyle w:val="3"/>
        <w:spacing w:before="1" w:line="194" w:lineRule="auto"/>
        <w:ind w:left="6" w:right="53" w:firstLine="432"/>
        <w:rPr>
          <w:sz w:val="19"/>
          <w:szCs w:val="19"/>
        </w:rPr>
      </w:pPr>
      <w:r>
        <w:rPr>
          <w:spacing w:val="7"/>
          <w:sz w:val="19"/>
          <w:szCs w:val="19"/>
        </w:rPr>
        <w:t>3.5 参展单位应按《参展商手册》的规定进行布/撤展、消防、用水、用电等工作，并提供相关责</w:t>
      </w:r>
      <w:r>
        <w:rPr>
          <w:spacing w:val="10"/>
          <w:sz w:val="19"/>
          <w:szCs w:val="19"/>
        </w:rPr>
        <w:t>任保证书，不得提前撤展。若参展单位超时布/撤展或</w:t>
      </w:r>
      <w:r>
        <w:rPr>
          <w:spacing w:val="9"/>
          <w:sz w:val="19"/>
          <w:szCs w:val="19"/>
        </w:rPr>
        <w:t>违反其他相关规定,由此产生的加班费及一切责</w:t>
      </w:r>
      <w:r>
        <w:rPr>
          <w:spacing w:val="7"/>
          <w:sz w:val="19"/>
          <w:szCs w:val="19"/>
        </w:rPr>
        <w:t>任由参展单位自行承担。</w:t>
      </w:r>
      <w:r>
        <w:rPr>
          <w:spacing w:val="-25"/>
          <w:sz w:val="19"/>
          <w:szCs w:val="19"/>
        </w:rPr>
        <w:t xml:space="preserve"> </w:t>
      </w:r>
      <w:r>
        <w:rPr>
          <w:spacing w:val="7"/>
          <w:sz w:val="19"/>
          <w:szCs w:val="19"/>
        </w:rPr>
        <w:t>因参展单位的过错（包括故意和过失）导致财产损失或人身伤亡的，</w:t>
      </w:r>
      <w:r>
        <w:rPr>
          <w:spacing w:val="-47"/>
          <w:sz w:val="19"/>
          <w:szCs w:val="19"/>
        </w:rPr>
        <w:t xml:space="preserve"> </w:t>
      </w:r>
      <w:r>
        <w:rPr>
          <w:spacing w:val="7"/>
          <w:sz w:val="19"/>
          <w:szCs w:val="19"/>
        </w:rPr>
        <w:t>由参展</w:t>
      </w:r>
      <w:r>
        <w:rPr>
          <w:spacing w:val="8"/>
          <w:sz w:val="19"/>
          <w:szCs w:val="19"/>
        </w:rPr>
        <w:t>单位承担相应的损害赔偿责任。</w:t>
      </w:r>
    </w:p>
    <w:p w14:paraId="0E720935">
      <w:pPr>
        <w:pStyle w:val="3"/>
        <w:spacing w:before="2" w:line="194" w:lineRule="auto"/>
        <w:ind w:left="16" w:right="77" w:firstLine="422"/>
        <w:rPr>
          <w:sz w:val="19"/>
          <w:szCs w:val="19"/>
        </w:rPr>
      </w:pPr>
      <w:r>
        <w:rPr>
          <w:spacing w:val="9"/>
          <w:sz w:val="19"/>
          <w:szCs w:val="19"/>
        </w:rPr>
        <w:t>3.6 参展单位租用空地进行特装施工的，须按</w:t>
      </w:r>
      <w:r>
        <w:rPr>
          <w:spacing w:val="9"/>
          <w:sz w:val="19"/>
          <w:szCs w:val="19"/>
          <w:u w:val="single" w:color="auto"/>
        </w:rPr>
        <w:t>《参展商手册》</w:t>
      </w:r>
      <w:r>
        <w:rPr>
          <w:spacing w:val="9"/>
          <w:sz w:val="19"/>
          <w:szCs w:val="19"/>
        </w:rPr>
        <w:t>的标准向展会方支付特装施工管理</w:t>
      </w:r>
      <w:r>
        <w:rPr>
          <w:spacing w:val="-6"/>
          <w:sz w:val="19"/>
          <w:szCs w:val="19"/>
        </w:rPr>
        <w:t>费。</w:t>
      </w:r>
    </w:p>
    <w:p w14:paraId="48B85F25">
      <w:pPr>
        <w:pStyle w:val="3"/>
        <w:spacing w:before="1" w:line="194" w:lineRule="auto"/>
        <w:ind w:left="1" w:right="54" w:firstLine="437"/>
        <w:rPr>
          <w:sz w:val="19"/>
          <w:szCs w:val="19"/>
        </w:rPr>
      </w:pPr>
      <w:r>
        <w:rPr>
          <w:spacing w:val="9"/>
          <w:sz w:val="19"/>
          <w:szCs w:val="19"/>
        </w:rPr>
        <w:t>3.7 特装展位的参展单位必须委托通过展会方资质认证的特装施工单位进场搭建展位及撤展。如</w:t>
      </w:r>
      <w:r>
        <w:rPr>
          <w:spacing w:val="8"/>
          <w:sz w:val="19"/>
          <w:szCs w:val="19"/>
        </w:rPr>
        <w:t>果因参展单位的展位及/或其他设施及/或其搁置物、悬挂物等发生脱落、坠落、倒塌等造成展会方及/</w:t>
      </w:r>
      <w:r>
        <w:rPr>
          <w:spacing w:val="9"/>
          <w:sz w:val="19"/>
          <w:szCs w:val="19"/>
        </w:rPr>
        <w:t>或第三方人身及/或财产损失的，一切责任均由参展单位和/或其所委托的特装施工单位承担。</w:t>
      </w:r>
    </w:p>
    <w:p w14:paraId="4D32BD52">
      <w:pPr>
        <w:pStyle w:val="3"/>
        <w:spacing w:line="194" w:lineRule="auto"/>
        <w:ind w:right="77" w:firstLine="438"/>
        <w:rPr>
          <w:sz w:val="19"/>
          <w:szCs w:val="19"/>
        </w:rPr>
      </w:pPr>
      <w:r>
        <w:rPr>
          <w:spacing w:val="9"/>
          <w:sz w:val="19"/>
          <w:szCs w:val="19"/>
        </w:rPr>
        <w:t>3.8 参展单位应承担其参展全过程（含布展、开展、撤展）的安全管理责任，并应遵守展会规定</w:t>
      </w:r>
      <w:r>
        <w:rPr>
          <w:spacing w:val="10"/>
          <w:sz w:val="19"/>
          <w:szCs w:val="19"/>
        </w:rPr>
        <w:t>和相关法律法规，督促、检查与参展相关的安全工作，及时消除安全隐患。在参展全</w:t>
      </w:r>
      <w:r>
        <w:rPr>
          <w:spacing w:val="9"/>
          <w:sz w:val="19"/>
          <w:szCs w:val="19"/>
        </w:rPr>
        <w:t>过程中，参展单</w:t>
      </w:r>
      <w:r>
        <w:rPr>
          <w:spacing w:val="10"/>
          <w:sz w:val="19"/>
          <w:szCs w:val="19"/>
        </w:rPr>
        <w:t>位应确保其相关工作人员、进入展位内的人员、展位服务人员（包括但不限于搭建人员、保洁人员、</w:t>
      </w:r>
      <w:r>
        <w:rPr>
          <w:spacing w:val="9"/>
          <w:sz w:val="19"/>
          <w:szCs w:val="19"/>
        </w:rPr>
        <w:t>运输人员、保安等）、展品、展位结构搭建及使用、运输、用电等方面的安全。</w:t>
      </w:r>
    </w:p>
    <w:p w14:paraId="0428A99C">
      <w:pPr>
        <w:pStyle w:val="3"/>
        <w:spacing w:before="3" w:line="194" w:lineRule="auto"/>
        <w:ind w:left="5" w:right="55" w:firstLine="423"/>
        <w:jc w:val="both"/>
        <w:rPr>
          <w:sz w:val="19"/>
          <w:szCs w:val="19"/>
        </w:rPr>
      </w:pPr>
      <w:r>
        <w:rPr>
          <w:spacing w:val="8"/>
          <w:sz w:val="19"/>
          <w:szCs w:val="19"/>
        </w:rPr>
        <w:t>如参展单位在参展全过程期间发生安全事件（包括但不限于展台/展品</w:t>
      </w:r>
      <w:r>
        <w:rPr>
          <w:spacing w:val="7"/>
          <w:sz w:val="19"/>
          <w:szCs w:val="19"/>
        </w:rPr>
        <w:t>安装不牢、展品损坏、展位</w:t>
      </w:r>
      <w:r>
        <w:rPr>
          <w:spacing w:val="9"/>
          <w:sz w:val="19"/>
          <w:szCs w:val="19"/>
        </w:rPr>
        <w:t>坍塌、用电安全问题、火灾，</w:t>
      </w:r>
      <w:r>
        <w:rPr>
          <w:spacing w:val="-50"/>
          <w:sz w:val="19"/>
          <w:szCs w:val="19"/>
        </w:rPr>
        <w:t xml:space="preserve"> </w:t>
      </w:r>
      <w:r>
        <w:rPr>
          <w:spacing w:val="9"/>
          <w:sz w:val="19"/>
          <w:szCs w:val="19"/>
        </w:rPr>
        <w:t>以及参展全过程中参展单位相关工作人</w:t>
      </w:r>
      <w:r>
        <w:rPr>
          <w:spacing w:val="8"/>
          <w:sz w:val="19"/>
          <w:szCs w:val="19"/>
        </w:rPr>
        <w:t>员、进入展位内的人员、展位服</w:t>
      </w:r>
      <w:r>
        <w:rPr>
          <w:spacing w:val="9"/>
          <w:sz w:val="19"/>
          <w:szCs w:val="19"/>
        </w:rPr>
        <w:t>务人员受伤或死亡等</w:t>
      </w:r>
      <w:r>
        <w:rPr>
          <w:spacing w:val="24"/>
          <w:sz w:val="19"/>
          <w:szCs w:val="19"/>
        </w:rPr>
        <w:t>），</w:t>
      </w:r>
      <w:r>
        <w:rPr>
          <w:spacing w:val="9"/>
          <w:sz w:val="19"/>
          <w:szCs w:val="19"/>
        </w:rPr>
        <w:t>参展单位应积极妥当处理（包括但不限于配合安监部门及展会方调查、协助安全事故现场处理等</w:t>
      </w:r>
      <w:r>
        <w:rPr>
          <w:spacing w:val="24"/>
          <w:sz w:val="19"/>
          <w:szCs w:val="19"/>
        </w:rPr>
        <w:t>），</w:t>
      </w:r>
      <w:r>
        <w:rPr>
          <w:spacing w:val="9"/>
          <w:sz w:val="19"/>
          <w:szCs w:val="19"/>
        </w:rPr>
        <w:t>并承担相关责任；如因发生安全事件导致展会方遭受任何损失（包括直接损</w:t>
      </w:r>
      <w:r>
        <w:rPr>
          <w:spacing w:val="7"/>
          <w:sz w:val="19"/>
          <w:szCs w:val="19"/>
        </w:rPr>
        <w:t>失及间接损失</w:t>
      </w:r>
      <w:r>
        <w:rPr>
          <w:spacing w:val="22"/>
          <w:sz w:val="19"/>
          <w:szCs w:val="19"/>
        </w:rPr>
        <w:t>），</w:t>
      </w:r>
      <w:r>
        <w:rPr>
          <w:spacing w:val="7"/>
          <w:sz w:val="19"/>
          <w:szCs w:val="19"/>
        </w:rPr>
        <w:t>参展单位应予以赔偿。</w:t>
      </w:r>
    </w:p>
    <w:p w14:paraId="36A8F5DB">
      <w:pPr>
        <w:pStyle w:val="3"/>
        <w:spacing w:before="1" w:line="194" w:lineRule="auto"/>
        <w:ind w:left="3" w:right="77" w:firstLine="434"/>
        <w:rPr>
          <w:sz w:val="19"/>
          <w:szCs w:val="19"/>
        </w:rPr>
      </w:pPr>
      <w:r>
        <w:rPr>
          <w:spacing w:val="9"/>
          <w:sz w:val="19"/>
          <w:szCs w:val="19"/>
        </w:rPr>
        <w:t>3.9 参展单位应按展会方要求向展会方或展会指定服务商提供包括但不限于以下资料：特装展位施工图纸等。</w:t>
      </w:r>
      <w:r>
        <w:rPr>
          <w:spacing w:val="-43"/>
          <w:sz w:val="19"/>
          <w:szCs w:val="19"/>
        </w:rPr>
        <w:t xml:space="preserve"> </w:t>
      </w:r>
      <w:r>
        <w:rPr>
          <w:spacing w:val="9"/>
          <w:sz w:val="19"/>
          <w:szCs w:val="19"/>
        </w:rPr>
        <w:t>因参展单位延误移交或资料有错漏等参展单</w:t>
      </w:r>
      <w:r>
        <w:rPr>
          <w:spacing w:val="8"/>
          <w:sz w:val="19"/>
          <w:szCs w:val="19"/>
        </w:rPr>
        <w:t>位原因造成损失的，一切责任均由参展单位</w:t>
      </w:r>
      <w:r>
        <w:rPr>
          <w:spacing w:val="3"/>
          <w:sz w:val="19"/>
          <w:szCs w:val="19"/>
        </w:rPr>
        <w:t>承担。</w:t>
      </w:r>
    </w:p>
    <w:p w14:paraId="5C8F0A3D">
      <w:pPr>
        <w:pStyle w:val="3"/>
        <w:spacing w:before="2" w:line="194" w:lineRule="auto"/>
        <w:ind w:left="11" w:right="55" w:firstLine="427"/>
        <w:rPr>
          <w:sz w:val="19"/>
          <w:szCs w:val="19"/>
        </w:rPr>
      </w:pPr>
      <w:r>
        <w:rPr>
          <w:spacing w:val="7"/>
          <w:sz w:val="19"/>
          <w:szCs w:val="19"/>
        </w:rPr>
        <w:t>3.10 参展单位须负责自有财产及其工作人员的安全，为其配备必要的安全措施或购买保险。因非</w:t>
      </w:r>
      <w:r>
        <w:rPr>
          <w:spacing w:val="9"/>
          <w:sz w:val="19"/>
          <w:szCs w:val="19"/>
        </w:rPr>
        <w:t>可归咎于展会方的原因而发生人身伤亡或财产损失事件的，展会方概不承担任何责任。</w:t>
      </w:r>
    </w:p>
    <w:p w14:paraId="5C3ED73F">
      <w:pPr>
        <w:pStyle w:val="3"/>
        <w:spacing w:before="1" w:line="194" w:lineRule="auto"/>
        <w:ind w:left="4" w:right="53" w:firstLine="433"/>
        <w:rPr>
          <w:sz w:val="19"/>
          <w:szCs w:val="19"/>
        </w:rPr>
      </w:pPr>
      <w:r>
        <w:rPr>
          <w:spacing w:val="7"/>
          <w:sz w:val="19"/>
          <w:szCs w:val="19"/>
        </w:rPr>
        <w:t>3.11 若参展单位直接向展会方指定的招展服务商支付参展费用的，应要求其出示展会方向招展服</w:t>
      </w:r>
      <w:r>
        <w:rPr>
          <w:spacing w:val="9"/>
          <w:sz w:val="19"/>
          <w:szCs w:val="19"/>
        </w:rPr>
        <w:t>务商出具的招展委托书，并保留与该招展委托书原件一致的复印件以</w:t>
      </w:r>
      <w:r>
        <w:rPr>
          <w:spacing w:val="8"/>
          <w:sz w:val="19"/>
          <w:szCs w:val="19"/>
        </w:rPr>
        <w:t>资确认；否则，</w:t>
      </w:r>
      <w:r>
        <w:rPr>
          <w:spacing w:val="-49"/>
          <w:sz w:val="19"/>
          <w:szCs w:val="19"/>
        </w:rPr>
        <w:t xml:space="preserve"> </w:t>
      </w:r>
      <w:r>
        <w:rPr>
          <w:spacing w:val="8"/>
          <w:sz w:val="19"/>
          <w:szCs w:val="19"/>
        </w:rPr>
        <w:t>由参展单位自行</w:t>
      </w:r>
      <w:r>
        <w:rPr>
          <w:spacing w:val="9"/>
          <w:sz w:val="19"/>
          <w:szCs w:val="19"/>
        </w:rPr>
        <w:t>承担因向无权/越权招展服务商付款而被取消参展资格的风险和损失。</w:t>
      </w:r>
    </w:p>
    <w:p w14:paraId="25E2169F">
      <w:pPr>
        <w:pStyle w:val="3"/>
        <w:spacing w:before="7" w:line="197" w:lineRule="auto"/>
        <w:ind w:left="2" w:firstLine="436"/>
        <w:rPr>
          <w:sz w:val="19"/>
          <w:szCs w:val="19"/>
        </w:rPr>
      </w:pPr>
      <w:r>
        <w:rPr>
          <w:spacing w:val="9"/>
          <w:sz w:val="19"/>
          <w:szCs w:val="19"/>
        </w:rPr>
        <w:t>3.12 参展单位须遵守相关法律法规及展会/馆的规章制度，禁止在展</w:t>
      </w:r>
      <w:r>
        <w:rPr>
          <w:spacing w:val="8"/>
          <w:sz w:val="19"/>
          <w:szCs w:val="19"/>
        </w:rPr>
        <w:t>会上派发与企业自身宣传无</w:t>
      </w:r>
      <w:r>
        <w:rPr>
          <w:spacing w:val="9"/>
          <w:sz w:val="19"/>
          <w:szCs w:val="19"/>
        </w:rPr>
        <w:t>关的资料、布/撤展时不得乱扔废物或展品</w:t>
      </w:r>
      <w:r>
        <w:rPr>
          <w:spacing w:val="8"/>
          <w:sz w:val="19"/>
          <w:szCs w:val="19"/>
        </w:rPr>
        <w:t>、不得损坏展会设施或影响他人参展（包括但不限于在展会</w:t>
      </w:r>
      <w:r>
        <w:rPr>
          <w:spacing w:val="10"/>
          <w:sz w:val="19"/>
          <w:szCs w:val="19"/>
        </w:rPr>
        <w:t>现场谩骂、斗殴、冲击他人展位，或以任何不文明手段破坏展会正常秩序）、</w:t>
      </w:r>
      <w:r>
        <w:rPr>
          <w:spacing w:val="9"/>
          <w:sz w:val="19"/>
          <w:szCs w:val="19"/>
        </w:rPr>
        <w:t>不得未经展会方许可擅自在展位外区域进行广告活动、不得在展位</w:t>
      </w:r>
      <w:r>
        <w:rPr>
          <w:spacing w:val="8"/>
          <w:sz w:val="19"/>
          <w:szCs w:val="19"/>
        </w:rPr>
        <w:t>上展出或售卖与参展确认表上参展产品不一致的物品(包括</w:t>
      </w:r>
      <w:r>
        <w:rPr>
          <w:spacing w:val="10"/>
          <w:sz w:val="19"/>
          <w:szCs w:val="19"/>
        </w:rPr>
        <w:t>但不限于汽车配件、熨斗、食材、药材、玩具、箱包、玉石、首饰、天然或人</w:t>
      </w:r>
      <w:r>
        <w:rPr>
          <w:spacing w:val="9"/>
          <w:sz w:val="19"/>
          <w:szCs w:val="19"/>
        </w:rPr>
        <w:t>工合成之琥珀、玛瑙等未经过加工或现场加工的原石等，以及利用</w:t>
      </w:r>
      <w:r>
        <w:rPr>
          <w:spacing w:val="8"/>
          <w:sz w:val="19"/>
          <w:szCs w:val="19"/>
        </w:rPr>
        <w:t>这类原石制作的装饰品)、不得将与第三方的纠纷归责于展</w:t>
      </w:r>
      <w:r>
        <w:rPr>
          <w:spacing w:val="9"/>
          <w:sz w:val="19"/>
          <w:szCs w:val="19"/>
        </w:rPr>
        <w:t>会方等；否则,展会方有权采取断电处理、</w:t>
      </w:r>
      <w:r>
        <w:rPr>
          <w:spacing w:val="-51"/>
          <w:sz w:val="19"/>
          <w:szCs w:val="19"/>
        </w:rPr>
        <w:t xml:space="preserve"> </w:t>
      </w:r>
      <w:r>
        <w:rPr>
          <w:spacing w:val="9"/>
          <w:sz w:val="19"/>
          <w:szCs w:val="19"/>
        </w:rPr>
        <w:t>当场清理展品出馆</w:t>
      </w:r>
      <w:r>
        <w:rPr>
          <w:spacing w:val="8"/>
          <w:sz w:val="19"/>
          <w:szCs w:val="19"/>
        </w:rPr>
        <w:t>及/或查封展位等措施，并有权取消参展单位参展资格并将其展位另行处置，参展单位自行承担由</w:t>
      </w:r>
      <w:r>
        <w:rPr>
          <w:spacing w:val="7"/>
          <w:sz w:val="19"/>
          <w:szCs w:val="19"/>
        </w:rPr>
        <w:t>此产生的一切责任，已支付的费用概不退还。</w:t>
      </w:r>
    </w:p>
    <w:p w14:paraId="135F9C0E">
      <w:pPr>
        <w:spacing w:line="197" w:lineRule="auto"/>
        <w:rPr>
          <w:sz w:val="19"/>
          <w:szCs w:val="19"/>
        </w:rPr>
        <w:sectPr>
          <w:footerReference r:id="rId18" w:type="default"/>
          <w:pgSz w:w="11907" w:h="16840"/>
          <w:pgMar w:top="400" w:right="1477" w:bottom="1025" w:left="1535" w:header="0" w:footer="771" w:gutter="0"/>
          <w:cols w:space="720" w:num="1"/>
        </w:sectPr>
      </w:pPr>
    </w:p>
    <w:p w14:paraId="3DFFEC4D">
      <w:pPr>
        <w:spacing w:line="313" w:lineRule="auto"/>
        <w:rPr>
          <w:rFonts w:ascii="Arial"/>
          <w:sz w:val="21"/>
        </w:rPr>
      </w:pPr>
    </w:p>
    <w:p w14:paraId="12AB7F5A">
      <w:pPr>
        <w:spacing w:line="313" w:lineRule="auto"/>
        <w:rPr>
          <w:rFonts w:ascii="Arial"/>
          <w:sz w:val="21"/>
        </w:rPr>
      </w:pPr>
    </w:p>
    <w:p w14:paraId="4CC14887">
      <w:pPr>
        <w:spacing w:line="313" w:lineRule="auto"/>
        <w:rPr>
          <w:rFonts w:ascii="Arial"/>
          <w:sz w:val="21"/>
        </w:rPr>
      </w:pPr>
    </w:p>
    <w:p w14:paraId="6A722C77">
      <w:pPr>
        <w:pStyle w:val="3"/>
        <w:spacing w:before="62" w:line="194" w:lineRule="auto"/>
        <w:ind w:left="2" w:firstLine="433"/>
        <w:jc w:val="both"/>
        <w:rPr>
          <w:sz w:val="19"/>
          <w:szCs w:val="19"/>
        </w:rPr>
      </w:pPr>
      <w:r>
        <w:rPr>
          <w:spacing w:val="7"/>
          <w:sz w:val="19"/>
          <w:szCs w:val="19"/>
        </w:rPr>
        <w:t>3.13 鉴于本展会仅面向专业观众，而非面向消费者的展销会，参展单位不得在展会上向消费者销</w:t>
      </w:r>
      <w:r>
        <w:rPr>
          <w:spacing w:val="8"/>
          <w:sz w:val="19"/>
          <w:szCs w:val="19"/>
        </w:rPr>
        <w:t>售或转让任何物品，</w:t>
      </w:r>
      <w:r>
        <w:rPr>
          <w:spacing w:val="-50"/>
          <w:sz w:val="19"/>
          <w:szCs w:val="19"/>
        </w:rPr>
        <w:t xml:space="preserve"> </w:t>
      </w:r>
      <w:r>
        <w:rPr>
          <w:spacing w:val="8"/>
          <w:sz w:val="19"/>
          <w:szCs w:val="19"/>
        </w:rPr>
        <w:t>由参展单位在展会上向消费者销售或转让物品</w:t>
      </w:r>
      <w:r>
        <w:rPr>
          <w:spacing w:val="7"/>
          <w:sz w:val="19"/>
          <w:szCs w:val="19"/>
        </w:rPr>
        <w:t>引起的任何纠纷，</w:t>
      </w:r>
      <w:r>
        <w:rPr>
          <w:spacing w:val="-49"/>
          <w:sz w:val="19"/>
          <w:szCs w:val="19"/>
        </w:rPr>
        <w:t xml:space="preserve"> </w:t>
      </w:r>
      <w:r>
        <w:rPr>
          <w:spacing w:val="7"/>
          <w:sz w:val="19"/>
          <w:szCs w:val="19"/>
        </w:rPr>
        <w:t>由参展单位负责</w:t>
      </w:r>
      <w:r>
        <w:rPr>
          <w:spacing w:val="8"/>
          <w:sz w:val="19"/>
          <w:szCs w:val="19"/>
        </w:rPr>
        <w:t>处理和承担责任；由此导致展会方损失的，展会方有权向参</w:t>
      </w:r>
      <w:r>
        <w:rPr>
          <w:spacing w:val="7"/>
          <w:sz w:val="19"/>
          <w:szCs w:val="19"/>
        </w:rPr>
        <w:t>展单位全额追偿（包括但不限于直接损失、</w:t>
      </w:r>
      <w:r>
        <w:rPr>
          <w:spacing w:val="9"/>
          <w:sz w:val="19"/>
          <w:szCs w:val="19"/>
        </w:rPr>
        <w:t>间接损失及展会方与此相关的诉讼费、仲裁费、律师费、公证费、鉴定费等各种费用）。</w:t>
      </w:r>
    </w:p>
    <w:p w14:paraId="713224A1">
      <w:pPr>
        <w:pStyle w:val="3"/>
        <w:spacing w:before="2" w:line="194" w:lineRule="auto"/>
        <w:ind w:left="1" w:right="57" w:firstLine="429"/>
        <w:rPr>
          <w:sz w:val="19"/>
          <w:szCs w:val="19"/>
        </w:rPr>
      </w:pPr>
      <w:r>
        <w:rPr>
          <w:b/>
          <w:bCs/>
          <w:spacing w:val="9"/>
          <w:sz w:val="19"/>
          <w:szCs w:val="19"/>
        </w:rPr>
        <w:t>第四条</w:t>
      </w:r>
      <w:r>
        <w:rPr>
          <w:spacing w:val="9"/>
          <w:sz w:val="19"/>
          <w:szCs w:val="19"/>
        </w:rPr>
        <w:t xml:space="preserve"> </w:t>
      </w:r>
      <w:r>
        <w:rPr>
          <w:b/>
          <w:bCs/>
          <w:spacing w:val="9"/>
          <w:sz w:val="19"/>
          <w:szCs w:val="19"/>
        </w:rPr>
        <w:t>合规条款</w:t>
      </w:r>
      <w:r>
        <w:rPr>
          <w:spacing w:val="9"/>
          <w:sz w:val="19"/>
          <w:szCs w:val="19"/>
        </w:rPr>
        <w:t xml:space="preserve"> 展会方禁止本合同任何一方向另一方、另一方的关联公司及与合作有关的任何</w:t>
      </w:r>
      <w:r>
        <w:rPr>
          <w:spacing w:val="8"/>
          <w:sz w:val="19"/>
          <w:szCs w:val="19"/>
        </w:rPr>
        <w:t>第三方的员工、雇员或管理人员、相关工作人员（</w:t>
      </w:r>
      <w:r>
        <w:rPr>
          <w:spacing w:val="-31"/>
          <w:sz w:val="19"/>
          <w:szCs w:val="19"/>
        </w:rPr>
        <w:t xml:space="preserve"> </w:t>
      </w:r>
      <w:r>
        <w:rPr>
          <w:spacing w:val="8"/>
          <w:sz w:val="19"/>
          <w:szCs w:val="19"/>
        </w:rPr>
        <w:t>以下统称为工作人员</w:t>
      </w:r>
      <w:r>
        <w:rPr>
          <w:spacing w:val="18"/>
          <w:sz w:val="19"/>
          <w:szCs w:val="19"/>
        </w:rPr>
        <w:t>），</w:t>
      </w:r>
      <w:r>
        <w:rPr>
          <w:spacing w:val="7"/>
          <w:sz w:val="19"/>
          <w:szCs w:val="19"/>
        </w:rPr>
        <w:t>直接或间接地进行贿赂/索贿或给付/索取其他不正当利益（</w:t>
      </w:r>
      <w:r>
        <w:rPr>
          <w:spacing w:val="-30"/>
          <w:sz w:val="19"/>
          <w:szCs w:val="19"/>
        </w:rPr>
        <w:t xml:space="preserve"> </w:t>
      </w:r>
      <w:r>
        <w:rPr>
          <w:spacing w:val="7"/>
          <w:sz w:val="19"/>
          <w:szCs w:val="19"/>
        </w:rPr>
        <w:t>一方工作人员有前述行为的，应当认定为该方的行为）。如果发现</w:t>
      </w:r>
      <w:r>
        <w:rPr>
          <w:spacing w:val="10"/>
          <w:sz w:val="19"/>
          <w:szCs w:val="19"/>
        </w:rPr>
        <w:t>展会方工作人员或合作的第三方服务商有上述违规行为，请直接与展会方联</w:t>
      </w:r>
      <w:r>
        <w:rPr>
          <w:spacing w:val="9"/>
          <w:sz w:val="19"/>
          <w:szCs w:val="19"/>
        </w:rPr>
        <w:t>系，查证属实的，展会方</w:t>
      </w:r>
      <w:r>
        <w:rPr>
          <w:spacing w:val="10"/>
          <w:sz w:val="19"/>
          <w:szCs w:val="19"/>
        </w:rPr>
        <w:t>将根据相关廉政规定予以处理；如果发现参展单位有上述违规行为，展会方</w:t>
      </w:r>
      <w:r>
        <w:rPr>
          <w:spacing w:val="9"/>
          <w:sz w:val="19"/>
          <w:szCs w:val="19"/>
        </w:rPr>
        <w:t>有权单方解除本合同并无需承担任何法律责任，</w:t>
      </w:r>
      <w:r>
        <w:rPr>
          <w:spacing w:val="-57"/>
          <w:sz w:val="19"/>
          <w:szCs w:val="19"/>
        </w:rPr>
        <w:t xml:space="preserve"> </w:t>
      </w:r>
      <w:r>
        <w:rPr>
          <w:spacing w:val="9"/>
          <w:sz w:val="19"/>
          <w:szCs w:val="19"/>
        </w:rPr>
        <w:t>同时有权另行安排相关展位，参展单位已</w:t>
      </w:r>
      <w:r>
        <w:rPr>
          <w:spacing w:val="8"/>
          <w:sz w:val="19"/>
          <w:szCs w:val="19"/>
        </w:rPr>
        <w:t>交的展位费作为违约金不予退还。</w:t>
      </w:r>
    </w:p>
    <w:p w14:paraId="330F8480">
      <w:pPr>
        <w:pStyle w:val="3"/>
        <w:spacing w:before="1" w:line="194" w:lineRule="auto"/>
        <w:ind w:right="81" w:firstLine="430"/>
        <w:rPr>
          <w:sz w:val="19"/>
          <w:szCs w:val="19"/>
        </w:rPr>
      </w:pPr>
      <w:r>
        <w:rPr>
          <w:b/>
          <w:bCs/>
          <w:spacing w:val="9"/>
          <w:sz w:val="19"/>
          <w:szCs w:val="19"/>
        </w:rPr>
        <w:t>第五条</w:t>
      </w:r>
      <w:r>
        <w:rPr>
          <w:spacing w:val="9"/>
          <w:sz w:val="19"/>
          <w:szCs w:val="19"/>
        </w:rPr>
        <w:t xml:space="preserve">  双方应对本合同完全保密，除非因对本协议有管辖权的任何政府机关根据有关的法规或</w:t>
      </w:r>
      <w:r>
        <w:rPr>
          <w:spacing w:val="10"/>
          <w:sz w:val="19"/>
          <w:szCs w:val="19"/>
        </w:rPr>
        <w:t>规定而有所要求，否则未经另一方事先书面同意，任何一方不得把与本合同及</w:t>
      </w:r>
      <w:r>
        <w:rPr>
          <w:spacing w:val="9"/>
          <w:sz w:val="19"/>
          <w:szCs w:val="19"/>
        </w:rPr>
        <w:t>有关资料向与本合同履行无关的第三方披露。本合同保密期为签订本合同之日起至合同终止后一年。</w:t>
      </w:r>
    </w:p>
    <w:p w14:paraId="69069189">
      <w:pPr>
        <w:pStyle w:val="3"/>
        <w:spacing w:line="195" w:lineRule="auto"/>
        <w:ind w:left="431"/>
        <w:rPr>
          <w:sz w:val="19"/>
          <w:szCs w:val="19"/>
        </w:rPr>
      </w:pPr>
      <w:r>
        <w:rPr>
          <w:b/>
          <w:bCs/>
          <w:spacing w:val="3"/>
          <w:sz w:val="19"/>
          <w:szCs w:val="19"/>
        </w:rPr>
        <w:t>第六条</w:t>
      </w:r>
      <w:r>
        <w:rPr>
          <w:spacing w:val="14"/>
          <w:sz w:val="19"/>
          <w:szCs w:val="19"/>
        </w:rPr>
        <w:t xml:space="preserve">  </w:t>
      </w:r>
      <w:r>
        <w:rPr>
          <w:b/>
          <w:bCs/>
          <w:spacing w:val="3"/>
          <w:sz w:val="19"/>
          <w:szCs w:val="19"/>
        </w:rPr>
        <w:t>不可抗力</w:t>
      </w:r>
    </w:p>
    <w:p w14:paraId="517E9604">
      <w:pPr>
        <w:pStyle w:val="3"/>
        <w:spacing w:before="1" w:line="194" w:lineRule="auto"/>
        <w:ind w:right="59" w:firstLine="430"/>
        <w:rPr>
          <w:sz w:val="19"/>
          <w:szCs w:val="19"/>
        </w:rPr>
      </w:pPr>
      <w:r>
        <w:rPr>
          <w:b/>
          <w:bCs/>
          <w:spacing w:val="8"/>
          <w:sz w:val="19"/>
          <w:szCs w:val="19"/>
          <w:u w:val="single" w:color="auto"/>
        </w:rPr>
        <w:t>6.1</w:t>
      </w:r>
      <w:r>
        <w:rPr>
          <w:spacing w:val="8"/>
          <w:sz w:val="19"/>
          <w:szCs w:val="19"/>
          <w:u w:val="single" w:color="auto"/>
        </w:rPr>
        <w:t xml:space="preserve"> </w:t>
      </w:r>
      <w:r>
        <w:rPr>
          <w:b/>
          <w:bCs/>
          <w:spacing w:val="8"/>
          <w:sz w:val="19"/>
          <w:szCs w:val="19"/>
          <w:u w:val="single" w:color="auto"/>
        </w:rPr>
        <w:t>如因展会主办方变更展会时间、地点或取消举办等事件，影</w:t>
      </w:r>
      <w:r>
        <w:rPr>
          <w:b/>
          <w:bCs/>
          <w:spacing w:val="7"/>
          <w:sz w:val="19"/>
          <w:szCs w:val="19"/>
          <w:u w:val="single" w:color="auto"/>
        </w:rPr>
        <w:t>响合同的履行的，展会方将原路</w:t>
      </w:r>
      <w:r>
        <w:rPr>
          <w:b/>
          <w:bCs/>
          <w:spacing w:val="9"/>
          <w:sz w:val="19"/>
          <w:szCs w:val="19"/>
          <w:u w:val="single" w:color="auto"/>
        </w:rPr>
        <w:t>全额无息退还参展单位已支付的参展费用，本参展合同</w:t>
      </w:r>
      <w:r>
        <w:rPr>
          <w:b/>
          <w:bCs/>
          <w:spacing w:val="8"/>
          <w:sz w:val="19"/>
          <w:szCs w:val="19"/>
          <w:u w:val="single" w:color="auto"/>
        </w:rPr>
        <w:t>终止。本参展合同因此终止的，不构成展会方</w:t>
      </w:r>
      <w:r>
        <w:rPr>
          <w:b/>
          <w:bCs/>
          <w:spacing w:val="9"/>
          <w:sz w:val="19"/>
          <w:szCs w:val="19"/>
          <w:u w:val="single" w:color="auto"/>
        </w:rPr>
        <w:t>违约，展会方无需承担因此产生的违约责任，参展单位不得就其可能遭受的损失要</w:t>
      </w:r>
      <w:r>
        <w:rPr>
          <w:b/>
          <w:bCs/>
          <w:spacing w:val="8"/>
          <w:sz w:val="19"/>
          <w:szCs w:val="19"/>
          <w:u w:val="single" w:color="auto"/>
        </w:rPr>
        <w:t>求损害赔偿。</w:t>
      </w:r>
    </w:p>
    <w:p w14:paraId="6EB6BC54">
      <w:pPr>
        <w:pStyle w:val="3"/>
        <w:spacing w:before="2" w:line="194" w:lineRule="auto"/>
        <w:ind w:left="6" w:right="81" w:firstLine="423"/>
        <w:jc w:val="both"/>
        <w:rPr>
          <w:sz w:val="19"/>
          <w:szCs w:val="19"/>
        </w:rPr>
      </w:pPr>
      <w:r>
        <w:rPr>
          <w:spacing w:val="7"/>
          <w:sz w:val="19"/>
          <w:szCs w:val="19"/>
        </w:rPr>
        <w:t>6.2 在合同履行期间，</w:t>
      </w:r>
      <w:r>
        <w:rPr>
          <w:spacing w:val="-43"/>
          <w:sz w:val="19"/>
          <w:szCs w:val="19"/>
        </w:rPr>
        <w:t xml:space="preserve"> </w:t>
      </w:r>
      <w:r>
        <w:rPr>
          <w:spacing w:val="7"/>
          <w:sz w:val="19"/>
          <w:szCs w:val="19"/>
        </w:rPr>
        <w:t>由于地震、</w:t>
      </w:r>
      <w:r>
        <w:rPr>
          <w:spacing w:val="-53"/>
          <w:sz w:val="19"/>
          <w:szCs w:val="19"/>
        </w:rPr>
        <w:t xml:space="preserve"> </w:t>
      </w:r>
      <w:r>
        <w:rPr>
          <w:spacing w:val="7"/>
          <w:sz w:val="19"/>
          <w:szCs w:val="19"/>
        </w:rPr>
        <w:t>台风、水灾、火灾、战争、疫情、政府命令等不可预见、不可</w:t>
      </w:r>
      <w:r>
        <w:rPr>
          <w:spacing w:val="10"/>
          <w:sz w:val="19"/>
          <w:szCs w:val="19"/>
        </w:rPr>
        <w:t>克服、不可避免的事件（罢工除外）使得合同难以继续履行，</w:t>
      </w:r>
      <w:r>
        <w:rPr>
          <w:spacing w:val="9"/>
          <w:sz w:val="19"/>
          <w:szCs w:val="19"/>
        </w:rPr>
        <w:t>或继续履行合同将使履行成本过高，从</w:t>
      </w:r>
      <w:r>
        <w:rPr>
          <w:spacing w:val="10"/>
          <w:sz w:val="19"/>
          <w:szCs w:val="19"/>
        </w:rPr>
        <w:t>而直接影响合同的履行的，事件遭遇方应立即将事件情况通知</w:t>
      </w:r>
      <w:r>
        <w:rPr>
          <w:spacing w:val="9"/>
          <w:sz w:val="19"/>
          <w:szCs w:val="19"/>
        </w:rPr>
        <w:t>合同相对方，并应在事后三天内向对方</w:t>
      </w:r>
      <w:r>
        <w:rPr>
          <w:spacing w:val="10"/>
          <w:sz w:val="19"/>
          <w:szCs w:val="19"/>
        </w:rPr>
        <w:t>书面说明事件的详细情况并提供有效证明文件。按事件对履行</w:t>
      </w:r>
      <w:r>
        <w:rPr>
          <w:spacing w:val="9"/>
          <w:sz w:val="19"/>
          <w:szCs w:val="19"/>
        </w:rPr>
        <w:t>合同影响的程度，展会方有权推迟、缩短、延长或者取消个别或全部展会。在由此而发生任何推迟</w:t>
      </w:r>
      <w:r>
        <w:rPr>
          <w:spacing w:val="8"/>
          <w:sz w:val="19"/>
          <w:szCs w:val="19"/>
        </w:rPr>
        <w:t>、缩短、延长或者取消展会时，</w:t>
      </w:r>
      <w:r>
        <w:rPr>
          <w:spacing w:val="-50"/>
          <w:sz w:val="19"/>
          <w:szCs w:val="19"/>
        </w:rPr>
        <w:t xml:space="preserve"> </w:t>
      </w:r>
      <w:r>
        <w:rPr>
          <w:spacing w:val="8"/>
          <w:sz w:val="19"/>
          <w:szCs w:val="19"/>
        </w:rPr>
        <w:t>由双方协</w:t>
      </w:r>
      <w:r>
        <w:rPr>
          <w:spacing w:val="9"/>
          <w:sz w:val="19"/>
          <w:szCs w:val="19"/>
        </w:rPr>
        <w:t>商解决，双方均不承担因此产生的违约责任，参展单位不得就其可能遭受的损失要求损害赔偿。</w:t>
      </w:r>
    </w:p>
    <w:p w14:paraId="0CF6B1B5">
      <w:pPr>
        <w:pStyle w:val="3"/>
        <w:spacing w:line="194" w:lineRule="auto"/>
        <w:ind w:right="57" w:firstLine="430"/>
        <w:rPr>
          <w:sz w:val="19"/>
          <w:szCs w:val="19"/>
        </w:rPr>
      </w:pPr>
      <w:r>
        <w:rPr>
          <w:b/>
          <w:bCs/>
          <w:spacing w:val="8"/>
          <w:sz w:val="19"/>
          <w:szCs w:val="19"/>
        </w:rPr>
        <w:t>第七条</w:t>
      </w:r>
      <w:r>
        <w:rPr>
          <w:spacing w:val="8"/>
          <w:sz w:val="19"/>
          <w:szCs w:val="19"/>
        </w:rPr>
        <w:t xml:space="preserve"> 若在履行本合同中发生了争议，双方应友好</w:t>
      </w:r>
      <w:r>
        <w:rPr>
          <w:spacing w:val="7"/>
          <w:sz w:val="19"/>
          <w:szCs w:val="19"/>
        </w:rPr>
        <w:t>协商解决。如协商开始之日起十五天内不能解</w:t>
      </w:r>
      <w:r>
        <w:rPr>
          <w:spacing w:val="10"/>
          <w:sz w:val="19"/>
          <w:szCs w:val="19"/>
        </w:rPr>
        <w:t>决的，则提交广州仲裁委员会（不包括广州仲裁委员会设立的南沙国际仲裁中</w:t>
      </w:r>
      <w:r>
        <w:rPr>
          <w:spacing w:val="9"/>
          <w:sz w:val="19"/>
          <w:szCs w:val="19"/>
        </w:rPr>
        <w:t>心及其他分会）根据现</w:t>
      </w:r>
      <w:r>
        <w:rPr>
          <w:spacing w:val="10"/>
          <w:sz w:val="19"/>
          <w:szCs w:val="19"/>
        </w:rPr>
        <w:t>行有效的仲裁规则在广州仲裁，适用中华人民共和国法律（仅为本合同之目的</w:t>
      </w:r>
      <w:r>
        <w:rPr>
          <w:spacing w:val="9"/>
          <w:sz w:val="19"/>
          <w:szCs w:val="19"/>
        </w:rPr>
        <w:t>，不包括中华人民共和国香港特别行政区、澳门特别行政区和台湾地区的法</w:t>
      </w:r>
      <w:r>
        <w:rPr>
          <w:spacing w:val="8"/>
          <w:sz w:val="19"/>
          <w:szCs w:val="19"/>
        </w:rPr>
        <w:t>律/规定）。</w:t>
      </w:r>
    </w:p>
    <w:p w14:paraId="2AD9FCBA">
      <w:pPr>
        <w:pStyle w:val="3"/>
        <w:spacing w:before="2" w:line="194" w:lineRule="auto"/>
        <w:ind w:left="17" w:right="78" w:firstLine="413"/>
        <w:rPr>
          <w:sz w:val="19"/>
          <w:szCs w:val="19"/>
        </w:rPr>
      </w:pPr>
      <w:r>
        <w:rPr>
          <w:b/>
          <w:bCs/>
          <w:spacing w:val="9"/>
          <w:sz w:val="19"/>
          <w:szCs w:val="19"/>
        </w:rPr>
        <w:t>第八条</w:t>
      </w:r>
      <w:r>
        <w:rPr>
          <w:spacing w:val="9"/>
          <w:sz w:val="19"/>
          <w:szCs w:val="19"/>
        </w:rPr>
        <w:t xml:space="preserve"> 本合同自双方盖章之日起生效，至本合同项下各项义务全部履行完毕为止,双方另有约定</w:t>
      </w:r>
      <w:r>
        <w:rPr>
          <w:spacing w:val="8"/>
          <w:sz w:val="19"/>
          <w:szCs w:val="19"/>
        </w:rPr>
        <w:t>的除外。本合同修改、补充、变更由双方另行签订书面协议。</w:t>
      </w:r>
    </w:p>
    <w:p w14:paraId="6AC4EB41">
      <w:pPr>
        <w:pStyle w:val="3"/>
        <w:spacing w:before="1" w:line="193" w:lineRule="auto"/>
        <w:ind w:left="2" w:right="57" w:firstLine="428"/>
        <w:rPr>
          <w:sz w:val="19"/>
          <w:szCs w:val="19"/>
        </w:rPr>
      </w:pPr>
      <w:r>
        <w:rPr>
          <w:b/>
          <w:bCs/>
          <w:spacing w:val="8"/>
          <w:sz w:val="19"/>
          <w:szCs w:val="19"/>
        </w:rPr>
        <w:t>第九条</w:t>
      </w:r>
      <w:r>
        <w:rPr>
          <w:spacing w:val="8"/>
          <w:sz w:val="19"/>
          <w:szCs w:val="19"/>
        </w:rPr>
        <w:t xml:space="preserve"> 本合同的附件包括：《参展商手册》、《展</w:t>
      </w:r>
      <w:r>
        <w:rPr>
          <w:spacing w:val="7"/>
          <w:sz w:val="19"/>
          <w:szCs w:val="19"/>
        </w:rPr>
        <w:t>位平面图》、《展位确认书》，为本合同不可分割的组成部分。</w:t>
      </w:r>
    </w:p>
    <w:p w14:paraId="03478C38">
      <w:pPr>
        <w:pStyle w:val="3"/>
        <w:spacing w:before="3" w:line="201" w:lineRule="auto"/>
        <w:ind w:left="11" w:right="78" w:firstLine="419"/>
        <w:rPr>
          <w:sz w:val="19"/>
          <w:szCs w:val="19"/>
        </w:rPr>
      </w:pPr>
      <w:r>
        <w:rPr>
          <w:b/>
          <w:bCs/>
          <w:spacing w:val="9"/>
          <w:sz w:val="19"/>
          <w:szCs w:val="19"/>
        </w:rPr>
        <w:t>第十条</w:t>
      </w:r>
      <w:r>
        <w:rPr>
          <w:spacing w:val="9"/>
          <w:sz w:val="19"/>
          <w:szCs w:val="19"/>
        </w:rPr>
        <w:t xml:space="preserve"> 本合同生效后，不得因合同任何一方承办人或法定代表人的变更而失效和/或解除。任何</w:t>
      </w:r>
      <w:r>
        <w:rPr>
          <w:spacing w:val="10"/>
          <w:sz w:val="19"/>
          <w:szCs w:val="19"/>
        </w:rPr>
        <w:t>一方发生合并、分立、解散、破产清算等事由的，应</w:t>
      </w:r>
      <w:r>
        <w:rPr>
          <w:spacing w:val="9"/>
          <w:sz w:val="19"/>
          <w:szCs w:val="19"/>
        </w:rPr>
        <w:t>当在不迟于其权力机关或主管机关就该等事由做</w:t>
      </w:r>
      <w:r>
        <w:rPr>
          <w:spacing w:val="7"/>
          <w:sz w:val="19"/>
          <w:szCs w:val="19"/>
        </w:rPr>
        <w:t>出决议或决定之日起三个工作日</w:t>
      </w:r>
      <w:r>
        <w:rPr>
          <w:spacing w:val="-57"/>
          <w:sz w:val="19"/>
          <w:szCs w:val="19"/>
        </w:rPr>
        <w:t xml:space="preserve"> </w:t>
      </w:r>
      <w:r>
        <w:rPr>
          <w:spacing w:val="7"/>
          <w:sz w:val="19"/>
          <w:szCs w:val="19"/>
        </w:rPr>
        <w:t>内书面通知另一方，</w:t>
      </w:r>
      <w:r>
        <w:rPr>
          <w:spacing w:val="-46"/>
          <w:sz w:val="19"/>
          <w:szCs w:val="19"/>
        </w:rPr>
        <w:t xml:space="preserve"> </w:t>
      </w:r>
      <w:r>
        <w:rPr>
          <w:spacing w:val="7"/>
          <w:sz w:val="19"/>
          <w:szCs w:val="19"/>
        </w:rPr>
        <w:t>由双方</w:t>
      </w:r>
      <w:r>
        <w:rPr>
          <w:spacing w:val="6"/>
          <w:sz w:val="19"/>
          <w:szCs w:val="19"/>
        </w:rPr>
        <w:t>协商确定合同的履行安排。</w:t>
      </w:r>
      <w:r>
        <w:rPr>
          <w:spacing w:val="-53"/>
          <w:sz w:val="19"/>
          <w:szCs w:val="19"/>
        </w:rPr>
        <w:t xml:space="preserve"> </w:t>
      </w:r>
      <w:r>
        <w:rPr>
          <w:spacing w:val="6"/>
          <w:sz w:val="19"/>
          <w:szCs w:val="19"/>
        </w:rPr>
        <w:t>一方未按本条</w:t>
      </w:r>
      <w:r>
        <w:rPr>
          <w:spacing w:val="9"/>
          <w:sz w:val="19"/>
          <w:szCs w:val="19"/>
        </w:rPr>
        <w:t>约定作出通知的，另一方有权解除本合同，该方已支付的费用不予退还。</w:t>
      </w:r>
    </w:p>
    <w:p w14:paraId="18922F05">
      <w:pPr>
        <w:spacing w:before="161" w:line="195" w:lineRule="auto"/>
        <w:ind w:left="1797"/>
        <w:rPr>
          <w:rFonts w:ascii="宋体" w:hAnsi="宋体" w:eastAsia="宋体" w:cs="宋体"/>
          <w:sz w:val="20"/>
          <w:szCs w:val="20"/>
        </w:rPr>
      </w:pPr>
      <w:r>
        <w:rPr>
          <w:rFonts w:ascii="宋体" w:hAnsi="宋体" w:eastAsia="宋体" w:cs="宋体"/>
          <w:b/>
          <w:bCs/>
          <w:spacing w:val="6"/>
          <w:sz w:val="19"/>
          <w:szCs w:val="19"/>
        </w:rPr>
        <w:t>展会方</w:t>
      </w:r>
      <w:r>
        <w:rPr>
          <w:rFonts w:ascii="宋体" w:hAnsi="宋体" w:eastAsia="宋体" w:cs="宋体"/>
          <w:spacing w:val="-51"/>
          <w:sz w:val="19"/>
          <w:szCs w:val="19"/>
        </w:rPr>
        <w:t xml:space="preserve"> </w:t>
      </w:r>
      <w:r>
        <w:rPr>
          <w:rFonts w:ascii="宋体" w:hAnsi="宋体" w:eastAsia="宋体" w:cs="宋体"/>
          <w:b/>
          <w:bCs/>
          <w:spacing w:val="6"/>
          <w:sz w:val="19"/>
          <w:szCs w:val="19"/>
        </w:rPr>
        <w:t>：</w:t>
      </w:r>
      <w:r>
        <w:rPr>
          <w:rFonts w:ascii="宋体" w:hAnsi="宋体" w:eastAsia="宋体" w:cs="宋体"/>
          <w:spacing w:val="6"/>
          <w:sz w:val="19"/>
          <w:szCs w:val="19"/>
        </w:rPr>
        <w:t xml:space="preserve"> </w:t>
      </w:r>
      <w:r>
        <w:rPr>
          <w:rFonts w:ascii="宋体" w:hAnsi="宋体" w:eastAsia="宋体" w:cs="宋体"/>
          <w:b/>
          <w:bCs/>
          <w:spacing w:val="6"/>
          <w:sz w:val="19"/>
          <w:szCs w:val="19"/>
        </w:rPr>
        <w:t>中国对外贸易广州展览有限公司</w:t>
      </w:r>
      <w:r>
        <w:rPr>
          <w:rFonts w:ascii="宋体" w:hAnsi="宋体" w:eastAsia="宋体" w:cs="宋体"/>
          <w:sz w:val="19"/>
          <w:szCs w:val="19"/>
        </w:rPr>
        <w:t xml:space="preserve">                    </w:t>
      </w:r>
      <w:r>
        <w:rPr>
          <w:rFonts w:ascii="宋体" w:hAnsi="宋体" w:eastAsia="宋体" w:cs="宋体"/>
          <w:b/>
          <w:bCs/>
          <w:spacing w:val="6"/>
          <w:sz w:val="19"/>
          <w:szCs w:val="19"/>
        </w:rPr>
        <w:t>参展单位</w:t>
      </w:r>
      <w:r>
        <w:rPr>
          <w:rFonts w:ascii="宋体" w:hAnsi="宋体" w:eastAsia="宋体" w:cs="宋体"/>
          <w:spacing w:val="6"/>
          <w:sz w:val="20"/>
          <w:szCs w:val="20"/>
        </w:rPr>
        <w:t>：</w:t>
      </w:r>
    </w:p>
    <w:p w14:paraId="187B61A9">
      <w:pPr>
        <w:spacing w:before="1" w:line="239" w:lineRule="auto"/>
        <w:ind w:left="7189"/>
        <w:rPr>
          <w:rFonts w:ascii="宋体" w:hAnsi="宋体" w:eastAsia="宋体" w:cs="宋体"/>
          <w:sz w:val="19"/>
          <w:szCs w:val="19"/>
        </w:rPr>
      </w:pPr>
      <w:r>
        <w:rPr>
          <w:rFonts w:ascii="宋体" w:hAnsi="宋体" w:eastAsia="宋体" w:cs="宋体"/>
          <w:b/>
          <w:bCs/>
          <w:spacing w:val="9"/>
          <w:sz w:val="19"/>
          <w:szCs w:val="19"/>
        </w:rPr>
        <w:t>（请盖章确认）</w:t>
      </w:r>
    </w:p>
    <w:p w14:paraId="11F5CA1F">
      <w:pPr>
        <w:spacing w:line="239" w:lineRule="auto"/>
        <w:rPr>
          <w:rFonts w:ascii="宋体" w:hAnsi="宋体" w:eastAsia="宋体" w:cs="宋体"/>
          <w:sz w:val="19"/>
          <w:szCs w:val="19"/>
        </w:rPr>
        <w:sectPr>
          <w:footerReference r:id="rId19" w:type="default"/>
          <w:pgSz w:w="11907" w:h="16840"/>
          <w:pgMar w:top="400" w:right="1473" w:bottom="1025" w:left="1538" w:header="0" w:footer="771" w:gutter="0"/>
          <w:cols w:space="720" w:num="1"/>
        </w:sectPr>
      </w:pPr>
    </w:p>
    <w:p w14:paraId="2BDAF109">
      <w:pPr>
        <w:spacing w:line="267" w:lineRule="auto"/>
        <w:rPr>
          <w:rFonts w:ascii="Arial"/>
          <w:sz w:val="21"/>
        </w:rPr>
      </w:pPr>
    </w:p>
    <w:p w14:paraId="702F9EE8">
      <w:pPr>
        <w:spacing w:line="267" w:lineRule="auto"/>
        <w:rPr>
          <w:rFonts w:ascii="Arial"/>
          <w:sz w:val="21"/>
        </w:rPr>
      </w:pPr>
    </w:p>
    <w:p w14:paraId="39BC7E4E">
      <w:pPr>
        <w:spacing w:line="268" w:lineRule="auto"/>
        <w:rPr>
          <w:rFonts w:ascii="Arial"/>
          <w:sz w:val="21"/>
        </w:rPr>
      </w:pPr>
    </w:p>
    <w:p w14:paraId="22775451">
      <w:pPr>
        <w:spacing w:line="268" w:lineRule="auto"/>
        <w:rPr>
          <w:rFonts w:ascii="Arial"/>
          <w:sz w:val="21"/>
        </w:rPr>
      </w:pPr>
    </w:p>
    <w:p w14:paraId="6DE24A15">
      <w:pPr>
        <w:spacing w:before="101" w:line="212" w:lineRule="auto"/>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0"/>
          <w:sz w:val="31"/>
          <w:szCs w:val="31"/>
        </w:rPr>
        <w:t xml:space="preserve"> </w:t>
      </w:r>
      <w:r>
        <w:rPr>
          <w:rFonts w:ascii="黑体" w:hAnsi="黑体" w:eastAsia="黑体" w:cs="黑体"/>
          <w:spacing w:val="-4"/>
          <w:sz w:val="31"/>
          <w:szCs w:val="31"/>
        </w:rPr>
        <w:t>7</w:t>
      </w:r>
    </w:p>
    <w:p w14:paraId="16DE7892">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0"/>
        <w:rPr>
          <w:rFonts w:hint="eastAsia" w:ascii="方正大标宋简体" w:hAnsi="方正大标宋简体" w:eastAsia="方正大标宋简体" w:cs="方正大标宋简体"/>
          <w:color w:val="auto"/>
          <w:spacing w:val="-6"/>
          <w:sz w:val="44"/>
          <w:szCs w:val="44"/>
          <w:highlight w:val="none"/>
        </w:rPr>
      </w:pPr>
      <w:r>
        <w:rPr>
          <w:rFonts w:hint="eastAsia" w:ascii="方正大标宋简体" w:hAnsi="方正大标宋简体" w:eastAsia="方正大标宋简体" w:cs="方正大标宋简体"/>
          <w:color w:val="auto"/>
          <w:spacing w:val="-6"/>
          <w:sz w:val="44"/>
          <w:szCs w:val="44"/>
          <w:highlight w:val="none"/>
          <w:lang w:val="en-US" w:eastAsia="zh-CN"/>
        </w:rPr>
        <w:t>2026</w:t>
      </w:r>
      <w:r>
        <w:rPr>
          <w:rFonts w:hint="eastAsia" w:ascii="方正大标宋简体" w:hAnsi="方正大标宋简体" w:eastAsia="方正大标宋简体" w:cs="方正大标宋简体"/>
          <w:color w:val="auto"/>
          <w:spacing w:val="-6"/>
          <w:sz w:val="44"/>
          <w:szCs w:val="44"/>
          <w:highlight w:val="none"/>
        </w:rPr>
        <w:t>粤港澳大湾区服务贸易大会</w:t>
      </w:r>
    </w:p>
    <w:p w14:paraId="7E251679">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0"/>
        <w:rPr>
          <w:rFonts w:hint="default" w:ascii="方正大标宋简体" w:hAnsi="方正大标宋简体" w:eastAsia="方正大标宋简体" w:cs="方正大标宋简体"/>
          <w:color w:val="auto"/>
          <w:spacing w:val="-6"/>
          <w:sz w:val="44"/>
          <w:szCs w:val="44"/>
          <w:highlight w:val="none"/>
          <w:lang w:val="en-US" w:eastAsia="zh-CN"/>
        </w:rPr>
      </w:pPr>
      <w:r>
        <w:rPr>
          <w:rFonts w:hint="eastAsia" w:ascii="方正大标宋简体" w:hAnsi="方正大标宋简体" w:eastAsia="方正大标宋简体" w:cs="方正大标宋简体"/>
          <w:color w:val="auto"/>
          <w:spacing w:val="-6"/>
          <w:sz w:val="44"/>
          <w:szCs w:val="44"/>
          <w:highlight w:val="none"/>
          <w:lang w:val="en-US" w:eastAsia="zh-CN"/>
        </w:rPr>
        <w:t>总体安排</w:t>
      </w:r>
    </w:p>
    <w:p w14:paraId="75D123AD">
      <w:pPr>
        <w:pStyle w:val="2"/>
        <w:keepNext w:val="0"/>
        <w:keepLines w:val="0"/>
        <w:pageBreakBefore w:val="0"/>
        <w:widowControl w:val="0"/>
        <w:kinsoku/>
        <w:wordWrap/>
        <w:overflowPunct/>
        <w:topLinePunct w:val="0"/>
        <w:autoSpaceDE/>
        <w:autoSpaceDN/>
        <w:bidi w:val="0"/>
        <w:adjustRightInd/>
        <w:snapToGrid/>
        <w:spacing w:line="579" w:lineRule="exact"/>
        <w:ind w:firstLine="0" w:firstLineChars="0"/>
        <w:jc w:val="both"/>
        <w:textAlignment w:val="auto"/>
        <w:rPr>
          <w:rFonts w:hint="eastAsia" w:ascii="仿宋" w:hAnsi="仿宋" w:eastAsia="仿宋" w:cs="仿宋"/>
          <w:color w:val="auto"/>
          <w:sz w:val="32"/>
          <w:szCs w:val="32"/>
          <w:highlight w:val="none"/>
          <w:lang w:val="en-US" w:eastAsia="zh-CN"/>
        </w:rPr>
      </w:pPr>
    </w:p>
    <w:p w14:paraId="63173BE9">
      <w:pPr>
        <w:pStyle w:val="3"/>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为贯彻落</w:t>
      </w:r>
      <w:bookmarkStart w:id="0" w:name="_GoBack"/>
      <w:bookmarkEnd w:id="0"/>
      <w:r>
        <w:rPr>
          <w:rFonts w:hint="eastAsia" w:ascii="仿宋_GB2312" w:hAnsi="仿宋_GB2312" w:eastAsia="仿宋_GB2312" w:cs="仿宋_GB2312"/>
          <w:color w:val="auto"/>
          <w:sz w:val="32"/>
          <w:szCs w:val="32"/>
          <w:highlight w:val="none"/>
          <w:lang w:val="en-US" w:eastAsia="zh-CN" w:bidi="ar"/>
        </w:rPr>
        <w:t>实党的二十大及历届全会精神，落实全国、广东省服务业大会精神和省委“1310”具体部署，进一步深化大湾区服务贸易协同联动，推动服务业高质量发展，</w:t>
      </w:r>
      <w:r>
        <w:rPr>
          <w:rFonts w:hint="eastAsia" w:ascii="Times New Roman" w:hAnsi="Times New Roman" w:eastAsia="仿宋_GB2312" w:cs="仿宋_GB2312"/>
          <w:snapToGrid w:val="0"/>
          <w:color w:val="auto"/>
          <w:kern w:val="0"/>
          <w:sz w:val="32"/>
          <w:szCs w:val="32"/>
          <w:highlight w:val="none"/>
          <w:lang w:eastAsia="en-US"/>
        </w:rPr>
        <w:t>广东省商务厅</w:t>
      </w:r>
      <w:r>
        <w:rPr>
          <w:rFonts w:hint="eastAsia" w:ascii="Times New Roman" w:hAnsi="Times New Roman" w:eastAsia="仿宋_GB2312" w:cs="仿宋_GB2312"/>
          <w:snapToGrid w:val="0"/>
          <w:color w:val="auto"/>
          <w:kern w:val="0"/>
          <w:sz w:val="32"/>
          <w:szCs w:val="32"/>
          <w:highlight w:val="none"/>
          <w:lang w:val="en-US" w:eastAsia="zh-CN"/>
        </w:rPr>
        <w:t>继续联合</w:t>
      </w:r>
      <w:r>
        <w:rPr>
          <w:rFonts w:hint="eastAsia" w:ascii="Times New Roman" w:hAnsi="Times New Roman" w:eastAsia="仿宋_GB2312" w:cs="仿宋_GB2312"/>
          <w:snapToGrid w:val="0"/>
          <w:color w:val="auto"/>
          <w:kern w:val="0"/>
          <w:sz w:val="32"/>
          <w:szCs w:val="32"/>
          <w:highlight w:val="none"/>
          <w:lang w:eastAsia="en-US"/>
        </w:rPr>
        <w:t>珠海市人民政府</w:t>
      </w:r>
      <w:r>
        <w:rPr>
          <w:rFonts w:hint="eastAsia" w:ascii="Times New Roman" w:hAnsi="Times New Roman" w:eastAsia="仿宋_GB2312" w:cs="仿宋_GB2312"/>
          <w:snapToGrid w:val="0"/>
          <w:color w:val="auto"/>
          <w:kern w:val="0"/>
          <w:sz w:val="32"/>
          <w:szCs w:val="32"/>
          <w:highlight w:val="none"/>
          <w:lang w:eastAsia="zh-CN"/>
        </w:rPr>
        <w:t>、</w:t>
      </w:r>
      <w:r>
        <w:rPr>
          <w:rFonts w:hint="eastAsia" w:ascii="Times New Roman" w:hAnsi="Times New Roman" w:eastAsia="仿宋_GB2312" w:cs="仿宋_GB2312"/>
          <w:snapToGrid w:val="0"/>
          <w:color w:val="auto"/>
          <w:kern w:val="0"/>
          <w:sz w:val="32"/>
          <w:szCs w:val="32"/>
          <w:highlight w:val="none"/>
          <w:lang w:eastAsia="en-US"/>
        </w:rPr>
        <w:t>香港</w:t>
      </w:r>
      <w:r>
        <w:rPr>
          <w:rFonts w:hint="eastAsia" w:ascii="Times New Roman" w:hAnsi="Times New Roman" w:eastAsia="仿宋_GB2312" w:cs="仿宋_GB2312"/>
          <w:snapToGrid w:val="0"/>
          <w:color w:val="auto"/>
          <w:kern w:val="0"/>
          <w:sz w:val="32"/>
          <w:szCs w:val="32"/>
          <w:highlight w:val="none"/>
          <w:lang w:val="en-US" w:eastAsia="zh-CN"/>
        </w:rPr>
        <w:t>特别行政区政府</w:t>
      </w:r>
      <w:r>
        <w:rPr>
          <w:rFonts w:hint="eastAsia" w:ascii="Times New Roman" w:hAnsi="Times New Roman" w:eastAsia="仿宋_GB2312" w:cs="仿宋_GB2312"/>
          <w:snapToGrid w:val="0"/>
          <w:color w:val="auto"/>
          <w:kern w:val="0"/>
          <w:sz w:val="32"/>
          <w:szCs w:val="32"/>
          <w:highlight w:val="none"/>
          <w:lang w:eastAsia="en-US"/>
        </w:rPr>
        <w:t>商务及经济发展局、澳门</w:t>
      </w:r>
      <w:r>
        <w:rPr>
          <w:rFonts w:hint="eastAsia" w:ascii="Times New Roman" w:hAnsi="Times New Roman" w:eastAsia="仿宋_GB2312" w:cs="仿宋_GB2312"/>
          <w:snapToGrid w:val="0"/>
          <w:color w:val="auto"/>
          <w:kern w:val="0"/>
          <w:sz w:val="32"/>
          <w:szCs w:val="32"/>
          <w:highlight w:val="none"/>
          <w:lang w:val="en-US" w:eastAsia="zh-CN"/>
        </w:rPr>
        <w:t>特别行政区</w:t>
      </w:r>
      <w:r>
        <w:rPr>
          <w:rFonts w:hint="eastAsia" w:ascii="Times New Roman" w:hAnsi="Times New Roman" w:eastAsia="仿宋_GB2312" w:cs="仿宋_GB2312"/>
          <w:snapToGrid w:val="0"/>
          <w:color w:val="auto"/>
          <w:kern w:val="0"/>
          <w:sz w:val="32"/>
          <w:szCs w:val="32"/>
          <w:highlight w:val="none"/>
          <w:lang w:eastAsia="en-US"/>
        </w:rPr>
        <w:t>招商投资促进局</w:t>
      </w:r>
      <w:r>
        <w:rPr>
          <w:rFonts w:hint="eastAsia" w:ascii="Times New Roman" w:hAnsi="Times New Roman" w:eastAsia="仿宋_GB2312" w:cs="仿宋_GB2312"/>
          <w:snapToGrid w:val="0"/>
          <w:color w:val="auto"/>
          <w:kern w:val="0"/>
          <w:sz w:val="32"/>
          <w:szCs w:val="32"/>
          <w:highlight w:val="none"/>
          <w:lang w:val="en-US" w:eastAsia="zh-CN"/>
        </w:rPr>
        <w:t>分别</w:t>
      </w:r>
      <w:r>
        <w:rPr>
          <w:rFonts w:hint="eastAsia" w:ascii="仿宋_GB2312" w:hAnsi="仿宋_GB2312" w:eastAsia="仿宋_GB2312" w:cs="仿宋_GB2312"/>
          <w:color w:val="auto"/>
          <w:sz w:val="32"/>
          <w:szCs w:val="32"/>
          <w:highlight w:val="none"/>
          <w:lang w:val="en-US" w:eastAsia="zh-CN" w:bidi="ar"/>
        </w:rPr>
        <w:t>在广州、珠海举办2026粤港澳大湾区服务贸易大会。有关安排如下：</w:t>
      </w:r>
    </w:p>
    <w:p w14:paraId="18C2C17E">
      <w:pPr>
        <w:numPr>
          <w:ilvl w:val="0"/>
          <w:numId w:val="0"/>
        </w:numPr>
        <w:spacing w:line="579" w:lineRule="exact"/>
        <w:ind w:firstLine="640" w:firstLineChars="200"/>
        <w:outlineLvl w:val="1"/>
        <w:rPr>
          <w:rFonts w:hint="eastAsia"/>
          <w:lang w:val="en-US" w:eastAsia="zh-CN"/>
        </w:rPr>
      </w:pPr>
      <w:r>
        <w:rPr>
          <w:rFonts w:hint="eastAsia" w:ascii="黑体" w:hAnsi="黑体" w:eastAsia="黑体" w:cs="黑体"/>
          <w:b w:val="0"/>
          <w:bCs w:val="0"/>
          <w:color w:val="auto"/>
          <w:sz w:val="32"/>
          <w:szCs w:val="32"/>
          <w:highlight w:val="none"/>
          <w:lang w:val="en-US" w:eastAsia="zh-CN"/>
        </w:rPr>
        <w:t>一、大会基本情况</w:t>
      </w:r>
    </w:p>
    <w:p w14:paraId="3524D7E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（一）主办单位。</w:t>
      </w:r>
    </w:p>
    <w:p w14:paraId="414F1B24">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firstLine="640" w:firstLineChars="200"/>
        <w:jc w:val="both"/>
        <w:textAlignment w:val="baseline"/>
        <w:rPr>
          <w:rFonts w:hint="eastAsia" w:ascii="仿宋_GB2312" w:hAnsi="Calibri" w:eastAsia="仿宋_GB2312" w:cs="仿宋_GB2312"/>
          <w:color w:val="auto"/>
          <w:kern w:val="2"/>
          <w:sz w:val="32"/>
          <w:szCs w:val="32"/>
          <w:vertAlign w:val="baseline"/>
          <w:lang w:val="en-US" w:eastAsia="zh-CN" w:bidi="ar"/>
        </w:rPr>
      </w:pPr>
      <w:r>
        <w:rPr>
          <w:rFonts w:hint="eastAsia" w:ascii="仿宋_GB2312" w:hAnsi="Calibri" w:eastAsia="仿宋_GB2312" w:cs="仿宋_GB2312"/>
          <w:color w:val="auto"/>
          <w:kern w:val="2"/>
          <w:sz w:val="32"/>
          <w:szCs w:val="32"/>
          <w:vertAlign w:val="baseline"/>
          <w:lang w:val="en-US" w:eastAsia="zh-CN" w:bidi="ar"/>
        </w:rPr>
        <w:t>广东省商务厅、珠海市人民政府、香港特别行政区政府商务及经济发展局、澳门特别行政区招商投资促进局</w:t>
      </w:r>
      <w:r>
        <w:rPr>
          <w:rFonts w:hint="eastAsia" w:ascii="仿宋_GB2312" w:eastAsia="仿宋_GB2312" w:cs="仿宋_GB2312"/>
          <w:color w:val="auto"/>
          <w:kern w:val="2"/>
          <w:sz w:val="32"/>
          <w:szCs w:val="32"/>
          <w:vertAlign w:val="baseline"/>
          <w:lang w:val="en-US" w:eastAsia="zh-CN" w:bidi="ar"/>
        </w:rPr>
        <w:t>。</w:t>
      </w:r>
    </w:p>
    <w:p w14:paraId="11F1961B">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（二）大会主题。</w:t>
      </w:r>
    </w:p>
    <w:p w14:paraId="43163BEA">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outlineLvl w:val="3"/>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出海新动能，服贸通全球。</w:t>
      </w:r>
    </w:p>
    <w:p w14:paraId="2F816D0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（三）时间与地点。</w:t>
      </w:r>
    </w:p>
    <w:p w14:paraId="466B7127">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jc w:val="both"/>
        <w:textAlignment w:val="auto"/>
        <w:outlineLvl w:val="3"/>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1.广州展区。</w:t>
      </w:r>
    </w:p>
    <w:p w14:paraId="22ED0F8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时间：2026年11月26日至28日（周四至周六）。</w:t>
      </w:r>
    </w:p>
    <w:p w14:paraId="57FFD34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地点：中国进出口商品交易会展馆B区9.2馆、10.2馆、12.2馆、13.2馆。</w:t>
      </w:r>
    </w:p>
    <w:p w14:paraId="68343847">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jc w:val="both"/>
        <w:textAlignment w:val="auto"/>
        <w:outlineLvl w:val="3"/>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2.珠海展区。</w:t>
      </w:r>
    </w:p>
    <w:p w14:paraId="75066D74">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时间：2026年10月23日至25日（周五至周日）。</w:t>
      </w:r>
    </w:p>
    <w:p w14:paraId="7D00CB4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地点：珠海规划展览馆。</w:t>
      </w:r>
    </w:p>
    <w:p w14:paraId="58917B12">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eastAsia="zh-CN"/>
        </w:rPr>
        <w:t>二、</w:t>
      </w:r>
      <w:r>
        <w:rPr>
          <w:rFonts w:hint="eastAsia" w:ascii="黑体" w:hAnsi="黑体" w:eastAsia="黑体" w:cs="黑体"/>
          <w:b w:val="0"/>
          <w:bCs w:val="0"/>
          <w:color w:val="auto"/>
          <w:sz w:val="32"/>
          <w:szCs w:val="32"/>
          <w:highlight w:val="none"/>
          <w:lang w:val="en-US" w:eastAsia="zh-CN"/>
        </w:rPr>
        <w:t>广州展区规划</w:t>
      </w:r>
      <w:r>
        <w:rPr>
          <w:rFonts w:hint="eastAsia" w:ascii="黑体" w:hAnsi="黑体" w:eastAsia="黑体" w:cs="黑体"/>
          <w:color w:val="auto"/>
          <w:sz w:val="32"/>
          <w:szCs w:val="32"/>
          <w:highlight w:val="none"/>
        </w:rPr>
        <w:t>和活动安排</w:t>
      </w:r>
    </w:p>
    <w:p w14:paraId="490185D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（一）展区规划。</w:t>
      </w:r>
    </w:p>
    <w:p w14:paraId="45071737">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大会整体</w:t>
      </w:r>
      <w:r>
        <w:rPr>
          <w:rFonts w:hint="eastAsia" w:ascii="仿宋_GB2312" w:hAnsi="仿宋_GB2312" w:eastAsia="仿宋_GB2312" w:cs="仿宋_GB2312"/>
          <w:color w:val="auto"/>
          <w:kern w:val="2"/>
          <w:sz w:val="32"/>
          <w:szCs w:val="32"/>
          <w:highlight w:val="none"/>
          <w:lang w:val="en-US" w:eastAsia="zh-CN" w:bidi="ar"/>
        </w:rPr>
        <w:t>规划面积4万平方米，拟设置四大核心主题馆。</w:t>
      </w:r>
    </w:p>
    <w:p w14:paraId="4493D15D">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1.出海服务馆（B区9.2馆）。</w:t>
      </w:r>
      <w:r>
        <w:rPr>
          <w:rFonts w:hint="eastAsia" w:ascii="仿宋_GB2312" w:hAnsi="仿宋_GB2312" w:eastAsia="仿宋_GB2312" w:cs="仿宋_GB2312"/>
          <w:b w:val="0"/>
          <w:bCs w:val="0"/>
          <w:color w:val="auto"/>
          <w:kern w:val="2"/>
          <w:sz w:val="32"/>
          <w:szCs w:val="32"/>
          <w:highlight w:val="none"/>
          <w:lang w:val="en-US" w:eastAsia="zh-CN" w:bidi="ar-SA"/>
        </w:rPr>
        <w:t>设置涉外法律服务、国际组织、国际电信服务、国际会展、跨境金融服务、涉外会计服务、国际投资咨询、国际运输、海外仓等专区，集中展示企业出海全链条配套服务。</w:t>
      </w:r>
    </w:p>
    <w:p w14:paraId="49835632">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2.文旅健康与数字贸易馆（B区10.2馆）。</w:t>
      </w:r>
      <w:r>
        <w:rPr>
          <w:rFonts w:hint="default" w:ascii="仿宋_GB2312" w:hAnsi="仿宋_GB2312" w:eastAsia="仿宋_GB2312" w:cs="仿宋_GB2312"/>
          <w:color w:val="auto"/>
          <w:sz w:val="32"/>
          <w:szCs w:val="32"/>
          <w:highlight w:val="none"/>
        </w:rPr>
        <w:t>设置中医药、国际医疗、文化出口、</w:t>
      </w:r>
      <w:r>
        <w:rPr>
          <w:rFonts w:hint="eastAsia" w:ascii="仿宋_GB2312" w:hAnsi="仿宋_GB2312" w:eastAsia="仿宋_GB2312" w:cs="仿宋_GB2312"/>
          <w:color w:val="auto"/>
          <w:sz w:val="32"/>
          <w:szCs w:val="32"/>
          <w:highlight w:val="none"/>
          <w:lang w:val="en-US" w:eastAsia="zh-CN"/>
        </w:rPr>
        <w:t>检测认证</w:t>
      </w:r>
      <w:r>
        <w:rPr>
          <w:rFonts w:hint="default" w:ascii="仿宋_GB2312" w:hAnsi="仿宋_GB2312" w:eastAsia="仿宋_GB2312" w:cs="仿宋_GB2312"/>
          <w:color w:val="auto"/>
          <w:sz w:val="32"/>
          <w:szCs w:val="32"/>
          <w:highlight w:val="none"/>
        </w:rPr>
        <w:t>专区，集中展示文旅、健康、</w:t>
      </w:r>
      <w:r>
        <w:rPr>
          <w:rFonts w:hint="eastAsia" w:ascii="仿宋_GB2312" w:hAnsi="仿宋_GB2312" w:eastAsia="仿宋_GB2312" w:cs="仿宋_GB2312"/>
          <w:color w:val="auto"/>
          <w:sz w:val="32"/>
          <w:szCs w:val="32"/>
          <w:highlight w:val="none"/>
          <w:lang w:val="en-US" w:eastAsia="zh-CN"/>
        </w:rPr>
        <w:t>检测认证</w:t>
      </w:r>
      <w:r>
        <w:rPr>
          <w:rFonts w:hint="default" w:ascii="仿宋_GB2312" w:hAnsi="仿宋_GB2312" w:eastAsia="仿宋_GB2312" w:cs="仿宋_GB2312"/>
          <w:color w:val="auto"/>
          <w:sz w:val="32"/>
          <w:szCs w:val="32"/>
          <w:highlight w:val="none"/>
        </w:rPr>
        <w:t>领域最新发展成果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设置人工智能、数智应用展区，集中展示数字化服务技术发展及应用成果。</w:t>
      </w:r>
    </w:p>
    <w:p w14:paraId="6DD460F0">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3.汽车出海服务馆（B区12.2馆）。</w:t>
      </w:r>
      <w:r>
        <w:rPr>
          <w:rFonts w:hint="default" w:ascii="仿宋_GB2312" w:hAnsi="仿宋_GB2312" w:eastAsia="仿宋_GB2312" w:cs="仿宋_GB2312"/>
          <w:b w:val="0"/>
          <w:bCs w:val="0"/>
          <w:color w:val="auto"/>
          <w:kern w:val="2"/>
          <w:sz w:val="32"/>
          <w:szCs w:val="32"/>
          <w:highlight w:val="none"/>
          <w:lang w:val="en-US" w:eastAsia="zh-CN" w:bidi="ar-SA"/>
        </w:rPr>
        <w:t>设置</w:t>
      </w:r>
      <w:r>
        <w:rPr>
          <w:rFonts w:hint="eastAsia" w:ascii="仿宋_GB2312" w:hAnsi="仿宋_GB2312" w:eastAsia="仿宋_GB2312" w:cs="仿宋_GB2312"/>
          <w:b w:val="0"/>
          <w:bCs w:val="0"/>
          <w:color w:val="auto"/>
          <w:kern w:val="2"/>
          <w:sz w:val="32"/>
          <w:szCs w:val="32"/>
          <w:highlight w:val="none"/>
          <w:lang w:val="en-US" w:eastAsia="zh-CN" w:bidi="ar-SA"/>
        </w:rPr>
        <w:t>华商GO出海综合服务港、</w:t>
      </w:r>
      <w:r>
        <w:rPr>
          <w:rFonts w:hint="default" w:ascii="仿宋_GB2312" w:hAnsi="仿宋_GB2312" w:eastAsia="仿宋_GB2312" w:cs="仿宋_GB2312"/>
          <w:b w:val="0"/>
          <w:bCs w:val="0"/>
          <w:color w:val="auto"/>
          <w:kern w:val="2"/>
          <w:sz w:val="32"/>
          <w:szCs w:val="32"/>
          <w:highlight w:val="none"/>
          <w:lang w:val="en-US" w:eastAsia="zh-CN" w:bidi="ar-SA"/>
        </w:rPr>
        <w:t>汽车出口服务、广东二手车跨国采购对接大会等专区，为汽车出口提供全链条一站式服务</w:t>
      </w:r>
      <w:r>
        <w:rPr>
          <w:rFonts w:hint="eastAsia" w:ascii="仿宋_GB2312" w:hAnsi="仿宋_GB2312" w:eastAsia="仿宋_GB2312" w:cs="仿宋_GB2312"/>
          <w:b w:val="0"/>
          <w:bCs w:val="0"/>
          <w:color w:val="auto"/>
          <w:kern w:val="2"/>
          <w:sz w:val="32"/>
          <w:szCs w:val="32"/>
          <w:highlight w:val="none"/>
          <w:lang w:val="en-US" w:eastAsia="zh-CN" w:bidi="ar-SA"/>
        </w:rPr>
        <w:t>。</w:t>
      </w:r>
    </w:p>
    <w:p w14:paraId="18839483">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仿宋_GB2312" w:hAnsi="仿宋_GB2312" w:eastAsia="仿宋_GB2312" w:cs="仿宋_GB2312"/>
          <w:b/>
          <w:bCs/>
          <w:color w:val="auto"/>
          <w:sz w:val="32"/>
          <w:szCs w:val="32"/>
          <w:highlight w:val="none"/>
        </w:rPr>
        <w:t>临床研究和临床试验国际合作交流</w:t>
      </w:r>
      <w:r>
        <w:rPr>
          <w:rFonts w:hint="eastAsia" w:ascii="仿宋_GB2312" w:hAnsi="仿宋_GB2312" w:eastAsia="仿宋_GB2312" w:cs="仿宋_GB2312"/>
          <w:b/>
          <w:bCs/>
          <w:color w:val="auto"/>
          <w:kern w:val="2"/>
          <w:sz w:val="32"/>
          <w:szCs w:val="32"/>
          <w:highlight w:val="none"/>
          <w:lang w:val="en-US" w:eastAsia="zh-CN" w:bidi="ar-SA"/>
        </w:rPr>
        <w:t>馆（B区13.2馆）。</w:t>
      </w:r>
      <w:r>
        <w:rPr>
          <w:rFonts w:hint="eastAsia" w:ascii="仿宋_GB2312" w:hAnsi="仿宋_GB2312" w:eastAsia="仿宋_GB2312" w:cs="仿宋_GB2312"/>
          <w:b w:val="0"/>
          <w:bCs w:val="0"/>
          <w:color w:val="auto"/>
          <w:kern w:val="2"/>
          <w:sz w:val="32"/>
          <w:szCs w:val="32"/>
          <w:highlight w:val="none"/>
          <w:lang w:val="en-US" w:eastAsia="zh-CN" w:bidi="ar-SA"/>
        </w:rPr>
        <w:t>聚焦</w:t>
      </w:r>
      <w:r>
        <w:rPr>
          <w:rFonts w:hint="eastAsia" w:ascii="仿宋_GB2312" w:hAnsi="仿宋_GB2312" w:eastAsia="仿宋_GB2312" w:cs="仿宋_GB2312"/>
          <w:color w:val="auto"/>
          <w:sz w:val="32"/>
          <w:szCs w:val="32"/>
          <w:highlight w:val="none"/>
        </w:rPr>
        <w:t>临床研究和临床试验</w:t>
      </w:r>
      <w:r>
        <w:rPr>
          <w:rFonts w:hint="eastAsia" w:ascii="仿宋_GB2312" w:hAnsi="仿宋_GB2312" w:eastAsia="仿宋_GB2312" w:cs="仿宋_GB2312"/>
          <w:color w:val="auto"/>
          <w:sz w:val="32"/>
          <w:szCs w:val="32"/>
          <w:highlight w:val="none"/>
          <w:lang w:val="en-US" w:eastAsia="zh-CN"/>
        </w:rPr>
        <w:t>合作洽谈，展示全链条支持创新药械发展的能力及成果，推动合作新业态发展，培育临床研究新质生产力</w:t>
      </w:r>
      <w:r>
        <w:rPr>
          <w:rFonts w:hint="default" w:ascii="仿宋_GB2312" w:hAnsi="仿宋_GB2312" w:eastAsia="仿宋_GB2312" w:cs="仿宋_GB2312"/>
          <w:b w:val="0"/>
          <w:bCs w:val="0"/>
          <w:color w:val="auto"/>
          <w:kern w:val="2"/>
          <w:sz w:val="32"/>
          <w:szCs w:val="32"/>
          <w:highlight w:val="none"/>
          <w:lang w:val="en-US" w:eastAsia="zh-CN" w:bidi="ar-SA"/>
        </w:rPr>
        <w:t>。</w:t>
      </w:r>
    </w:p>
    <w:p w14:paraId="45FFE3CF">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（二）配套活动。</w:t>
      </w:r>
    </w:p>
    <w:p w14:paraId="771662F8">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1.大会开幕式。</w:t>
      </w:r>
      <w:r>
        <w:rPr>
          <w:rFonts w:hint="eastAsia" w:ascii="仿宋_GB2312" w:hAnsi="仿宋_GB2312" w:eastAsia="仿宋_GB2312" w:cs="仿宋_GB2312"/>
          <w:b w:val="0"/>
          <w:bCs w:val="0"/>
          <w:color w:val="auto"/>
          <w:kern w:val="2"/>
          <w:sz w:val="32"/>
          <w:szCs w:val="32"/>
          <w:highlight w:val="none"/>
          <w:lang w:val="en-US" w:eastAsia="zh-CN" w:bidi="ar-SA"/>
        </w:rPr>
        <w:t>11月26日上午在广交会展馆B区9.2馆活动区举办</w:t>
      </w:r>
      <w:r>
        <w:rPr>
          <w:rFonts w:hint="eastAsia" w:ascii="仿宋_GB2312" w:hAnsi="仿宋_GB2312" w:eastAsia="仿宋_GB2312" w:cs="仿宋_GB2312"/>
          <w:color w:val="auto"/>
          <w:kern w:val="2"/>
          <w:sz w:val="32"/>
          <w:szCs w:val="32"/>
          <w:highlight w:val="none"/>
          <w:lang w:val="en-US" w:eastAsia="zh-CN" w:bidi="ar-SA"/>
        </w:rPr>
        <w:t>。</w:t>
      </w:r>
    </w:p>
    <w:p w14:paraId="1F287FA8">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2.两业协同主题活动。</w:t>
      </w:r>
      <w:r>
        <w:rPr>
          <w:rFonts w:hint="eastAsia" w:ascii="仿宋_GB2312" w:hAnsi="仿宋_GB2312" w:eastAsia="仿宋_GB2312" w:cs="仿宋_GB2312"/>
          <w:color w:val="auto"/>
          <w:kern w:val="2"/>
          <w:sz w:val="32"/>
          <w:szCs w:val="32"/>
          <w:highlight w:val="none"/>
          <w:lang w:val="en-US" w:eastAsia="zh-CN" w:bidi="ar-SA"/>
        </w:rPr>
        <w:t>举办广东省制造业500强企业峰会、</w:t>
      </w:r>
      <w:r>
        <w:rPr>
          <w:rFonts w:hint="eastAsia" w:ascii="仿宋_GB2312" w:hAnsi="仿宋_GB2312" w:eastAsia="仿宋_GB2312" w:cs="仿宋_GB2312"/>
          <w:color w:val="auto"/>
          <w:sz w:val="32"/>
          <w:szCs w:val="32"/>
          <w:highlight w:val="none"/>
        </w:rPr>
        <w:t>广东省制造业中小企业</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强峰会</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对接沙龙路演活动</w:t>
      </w:r>
      <w:r>
        <w:rPr>
          <w:rFonts w:hint="eastAsia" w:ascii="仿宋_GB2312" w:hAnsi="仿宋_GB2312" w:eastAsia="仿宋_GB2312" w:cs="仿宋_GB2312"/>
          <w:color w:val="auto"/>
          <w:sz w:val="32"/>
          <w:szCs w:val="32"/>
          <w:highlight w:val="none"/>
          <w:lang w:val="en-US" w:eastAsia="zh-CN"/>
        </w:rPr>
        <w:t>及现场配对会</w:t>
      </w:r>
      <w:r>
        <w:rPr>
          <w:rFonts w:hint="eastAsia" w:ascii="仿宋_GB2312" w:hAnsi="仿宋_GB2312" w:eastAsia="仿宋_GB2312" w:cs="仿宋_GB2312"/>
          <w:color w:val="auto"/>
          <w:sz w:val="32"/>
          <w:szCs w:val="32"/>
          <w:highlight w:val="none"/>
        </w:rPr>
        <w:t>等系列活动</w:t>
      </w:r>
      <w:r>
        <w:rPr>
          <w:rFonts w:hint="eastAsia" w:ascii="仿宋_GB2312" w:hAnsi="仿宋_GB2312" w:eastAsia="仿宋_GB2312" w:cs="仿宋_GB2312"/>
          <w:color w:val="auto"/>
          <w:kern w:val="2"/>
          <w:sz w:val="32"/>
          <w:szCs w:val="32"/>
          <w:highlight w:val="none"/>
          <w:lang w:val="en-US" w:eastAsia="zh-CN" w:bidi="ar-SA"/>
        </w:rPr>
        <w:t>。</w:t>
      </w:r>
    </w:p>
    <w:p w14:paraId="67F26CAF">
      <w:pPr>
        <w:spacing w:line="579" w:lineRule="exact"/>
        <w:ind w:firstLine="643" w:firstLineChars="200"/>
        <w:rPr>
          <w:rFonts w:hint="eastAsia"/>
          <w:lang w:val="en-US" w:eastAsia="zh-CN"/>
        </w:rPr>
      </w:pPr>
      <w:r>
        <w:rPr>
          <w:rFonts w:hint="eastAsia" w:ascii="仿宋_GB2312" w:hAnsi="仿宋_GB2312" w:eastAsia="仿宋_GB2312" w:cs="仿宋_GB2312"/>
          <w:b/>
          <w:bCs/>
          <w:color w:val="auto"/>
          <w:kern w:val="2"/>
          <w:sz w:val="32"/>
          <w:szCs w:val="32"/>
          <w:highlight w:val="none"/>
          <w:lang w:val="en-US" w:eastAsia="zh-CN" w:bidi="ar-SA"/>
        </w:rPr>
        <w:t>3.广东省二手车跨国采购大会。</w:t>
      </w:r>
      <w:r>
        <w:rPr>
          <w:rFonts w:hint="eastAsia" w:ascii="仿宋_GB2312" w:hAnsi="仿宋_GB2312" w:eastAsia="仿宋_GB2312" w:cs="仿宋_GB2312"/>
          <w:b w:val="0"/>
          <w:bCs w:val="0"/>
          <w:color w:val="auto"/>
          <w:sz w:val="32"/>
          <w:szCs w:val="32"/>
          <w:highlight w:val="none"/>
        </w:rPr>
        <w:t>汇聚海外多个国家和地区的国际采购商，以“粤车出海·链接全球”为主题，搭建直连全球买家平台。同期聚焦汽车出海服务、二手车出海举办主题</w:t>
      </w:r>
      <w:r>
        <w:rPr>
          <w:rFonts w:hint="eastAsia" w:ascii="仿宋_GB2312" w:hAnsi="仿宋_GB2312" w:eastAsia="仿宋_GB2312" w:cs="仿宋_GB2312"/>
          <w:b w:val="0"/>
          <w:bCs w:val="0"/>
          <w:color w:val="auto"/>
          <w:sz w:val="32"/>
          <w:szCs w:val="32"/>
          <w:highlight w:val="none"/>
          <w:lang w:eastAsia="zh-CN"/>
        </w:rPr>
        <w:t>活动</w:t>
      </w:r>
      <w:r>
        <w:rPr>
          <w:rFonts w:hint="eastAsia" w:ascii="仿宋_GB2312" w:hAnsi="仿宋_GB2312" w:eastAsia="仿宋_GB2312" w:cs="仿宋_GB2312"/>
          <w:color w:val="auto"/>
          <w:sz w:val="32"/>
          <w:szCs w:val="32"/>
          <w:highlight w:val="none"/>
        </w:rPr>
        <w:t>。</w:t>
      </w:r>
    </w:p>
    <w:p w14:paraId="56509807">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仿宋_GB2312" w:hAnsi="仿宋_GB2312" w:eastAsia="仿宋_GB2312" w:cs="仿宋_GB2312"/>
          <w:b/>
          <w:bCs/>
          <w:color w:val="auto"/>
          <w:sz w:val="32"/>
          <w:szCs w:val="32"/>
          <w:highlight w:val="none"/>
          <w:lang w:val="en-US" w:eastAsia="zh-CN"/>
        </w:rPr>
        <w:t>企业</w:t>
      </w:r>
      <w:r>
        <w:rPr>
          <w:rFonts w:hint="eastAsia" w:ascii="仿宋_GB2312" w:hAnsi="仿宋_GB2312" w:eastAsia="仿宋_GB2312" w:cs="仿宋_GB2312"/>
          <w:b/>
          <w:bCs/>
          <w:color w:val="auto"/>
          <w:sz w:val="32"/>
          <w:szCs w:val="32"/>
          <w:highlight w:val="none"/>
        </w:rPr>
        <w:t>出海大会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针对中国企业出海需求，引入优质海外资源，搭建本土化出海服务对接与交流平台，助力提高企业出海本土化经营、出海参展、国际化营销等方面水平。</w:t>
      </w:r>
    </w:p>
    <w:p w14:paraId="71F28F67">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5.B2B</w:t>
      </w:r>
      <w:r>
        <w:rPr>
          <w:rFonts w:hint="eastAsia" w:ascii="仿宋_GB2312" w:hAnsi="仿宋_GB2312" w:eastAsia="仿宋_GB2312" w:cs="仿宋_GB2312"/>
          <w:b/>
          <w:bCs/>
          <w:color w:val="auto"/>
          <w:sz w:val="32"/>
          <w:szCs w:val="32"/>
          <w:highlight w:val="none"/>
          <w:lang w:val="en-US" w:eastAsia="zh-CN"/>
        </w:rPr>
        <w:t>对接会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聚焦“地区、行业”两大维度，精细化打造近20场专场对接会，集聚海外商机、实时精准匹配，助力企业拓展商业版图。</w:t>
      </w:r>
    </w:p>
    <w:p w14:paraId="6A8A2E04">
      <w:pPr>
        <w:spacing w:line="579"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6.</w:t>
      </w:r>
      <w:r>
        <w:rPr>
          <w:rFonts w:hint="eastAsia" w:ascii="仿宋_GB2312" w:hAnsi="仿宋_GB2312" w:eastAsia="仿宋_GB2312" w:cs="仿宋_GB2312"/>
          <w:b/>
          <w:bCs/>
          <w:color w:val="auto"/>
          <w:sz w:val="32"/>
          <w:szCs w:val="32"/>
          <w:highlight w:val="none"/>
        </w:rPr>
        <w:t>服务外包高质量发展</w:t>
      </w:r>
      <w:r>
        <w:rPr>
          <w:rFonts w:hint="eastAsia" w:ascii="仿宋_GB2312" w:hAnsi="仿宋_GB2312" w:eastAsia="仿宋_GB2312" w:cs="仿宋_GB2312"/>
          <w:b/>
          <w:bCs/>
          <w:color w:val="auto"/>
          <w:sz w:val="32"/>
          <w:szCs w:val="32"/>
          <w:highlight w:val="none"/>
          <w:lang w:val="en-US" w:eastAsia="zh-CN"/>
        </w:rPr>
        <w:t>会议</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汇聚湾区服务外包行业头部企业及智库专家政府部门代表，聚焦服务外包赋能外贸转型升级路径，推动服务外包产业向高端化、数字化、国际化方向跃升</w:t>
      </w:r>
      <w:r>
        <w:rPr>
          <w:rFonts w:hint="eastAsia" w:ascii="仿宋_GB2312" w:hAnsi="仿宋_GB2312" w:eastAsia="仿宋_GB2312" w:cs="仿宋_GB2312"/>
          <w:b w:val="0"/>
          <w:bCs w:val="0"/>
          <w:color w:val="auto"/>
          <w:sz w:val="32"/>
          <w:szCs w:val="32"/>
          <w:highlight w:val="none"/>
        </w:rPr>
        <w:t>。</w:t>
      </w:r>
    </w:p>
    <w:p w14:paraId="74E6F093">
      <w:pPr>
        <w:spacing w:line="579" w:lineRule="exact"/>
        <w:ind w:firstLine="643" w:firstLineChars="200"/>
        <w:rPr>
          <w:rFonts w:hint="eastAsia"/>
          <w:lang w:val="en-US" w:eastAsia="zh-CN"/>
        </w:rPr>
      </w:pPr>
      <w:r>
        <w:rPr>
          <w:rFonts w:hint="eastAsia" w:ascii="仿宋_GB2312" w:hAnsi="仿宋_GB2312" w:eastAsia="仿宋_GB2312" w:cs="仿宋_GB2312"/>
          <w:b/>
          <w:bCs/>
          <w:color w:val="auto"/>
          <w:kern w:val="2"/>
          <w:sz w:val="32"/>
          <w:szCs w:val="32"/>
          <w:highlight w:val="none"/>
          <w:lang w:val="en-US" w:eastAsia="zh-CN" w:bidi="ar-SA"/>
        </w:rPr>
        <w:t>7.</w:t>
      </w:r>
      <w:r>
        <w:rPr>
          <w:rFonts w:hint="eastAsia" w:ascii="仿宋_GB2312" w:hAnsi="仿宋_GB2312" w:eastAsia="仿宋_GB2312" w:cs="仿宋_GB2312"/>
          <w:b/>
          <w:bCs/>
          <w:color w:val="auto"/>
          <w:sz w:val="32"/>
          <w:szCs w:val="32"/>
          <w:highlight w:val="none"/>
        </w:rPr>
        <w:t>大湾区会展业高质量发展</w:t>
      </w:r>
      <w:r>
        <w:rPr>
          <w:rFonts w:hint="eastAsia" w:ascii="仿宋_GB2312" w:hAnsi="仿宋_GB2312" w:eastAsia="仿宋_GB2312" w:cs="仿宋_GB2312"/>
          <w:b/>
          <w:bCs/>
          <w:color w:val="auto"/>
          <w:sz w:val="32"/>
          <w:szCs w:val="32"/>
          <w:highlight w:val="none"/>
          <w:lang w:val="en-US" w:eastAsia="zh-CN"/>
        </w:rPr>
        <w:t>会议</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汇聚大湾区会展行业头部资源与智慧，强化大湾区会展行业交流与合作，推动行业进一步升级发展。</w:t>
      </w:r>
    </w:p>
    <w:p w14:paraId="04BD9F68">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8.</w:t>
      </w:r>
      <w:r>
        <w:rPr>
          <w:rFonts w:hint="eastAsia" w:ascii="仿宋_GB2312" w:hAnsi="仿宋_GB2312" w:eastAsia="仿宋_GB2312" w:cs="仿宋_GB2312"/>
          <w:b/>
          <w:bCs/>
          <w:color w:val="auto"/>
          <w:sz w:val="32"/>
          <w:szCs w:val="32"/>
          <w:highlight w:val="none"/>
        </w:rPr>
        <w:t>临床研究</w:t>
      </w:r>
      <w:r>
        <w:rPr>
          <w:rFonts w:hint="eastAsia" w:ascii="仿宋_GB2312" w:hAnsi="仿宋_GB2312" w:eastAsia="仿宋_GB2312" w:cs="仿宋_GB2312"/>
          <w:b/>
          <w:bCs/>
          <w:color w:val="auto"/>
          <w:sz w:val="32"/>
          <w:szCs w:val="32"/>
          <w:highlight w:val="none"/>
          <w:lang w:eastAsia="zh-CN"/>
        </w:rPr>
        <w:t>和临床试验</w:t>
      </w:r>
      <w:r>
        <w:rPr>
          <w:rFonts w:hint="eastAsia" w:ascii="仿宋_GB2312" w:hAnsi="仿宋_GB2312" w:eastAsia="仿宋_GB2312" w:cs="仿宋_GB2312"/>
          <w:b/>
          <w:bCs/>
          <w:color w:val="auto"/>
          <w:sz w:val="32"/>
          <w:szCs w:val="32"/>
          <w:highlight w:val="none"/>
        </w:rPr>
        <w:t>国际合作交流大会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搭建医企协同与国际临床研究合作枢纽，贯通机构出海、数智化试验、团队培养及合规管理，赋能医疗创新全链条。</w:t>
      </w:r>
    </w:p>
    <w:p w14:paraId="11D86971">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9.湾区招商服务推介会。</w:t>
      </w:r>
      <w:r>
        <w:rPr>
          <w:rFonts w:hint="eastAsia" w:ascii="仿宋_GB2312" w:hAnsi="仿宋_GB2312" w:eastAsia="仿宋_GB2312" w:cs="仿宋_GB2312"/>
          <w:b w:val="0"/>
          <w:bCs w:val="0"/>
          <w:color w:val="auto"/>
          <w:kern w:val="2"/>
          <w:sz w:val="32"/>
          <w:szCs w:val="32"/>
          <w:highlight w:val="none"/>
          <w:lang w:val="en-US" w:eastAsia="zh-CN" w:bidi="ar-SA"/>
        </w:rPr>
        <w:t>紧扣湾区城市招商热点，以灵活机动方式在大会现场开展服务产业发展及城市营商环境专题推介</w:t>
      </w:r>
      <w:r>
        <w:rPr>
          <w:rFonts w:hint="eastAsia" w:ascii="仿宋_GB2312" w:hAnsi="仿宋_GB2312" w:eastAsia="仿宋_GB2312" w:cs="仿宋_GB2312"/>
          <w:color w:val="auto"/>
          <w:sz w:val="32"/>
          <w:szCs w:val="32"/>
          <w:highlight w:val="none"/>
        </w:rPr>
        <w:t>。</w:t>
      </w:r>
    </w:p>
    <w:p w14:paraId="71CE302F">
      <w:pPr>
        <w:widowControl w:val="0"/>
        <w:spacing w:line="600" w:lineRule="exact"/>
        <w:ind w:firstLine="640" w:firstLineChars="200"/>
        <w:jc w:val="both"/>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（三）展位价格。</w:t>
      </w:r>
    </w:p>
    <w:p w14:paraId="15657712">
      <w:pPr>
        <w:widowControl w:val="0"/>
        <w:spacing w:line="600" w:lineRule="exact"/>
        <w:ind w:firstLine="640" w:firstLineChars="200"/>
        <w:jc w:val="both"/>
        <w:rPr>
          <w:rFonts w:ascii="仿宋_GB2312" w:hAnsi="宋体" w:eastAsia="仿宋_GB2312" w:cs="仿宋_GB2312"/>
          <w:sz w:val="32"/>
          <w:szCs w:val="32"/>
        </w:rPr>
      </w:pPr>
      <w:r>
        <w:rPr>
          <w:rFonts w:hint="eastAsia" w:ascii="仿宋_GB2312" w:hAnsi="宋体" w:eastAsia="仿宋_GB2312" w:cs="仿宋_GB2312"/>
          <w:kern w:val="2"/>
          <w:sz w:val="32"/>
          <w:szCs w:val="32"/>
          <w:lang w:bidi="ar"/>
        </w:rPr>
        <w:t>1.标准展位（9平方米/个）：人民币14800元/个。</w:t>
      </w:r>
    </w:p>
    <w:p w14:paraId="20EC8AF9">
      <w:pPr>
        <w:widowControl w:val="0"/>
        <w:spacing w:line="600" w:lineRule="exact"/>
        <w:ind w:firstLine="640" w:firstLineChars="200"/>
        <w:jc w:val="both"/>
        <w:rPr>
          <w:rFonts w:hint="eastAsia" w:ascii="仿宋_GB2312" w:hAnsi="宋体" w:eastAsia="仿宋_GB2312" w:cs="仿宋_GB2312"/>
          <w:kern w:val="2"/>
          <w:sz w:val="32"/>
          <w:szCs w:val="32"/>
          <w:lang w:bidi="ar"/>
        </w:rPr>
      </w:pPr>
      <w:r>
        <w:rPr>
          <w:rFonts w:hint="eastAsia" w:ascii="仿宋_GB2312" w:hAnsi="宋体" w:eastAsia="仿宋_GB2312" w:cs="仿宋_GB2312"/>
          <w:kern w:val="2"/>
          <w:sz w:val="32"/>
          <w:szCs w:val="32"/>
          <w:lang w:bidi="ar"/>
        </w:rPr>
        <w:t>2.光地展位（</w:t>
      </w:r>
      <w:r>
        <w:rPr>
          <w:rFonts w:hint="eastAsia" w:ascii="仿宋_GB2312" w:hAnsi="宋体" w:eastAsia="仿宋_GB2312" w:cs="仿宋_GB2312"/>
          <w:kern w:val="2"/>
          <w:sz w:val="32"/>
          <w:szCs w:val="32"/>
          <w:lang w:val="en-US" w:eastAsia="zh-CN" w:bidi="ar"/>
        </w:rPr>
        <w:t>9</w:t>
      </w:r>
      <w:r>
        <w:rPr>
          <w:rFonts w:hint="eastAsia" w:ascii="仿宋_GB2312" w:hAnsi="宋体" w:eastAsia="仿宋_GB2312" w:cs="仿宋_GB2312"/>
          <w:kern w:val="2"/>
          <w:sz w:val="32"/>
          <w:szCs w:val="32"/>
          <w:lang w:bidi="ar"/>
        </w:rPr>
        <w:t>平方米起）：人民币1480元/平方米。</w:t>
      </w:r>
    </w:p>
    <w:p w14:paraId="3E6A87FC">
      <w:pPr>
        <w:widowControl w:val="0"/>
        <w:spacing w:line="600" w:lineRule="exact"/>
        <w:ind w:firstLine="640" w:firstLineChars="200"/>
        <w:jc w:val="both"/>
        <w:rPr>
          <w:rFonts w:hint="eastAsia" w:ascii="仿宋_GB2312" w:hAnsi="宋体" w:eastAsia="仿宋_GB2312" w:cs="仿宋_GB2312"/>
          <w:kern w:val="2"/>
          <w:sz w:val="32"/>
          <w:szCs w:val="32"/>
          <w:lang w:bidi="ar"/>
        </w:rPr>
      </w:pPr>
      <w:r>
        <w:rPr>
          <w:rFonts w:hint="eastAsia" w:ascii="仿宋_GB2312" w:hAnsi="宋体" w:eastAsia="仿宋_GB2312" w:cs="仿宋_GB2312"/>
          <w:kern w:val="2"/>
          <w:sz w:val="32"/>
          <w:szCs w:val="32"/>
          <w:lang w:bidi="ar"/>
        </w:rPr>
        <w:t>对各地市（不含深圳）经审核符合条件的</w:t>
      </w:r>
      <w:r>
        <w:rPr>
          <w:rFonts w:hint="eastAsia" w:ascii="仿宋_GB2312" w:hAnsi="宋体" w:eastAsia="仿宋_GB2312" w:cs="仿宋_GB2312"/>
          <w:kern w:val="2"/>
          <w:sz w:val="32"/>
          <w:szCs w:val="32"/>
          <w:lang w:eastAsia="zh-CN" w:bidi="ar"/>
        </w:rPr>
        <w:t>参展</w:t>
      </w:r>
      <w:r>
        <w:rPr>
          <w:rFonts w:hint="eastAsia" w:ascii="仿宋_GB2312" w:hAnsi="宋体" w:eastAsia="仿宋_GB2312" w:cs="仿宋_GB2312"/>
          <w:kern w:val="2"/>
          <w:sz w:val="32"/>
          <w:szCs w:val="32"/>
          <w:lang w:bidi="ar"/>
        </w:rPr>
        <w:t>企业（含事业单位、社会组织</w:t>
      </w:r>
      <w:r>
        <w:rPr>
          <w:rFonts w:hint="eastAsia" w:ascii="仿宋_GB2312" w:hAnsi="宋体" w:eastAsia="仿宋_GB2312" w:cs="仿宋_GB2312"/>
          <w:kern w:val="2"/>
          <w:sz w:val="32"/>
          <w:szCs w:val="32"/>
          <w:lang w:eastAsia="zh-CN" w:bidi="ar"/>
        </w:rPr>
        <w:t>，下同</w:t>
      </w:r>
      <w:r>
        <w:rPr>
          <w:rFonts w:hint="eastAsia" w:ascii="仿宋_GB2312" w:hAnsi="宋体" w:eastAsia="仿宋_GB2312" w:cs="仿宋_GB2312"/>
          <w:kern w:val="2"/>
          <w:sz w:val="32"/>
          <w:szCs w:val="32"/>
          <w:lang w:bidi="ar"/>
        </w:rPr>
        <w:t>）</w:t>
      </w:r>
      <w:r>
        <w:rPr>
          <w:rFonts w:hint="eastAsia" w:ascii="仿宋_GB2312" w:hAnsi="宋体" w:eastAsia="仿宋_GB2312" w:cs="仿宋_GB2312"/>
          <w:kern w:val="2"/>
          <w:sz w:val="32"/>
          <w:szCs w:val="32"/>
          <w:lang w:eastAsia="zh-CN" w:bidi="ar"/>
        </w:rPr>
        <w:t>的</w:t>
      </w:r>
      <w:r>
        <w:rPr>
          <w:rFonts w:hint="eastAsia" w:ascii="仿宋_GB2312" w:hAnsi="宋体" w:eastAsia="仿宋_GB2312" w:cs="仿宋_GB2312"/>
          <w:kern w:val="2"/>
          <w:sz w:val="32"/>
          <w:szCs w:val="32"/>
          <w:lang w:bidi="ar"/>
        </w:rPr>
        <w:t>参展展位费给予支持</w:t>
      </w:r>
      <w:r>
        <w:rPr>
          <w:rFonts w:hint="eastAsia" w:ascii="仿宋_GB2312" w:hAnsi="宋体" w:eastAsia="仿宋_GB2312" w:cs="仿宋_GB2312"/>
          <w:kern w:val="2"/>
          <w:sz w:val="32"/>
          <w:szCs w:val="32"/>
          <w:lang w:eastAsia="zh-CN" w:bidi="ar"/>
        </w:rPr>
        <w:t>，</w:t>
      </w:r>
      <w:r>
        <w:rPr>
          <w:rFonts w:hint="eastAsia" w:ascii="仿宋_GB2312" w:hAnsi="仿宋_GB2312" w:eastAsia="仿宋_GB2312" w:cs="仿宋_GB2312"/>
          <w:kern w:val="2"/>
          <w:sz w:val="32"/>
          <w:szCs w:val="32"/>
          <w:highlight w:val="none"/>
          <w:lang w:val="en-US" w:eastAsia="zh-CN" w:bidi="ar-SA"/>
        </w:rPr>
        <w:t>单个企业获得支持的标准展位数量最多不超过4个、光地展位面积最多不超过36平方米，</w:t>
      </w:r>
      <w:r>
        <w:rPr>
          <w:rFonts w:hint="eastAsia" w:ascii="仿宋_GB2312" w:hAnsi="宋体" w:eastAsia="仿宋_GB2312" w:cs="仿宋_GB2312"/>
          <w:kern w:val="2"/>
          <w:sz w:val="32"/>
          <w:szCs w:val="32"/>
          <w:lang w:eastAsia="zh-CN" w:bidi="ar"/>
        </w:rPr>
        <w:t>具体申请流程参看广东省商务厅印发的</w:t>
      </w:r>
      <w:r>
        <w:rPr>
          <w:rFonts w:hint="eastAsia" w:ascii="仿宋_GB2312" w:hAnsi="宋体" w:eastAsia="仿宋_GB2312" w:cs="仿宋_GB2312"/>
          <w:sz w:val="32"/>
          <w:szCs w:val="32"/>
          <w:lang w:bidi="ar"/>
        </w:rPr>
        <w:t>《2026年中央外经贸发展资金（大湾区服贸会事项）申报指南》</w:t>
      </w:r>
      <w:r>
        <w:rPr>
          <w:rFonts w:hint="eastAsia" w:ascii="仿宋_GB2312" w:hAnsi="宋体" w:eastAsia="仿宋_GB2312" w:cs="仿宋_GB2312"/>
          <w:kern w:val="2"/>
          <w:sz w:val="32"/>
          <w:szCs w:val="32"/>
          <w:lang w:bidi="ar"/>
        </w:rPr>
        <w:t>。</w:t>
      </w:r>
    </w:p>
    <w:p w14:paraId="1E31C587">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firstLine="640" w:firstLineChars="200"/>
        <w:jc w:val="both"/>
        <w:textAlignment w:val="baseline"/>
        <w:rPr>
          <w:rFonts w:hint="eastAsia" w:ascii="黑体" w:hAnsi="宋体" w:eastAsia="黑体" w:cs="黑体"/>
          <w:color w:val="auto"/>
          <w:kern w:val="2"/>
          <w:sz w:val="32"/>
          <w:szCs w:val="32"/>
          <w:vertAlign w:val="baseline"/>
        </w:rPr>
      </w:pPr>
      <w:r>
        <w:rPr>
          <w:rFonts w:hint="eastAsia" w:ascii="黑体" w:hAnsi="宋体" w:eastAsia="黑体" w:cs="黑体"/>
          <w:color w:val="auto"/>
          <w:kern w:val="2"/>
          <w:sz w:val="32"/>
          <w:szCs w:val="32"/>
          <w:vertAlign w:val="baseline"/>
          <w:lang w:val="en-US" w:eastAsia="zh-CN" w:bidi="ar"/>
        </w:rPr>
        <w:t>三、珠海展区规划和活动安排</w:t>
      </w:r>
    </w:p>
    <w:p w14:paraId="0697BF8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both"/>
        <w:textAlignment w:val="baseline"/>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0"/>
          <w:sz w:val="32"/>
          <w:szCs w:val="32"/>
          <w:vertAlign w:val="baseline"/>
          <w:lang w:val="en-US" w:eastAsia="zh-CN" w:bidi="ar"/>
        </w:rPr>
        <w:t>（一）开幕式。</w:t>
      </w:r>
      <w:r>
        <w:rPr>
          <w:rFonts w:hint="eastAsia" w:ascii="仿宋_GB2312" w:hAnsi="仿宋_GB2312" w:eastAsia="仿宋_GB2312" w:cs="仿宋_GB2312"/>
          <w:b w:val="0"/>
          <w:bCs w:val="0"/>
          <w:color w:val="auto"/>
          <w:kern w:val="2"/>
          <w:sz w:val="32"/>
          <w:szCs w:val="32"/>
          <w:highlight w:val="none"/>
          <w:lang w:val="en-US" w:eastAsia="zh-CN" w:bidi="ar-SA"/>
        </w:rPr>
        <w:t>10月23日上午在珠海规划展览馆举办。</w:t>
      </w:r>
    </w:p>
    <w:p w14:paraId="6BDED486">
      <w:pPr>
        <w:autoSpaceDE w:val="0"/>
        <w:autoSpaceDN w:val="0"/>
        <w:adjustRightInd w:val="0"/>
        <w:snapToGrid w:val="0"/>
        <w:spacing w:line="600" w:lineRule="exact"/>
        <w:ind w:firstLine="640" w:firstLineChars="200"/>
        <w:textAlignment w:val="baseline"/>
        <w:rPr>
          <w:rFonts w:hint="default"/>
          <w:lang w:val="en-US" w:eastAsia="zh-CN"/>
        </w:rPr>
      </w:pPr>
      <w:r>
        <w:rPr>
          <w:rFonts w:hint="eastAsia" w:ascii="楷体_GB2312" w:hAnsi="楷体_GB2312" w:eastAsia="楷体_GB2312" w:cs="楷体_GB2312"/>
          <w:b w:val="0"/>
          <w:bCs w:val="0"/>
          <w:color w:val="auto"/>
          <w:kern w:val="0"/>
          <w:sz w:val="32"/>
          <w:szCs w:val="32"/>
          <w:vertAlign w:val="baseline"/>
          <w:lang w:val="en-US" w:eastAsia="zh-CN" w:bidi="ar"/>
        </w:rPr>
        <w:t>（二）跨境物流板块。</w:t>
      </w:r>
    </w:p>
    <w:p w14:paraId="50CA71B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1.</w:t>
      </w:r>
      <w:r>
        <w:rPr>
          <w:rFonts w:hint="eastAsia" w:ascii="仿宋_GB2312" w:hAnsi="仿宋_GB2312" w:eastAsia="仿宋_GB2312" w:cs="仿宋_GB2312"/>
          <w:b/>
          <w:bCs/>
          <w:color w:val="auto"/>
          <w:sz w:val="32"/>
          <w:szCs w:val="32"/>
          <w:shd w:val="clear" w:color="auto" w:fill="FFFFFF"/>
          <w:lang w:val="en-US" w:eastAsia="zh-CN" w:bidi="ar"/>
        </w:rPr>
        <w:t>设置3个展区</w:t>
      </w:r>
      <w:r>
        <w:rPr>
          <w:rFonts w:hint="eastAsia" w:ascii="仿宋_GB2312" w:hAnsi="仿宋_GB2312" w:eastAsia="仿宋_GB2312" w:cs="仿宋_GB2312"/>
          <w:b/>
          <w:bCs/>
          <w:color w:val="auto"/>
          <w:sz w:val="32"/>
          <w:szCs w:val="32"/>
          <w:shd w:val="clear" w:color="auto" w:fill="FFFFFF"/>
          <w:lang w:eastAsia="zh-CN" w:bidi="ar"/>
        </w:rPr>
        <w:t>。</w:t>
      </w:r>
    </w:p>
    <w:p w14:paraId="0B5DBDF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“航空物流+跨境电商”主题区。</w:t>
      </w:r>
      <w:r>
        <w:rPr>
          <w:rFonts w:hint="eastAsia" w:ascii="仿宋_GB2312" w:hAnsi="仿宋_GB2312" w:eastAsia="仿宋_GB2312" w:cs="仿宋_GB2312"/>
          <w:b w:val="0"/>
          <w:bCs w:val="0"/>
          <w:color w:val="auto"/>
          <w:kern w:val="0"/>
          <w:sz w:val="32"/>
          <w:szCs w:val="32"/>
          <w:vertAlign w:val="baseline"/>
          <w:lang w:val="en-US" w:eastAsia="zh-CN" w:bidi="ar"/>
        </w:rPr>
        <w:t>重点展示珠港澳三地机场联动、珠西航空物流枢纽建设、大桥口岸跨境直购出口全国领先、“航空物流+跨境电商”通道规模效应等成果，打造“航空货运—跨境电商—口岸通关”全链路展示场景。</w:t>
      </w:r>
    </w:p>
    <w:p w14:paraId="255FA9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港珠澳大桥生鲜冷链进口专区。</w:t>
      </w:r>
      <w:r>
        <w:rPr>
          <w:rFonts w:hint="eastAsia" w:ascii="仿宋_GB2312" w:hAnsi="仿宋_GB2312" w:eastAsia="仿宋_GB2312" w:cs="仿宋_GB2312"/>
          <w:b w:val="0"/>
          <w:bCs w:val="0"/>
          <w:color w:val="auto"/>
          <w:kern w:val="0"/>
          <w:sz w:val="32"/>
          <w:szCs w:val="32"/>
          <w:vertAlign w:val="baseline"/>
          <w:lang w:val="en-US" w:eastAsia="zh-CN" w:bidi="ar"/>
        </w:rPr>
        <w:t>联合香港机管局、澳门国际机场专营有限公司，邀请进口水果、食用水生动物、冰鲜水产品供应商、冷链物流商、批发商、经销商参展，推动冷链产品在珠海集散、交易、分拨。</w:t>
      </w:r>
    </w:p>
    <w:p w14:paraId="5A5D66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跨境物流综合服务对接区。</w:t>
      </w:r>
      <w:r>
        <w:rPr>
          <w:rFonts w:hint="eastAsia" w:ascii="仿宋_GB2312" w:hAnsi="仿宋_GB2312" w:eastAsia="仿宋_GB2312" w:cs="仿宋_GB2312"/>
          <w:b w:val="0"/>
          <w:bCs w:val="0"/>
          <w:color w:val="auto"/>
          <w:kern w:val="0"/>
          <w:sz w:val="32"/>
          <w:szCs w:val="32"/>
          <w:vertAlign w:val="baseline"/>
          <w:lang w:val="en-US" w:eastAsia="zh-CN" w:bidi="ar"/>
        </w:rPr>
        <w:t>突出港澳和横琴粤澳深度合作区跨境物流政策优势，推介港珠澳大桥跨境物流综合解决方案，搭建供需精准对接平台。</w:t>
      </w:r>
    </w:p>
    <w:p w14:paraId="2405759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2.举办2场推介对接活动。</w:t>
      </w:r>
    </w:p>
    <w:p w14:paraId="446D9B3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“航空物流+跨境电商”专题推介暨供需对接会。</w:t>
      </w:r>
      <w:r>
        <w:rPr>
          <w:rFonts w:hint="eastAsia" w:ascii="仿宋_GB2312" w:hAnsi="仿宋_GB2312" w:eastAsia="仿宋_GB2312" w:cs="仿宋_GB2312"/>
          <w:b w:val="0"/>
          <w:bCs w:val="0"/>
          <w:color w:val="auto"/>
          <w:kern w:val="0"/>
          <w:sz w:val="32"/>
          <w:szCs w:val="32"/>
          <w:vertAlign w:val="baseline"/>
          <w:lang w:val="en-US" w:eastAsia="zh-CN" w:bidi="ar"/>
        </w:rPr>
        <w:t>宣传推介港珠澳机场航线、港珠澳三地机场联动和横琴粤澳深度合作区政策优势；组织航空货运、跨境电商等领域企业开展供需对接活动。</w:t>
      </w:r>
    </w:p>
    <w:p w14:paraId="007AA1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default"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“港珠澳大桥经贸新通道+冷链进口物流通道”推介暨供需对接会。</w:t>
      </w:r>
      <w:r>
        <w:rPr>
          <w:rFonts w:hint="eastAsia" w:ascii="仿宋_GB2312" w:hAnsi="仿宋_GB2312" w:eastAsia="仿宋_GB2312" w:cs="仿宋_GB2312"/>
          <w:b w:val="0"/>
          <w:bCs w:val="0"/>
          <w:color w:val="auto"/>
          <w:kern w:val="0"/>
          <w:sz w:val="32"/>
          <w:szCs w:val="32"/>
          <w:vertAlign w:val="baseline"/>
          <w:lang w:val="en-US" w:eastAsia="zh-CN" w:bidi="ar"/>
        </w:rPr>
        <w:t>联合香港机管局、澳门国际机场专营有限公司举办，对接香港机场、澳门机场及珠海机场重点航司，联合推介“港澳机场-港珠澳大桥-珠海-大湾区（内地）”冷链物流通道；组织开展精准供需对接活动。</w:t>
      </w:r>
    </w:p>
    <w:p w14:paraId="66F0BC7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left"/>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楷体_GB2312" w:hAnsi="楷体_GB2312" w:eastAsia="楷体_GB2312" w:cs="楷体_GB2312"/>
          <w:b w:val="0"/>
          <w:bCs w:val="0"/>
          <w:color w:val="auto"/>
          <w:kern w:val="0"/>
          <w:sz w:val="32"/>
          <w:szCs w:val="32"/>
          <w:vertAlign w:val="baseline"/>
          <w:lang w:val="en-US" w:eastAsia="zh-CN" w:bidi="ar"/>
        </w:rPr>
        <w:t>（三）</w:t>
      </w:r>
      <w:r>
        <w:rPr>
          <w:rFonts w:hint="eastAsia" w:ascii="楷体_GB2312" w:hAnsi="楷体_GB2312" w:eastAsia="楷体_GB2312" w:cs="楷体_GB2312"/>
          <w:color w:val="auto"/>
          <w:kern w:val="0"/>
          <w:sz w:val="32"/>
          <w:szCs w:val="32"/>
          <w:lang w:bidi="ar"/>
        </w:rPr>
        <w:t>服务消费</w:t>
      </w:r>
      <w:r>
        <w:rPr>
          <w:rFonts w:hint="eastAsia" w:ascii="楷体_GB2312" w:hAnsi="楷体_GB2312" w:eastAsia="楷体_GB2312" w:cs="楷体_GB2312"/>
          <w:b w:val="0"/>
          <w:bCs w:val="0"/>
          <w:color w:val="auto"/>
          <w:kern w:val="0"/>
          <w:sz w:val="32"/>
          <w:szCs w:val="32"/>
          <w:vertAlign w:val="baseline"/>
          <w:lang w:val="en-US" w:eastAsia="zh-CN" w:bidi="ar"/>
        </w:rPr>
        <w:t>板块。</w:t>
      </w:r>
    </w:p>
    <w:p w14:paraId="35EC73F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1.设置3个展区。</w:t>
      </w:r>
    </w:p>
    <w:p w14:paraId="4FBFAA6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粤港澳美食专区。</w:t>
      </w:r>
      <w:r>
        <w:rPr>
          <w:rFonts w:hint="eastAsia" w:ascii="仿宋_GB2312" w:hAnsi="仿宋_GB2312" w:eastAsia="仿宋_GB2312" w:cs="仿宋_GB2312"/>
          <w:b w:val="0"/>
          <w:bCs w:val="0"/>
          <w:color w:val="auto"/>
          <w:kern w:val="0"/>
          <w:sz w:val="32"/>
          <w:szCs w:val="32"/>
          <w:vertAlign w:val="baseline"/>
          <w:lang w:val="en-US" w:eastAsia="zh-CN" w:bidi="ar"/>
        </w:rPr>
        <w:t>借助“粤味21・厨王争霸赛”线上综艺节目的热度，在现场设置粤港澳美食专区，展示厨王争霸赛参赛餐厅和全省21地市及港澳地区美食特色。</w:t>
      </w:r>
    </w:p>
    <w:p w14:paraId="2C3388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多元消费融合体验区。</w:t>
      </w:r>
      <w:r>
        <w:rPr>
          <w:rFonts w:hint="eastAsia" w:ascii="仿宋_GB2312" w:hAnsi="仿宋_GB2312" w:eastAsia="仿宋_GB2312" w:cs="仿宋_GB2312"/>
          <w:b w:val="0"/>
          <w:bCs w:val="0"/>
          <w:color w:val="auto"/>
          <w:kern w:val="0"/>
          <w:sz w:val="32"/>
          <w:szCs w:val="32"/>
          <w:vertAlign w:val="baseline"/>
          <w:lang w:val="en-US" w:eastAsia="zh-CN" w:bidi="ar"/>
        </w:rPr>
        <w:t>打造“品质旅居+特色美食”展示区，推出一站式消费体验项目；设置跨境支付、离境退税、免税购物体验区，现场讲解政策、演示办理流程，打造珠港澳跨境消费示范场景。</w:t>
      </w:r>
    </w:p>
    <w:p w14:paraId="29B3DCF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文旅消费联动区。</w:t>
      </w:r>
      <w:r>
        <w:rPr>
          <w:rFonts w:hint="eastAsia" w:ascii="仿宋_GB2312" w:hAnsi="仿宋_GB2312" w:eastAsia="仿宋_GB2312" w:cs="仿宋_GB2312"/>
          <w:b w:val="0"/>
          <w:bCs w:val="0"/>
          <w:color w:val="auto"/>
          <w:kern w:val="0"/>
          <w:sz w:val="32"/>
          <w:szCs w:val="32"/>
          <w:vertAlign w:val="baseline"/>
          <w:lang w:val="en-US" w:eastAsia="zh-CN" w:bidi="ar"/>
        </w:rPr>
        <w:t>设立横琴粤澳深度合作区“一程多站”跨境旅游专题板块，推出“服贸会+文旅”特惠套餐。同步展示横琴粤澳深度合作区跨境购物、中医药养生、离境退税等消费新场景。</w:t>
      </w:r>
    </w:p>
    <w:p w14:paraId="2607B5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2.举办3场活动。</w:t>
      </w:r>
    </w:p>
    <w:p w14:paraId="361133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粤港澳美食活动。</w:t>
      </w:r>
      <w:r>
        <w:rPr>
          <w:rFonts w:hint="eastAsia" w:ascii="仿宋_GB2312" w:hAnsi="仿宋_GB2312" w:eastAsia="仿宋_GB2312" w:cs="仿宋_GB2312"/>
          <w:b w:val="0"/>
          <w:bCs w:val="0"/>
          <w:color w:val="auto"/>
          <w:kern w:val="0"/>
          <w:sz w:val="32"/>
          <w:szCs w:val="32"/>
          <w:vertAlign w:val="baseline"/>
          <w:lang w:val="en-US" w:eastAsia="zh-CN" w:bidi="ar"/>
        </w:rPr>
        <w:t>严选粤港澳优质餐饮品牌，打造沉浸式美食盛宴。</w:t>
      </w:r>
    </w:p>
    <w:p w14:paraId="1922047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跨境消费便利化政策宣讲会。</w:t>
      </w:r>
      <w:r>
        <w:rPr>
          <w:rFonts w:hint="eastAsia" w:ascii="仿宋_GB2312" w:hAnsi="仿宋_GB2312" w:eastAsia="仿宋_GB2312" w:cs="仿宋_GB2312"/>
          <w:b w:val="0"/>
          <w:bCs w:val="0"/>
          <w:color w:val="auto"/>
          <w:kern w:val="0"/>
          <w:sz w:val="32"/>
          <w:szCs w:val="32"/>
          <w:vertAlign w:val="baseline"/>
          <w:lang w:val="en-US" w:eastAsia="zh-CN" w:bidi="ar"/>
        </w:rPr>
        <w:t>解读离境退税、跨境支付、免税购物等政策，发布珠海跨境消费优惠措施。</w:t>
      </w:r>
    </w:p>
    <w:p w14:paraId="68D2A9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“广货行天下”珠海专场推介会。</w:t>
      </w:r>
      <w:r>
        <w:rPr>
          <w:rFonts w:hint="eastAsia" w:ascii="仿宋_GB2312" w:hAnsi="仿宋_GB2312" w:eastAsia="仿宋_GB2312" w:cs="仿宋_GB2312"/>
          <w:b w:val="0"/>
          <w:bCs w:val="0"/>
          <w:color w:val="auto"/>
          <w:kern w:val="0"/>
          <w:sz w:val="32"/>
          <w:szCs w:val="32"/>
          <w:vertAlign w:val="baseline"/>
          <w:lang w:val="en-US" w:eastAsia="zh-CN" w:bidi="ar"/>
        </w:rPr>
        <w:t>推介珠海特色产品、服务品牌，组织企业与湾区采购商、渠道商对接。</w:t>
      </w:r>
    </w:p>
    <w:p w14:paraId="4BFB9E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left"/>
        <w:textAlignment w:val="baseline"/>
        <w:rPr>
          <w:rFonts w:hint="eastAsia" w:ascii="仿宋_GB2312" w:hAnsi="仿宋_GB2312" w:eastAsia="楷体_GB2312" w:cs="仿宋_GB2312"/>
          <w:b/>
          <w:bCs/>
          <w:color w:val="auto"/>
          <w:kern w:val="0"/>
          <w:sz w:val="32"/>
          <w:szCs w:val="32"/>
          <w:vertAlign w:val="baseline"/>
          <w:lang w:val="en-US" w:eastAsia="zh-CN" w:bidi="ar"/>
        </w:rPr>
      </w:pPr>
      <w:r>
        <w:rPr>
          <w:rFonts w:hint="eastAsia" w:ascii="楷体_GB2312" w:hAnsi="楷体_GB2312" w:eastAsia="楷体_GB2312" w:cs="楷体_GB2312"/>
          <w:b w:val="0"/>
          <w:bCs w:val="0"/>
          <w:color w:val="auto"/>
          <w:kern w:val="0"/>
          <w:sz w:val="32"/>
          <w:szCs w:val="32"/>
          <w:vertAlign w:val="baseline"/>
          <w:lang w:val="en-US" w:eastAsia="zh-CN" w:bidi="ar"/>
        </w:rPr>
        <w:t>（四）</w:t>
      </w:r>
      <w:r>
        <w:rPr>
          <w:rFonts w:hint="eastAsia" w:ascii="楷体_GB2312" w:hAnsi="楷体_GB2312" w:eastAsia="楷体_GB2312" w:cs="楷体_GB2312"/>
          <w:color w:val="auto"/>
          <w:kern w:val="0"/>
          <w:sz w:val="32"/>
          <w:szCs w:val="32"/>
          <w:lang w:bidi="ar"/>
        </w:rPr>
        <w:t>游艇自由行对接交流板块</w:t>
      </w:r>
      <w:r>
        <w:rPr>
          <w:rFonts w:hint="eastAsia" w:ascii="楷体_GB2312" w:hAnsi="楷体_GB2312" w:eastAsia="楷体_GB2312" w:cs="楷体_GB2312"/>
          <w:color w:val="auto"/>
          <w:kern w:val="0"/>
          <w:sz w:val="32"/>
          <w:szCs w:val="32"/>
          <w:lang w:eastAsia="zh-CN" w:bidi="ar"/>
        </w:rPr>
        <w:t>。</w:t>
      </w:r>
    </w:p>
    <w:p w14:paraId="45A09F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1.设置2个展区。</w:t>
      </w:r>
    </w:p>
    <w:p w14:paraId="1B5C2A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水上休闲娱乐艇展示区</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eastAsia="zh-CN" w:bidi="ar"/>
        </w:rPr>
        <w:t>在</w:t>
      </w:r>
      <w:r>
        <w:rPr>
          <w:rFonts w:hint="eastAsia" w:ascii="仿宋_GB2312" w:hAnsi="仿宋_GB2312" w:eastAsia="仿宋_GB2312" w:cs="仿宋_GB2312"/>
          <w:b w:val="0"/>
          <w:bCs w:val="0"/>
          <w:color w:val="auto"/>
          <w:sz w:val="32"/>
          <w:szCs w:val="32"/>
          <w:highlight w:val="none"/>
          <w:lang w:val="en-US" w:eastAsia="zh-CN"/>
        </w:rPr>
        <w:t>珠海规划展览馆</w:t>
      </w:r>
      <w:r>
        <w:rPr>
          <w:rFonts w:hint="eastAsia" w:ascii="仿宋_GB2312" w:hAnsi="仿宋_GB2312" w:eastAsia="仿宋_GB2312" w:cs="仿宋_GB2312"/>
          <w:b w:val="0"/>
          <w:bCs w:val="0"/>
          <w:color w:val="auto"/>
          <w:kern w:val="0"/>
          <w:sz w:val="32"/>
          <w:szCs w:val="32"/>
          <w:lang w:bidi="ar"/>
        </w:rPr>
        <w:t>设置摩托艇、橡皮艇等水上船艇静态展示专区，全方位展现粤港澳游艇全产业链服务优势及配套能力</w:t>
      </w:r>
      <w:r>
        <w:rPr>
          <w:rFonts w:hint="eastAsia" w:ascii="仿宋_GB2312" w:hAnsi="仿宋_GB2312" w:eastAsia="仿宋_GB2312" w:cs="仿宋_GB2312"/>
          <w:b w:val="0"/>
          <w:bCs w:val="0"/>
          <w:color w:val="auto"/>
          <w:kern w:val="0"/>
          <w:sz w:val="32"/>
          <w:szCs w:val="32"/>
          <w:vertAlign w:val="baseline"/>
          <w:lang w:val="en-US" w:eastAsia="zh-CN" w:bidi="ar"/>
        </w:rPr>
        <w:t>。</w:t>
      </w:r>
    </w:p>
    <w:p w14:paraId="5459E0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格旅游艇码头展区</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在格旅珠海国际游艇体验中心设置8艘游艇进行水上静态展示，可登艇观摩驾驶操控装置、船舱内饰、救生设备，实操穿戴水上救生用具。</w:t>
      </w:r>
    </w:p>
    <w:p w14:paraId="296163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2.举办3场活动。</w:t>
      </w:r>
    </w:p>
    <w:p w14:paraId="17A7FA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珠港澳游艇产业战略合作签约仪式</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由珠海游艇协会、香港游艇会、澳门游艇活动推广协会三方代表签署战略合作协议，</w:t>
      </w:r>
      <w:r>
        <w:rPr>
          <w:rFonts w:hint="eastAsia" w:ascii="仿宋_GB2312" w:hAnsi="仿宋_GB2312" w:eastAsia="仿宋_GB2312" w:cs="仿宋_GB2312"/>
          <w:color w:val="auto"/>
          <w:kern w:val="0"/>
          <w:sz w:val="32"/>
          <w:szCs w:val="32"/>
          <w:lang w:bidi="ar"/>
        </w:rPr>
        <w:t>推进粤港澳游艇产业链跨区域协作，助力珠港澳游艇产业高质量发展。</w:t>
      </w:r>
    </w:p>
    <w:p w14:paraId="1CE7799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粤港澳三地游艇自由行对接交流会</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围绕粤港澳游艇自由行政策优化、三地游艇产业资源互通、滨海文旅业态深度融合、船舶后期运维服务升级等内容开展对接交流。</w:t>
      </w:r>
    </w:p>
    <w:p w14:paraId="46D4C5F5">
      <w:pPr>
        <w:keepNext w:val="0"/>
        <w:keepLines w:val="0"/>
        <w:pageBreakBefore w:val="0"/>
        <w:widowControl w:val="0"/>
        <w:kinsoku/>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方正大标宋简体" w:hAnsi="方正大标宋简体" w:eastAsia="方正大标宋简体" w:cs="方正大标宋简体"/>
          <w:color w:val="auto"/>
          <w:spacing w:val="-6"/>
          <w:sz w:val="44"/>
          <w:szCs w:val="44"/>
          <w:highlight w:val="none"/>
        </w:rPr>
      </w:pPr>
      <w:r>
        <w:rPr>
          <w:rFonts w:hint="eastAsia" w:ascii="仿宋_GB2312" w:hAnsi="仿宋_GB2312" w:eastAsia="仿宋_GB2312" w:cs="仿宋_GB2312"/>
          <w:b/>
          <w:bCs/>
          <w:color w:val="auto"/>
          <w:kern w:val="0"/>
          <w:sz w:val="32"/>
          <w:szCs w:val="32"/>
          <w:lang w:bidi="ar"/>
        </w:rPr>
        <w:t>休闲游艇近海实景展演体验</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邀请</w:t>
      </w:r>
      <w:r>
        <w:rPr>
          <w:rFonts w:hint="eastAsia" w:ascii="仿宋_GB2312" w:hAnsi="仿宋_GB2312" w:eastAsia="仿宋_GB2312" w:cs="仿宋_GB2312"/>
          <w:b w:val="0"/>
          <w:bCs w:val="0"/>
          <w:color w:val="auto"/>
          <w:kern w:val="0"/>
          <w:sz w:val="32"/>
          <w:szCs w:val="32"/>
          <w:lang w:eastAsia="zh-CN" w:bidi="ar"/>
        </w:rPr>
        <w:t>部分</w:t>
      </w:r>
      <w:r>
        <w:rPr>
          <w:rFonts w:hint="eastAsia" w:ascii="仿宋_GB2312" w:hAnsi="仿宋_GB2312" w:eastAsia="仿宋_GB2312" w:cs="仿宋_GB2312"/>
          <w:b w:val="0"/>
          <w:bCs w:val="0"/>
          <w:color w:val="auto"/>
          <w:kern w:val="0"/>
          <w:sz w:val="32"/>
          <w:szCs w:val="32"/>
          <w:lang w:bidi="ar"/>
        </w:rPr>
        <w:t>嘉宾开展合规休闲游艇近海海上实景游览体验，直观展现粤港澳游艇自由行常态化通航服务能力与水上文旅发展水平。</w:t>
      </w:r>
    </w:p>
    <w:p w14:paraId="13DEEAB3">
      <w:pPr>
        <w:rPr>
          <w:rFonts w:ascii="Arial"/>
          <w:sz w:val="21"/>
        </w:rPr>
      </w:pPr>
    </w:p>
    <w:sectPr>
      <w:footerReference r:id="rId20" w:type="default"/>
      <w:pgSz w:w="11907" w:h="16840"/>
      <w:pgMar w:top="400" w:right="1530" w:bottom="1025" w:left="1561" w:header="0" w:footer="77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altName w:val="仿宋_GB2312"/>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Lucida Sans Unicode">
    <w:altName w:val="Noto Naskh Arabic"/>
    <w:panose1 w:val="020B0602030504020204"/>
    <w:charset w:val="00"/>
    <w:family w:val="auto"/>
    <w:pitch w:val="default"/>
    <w:sig w:usb0="00000000" w:usb1="00000000" w:usb2="00000000" w:usb3="00000000" w:csb0="200000BF" w:csb1="D7F70000"/>
  </w:font>
  <w:font w:name="Noto Naskh Arabic">
    <w:panose1 w:val="020B0502040504020204"/>
    <w:charset w:val="00"/>
    <w:family w:val="auto"/>
    <w:pitch w:val="default"/>
    <w:sig w:usb0="80002003" w:usb1="80002000" w:usb2="00000008" w:usb3="00000000" w:csb0="00000041" w:csb1="00080000"/>
  </w:font>
  <w:font w:name="方正仿宋_GBK">
    <w:panose1 w:val="02000000000000000000"/>
    <w:charset w:val="86"/>
    <w:family w:val="auto"/>
    <w:pitch w:val="default"/>
    <w:sig w:usb0="00000001" w:usb1="08000000" w:usb2="00000000" w:usb3="00000000" w:csb0="00040000" w:csb1="00000000"/>
  </w:font>
  <w:font w:name="SimSun">
    <w:panose1 w:val="02010600030101010101"/>
    <w:charset w:val="86"/>
    <w:family w:val="auto"/>
    <w:pitch w:val="default"/>
    <w:sig w:usb0="00000003" w:usb1="080E0000" w:usb2="00000000" w:usb3="00000000" w:csb0="00040001" w:csb1="00000000"/>
  </w:font>
  <w:font w:name="方正大标宋简体">
    <w:altName w:val="宋体"/>
    <w:panose1 w:val="02010601030101010101"/>
    <w:charset w:val="86"/>
    <w:family w:val="auto"/>
    <w:pitch w:val="default"/>
    <w:sig w:usb0="00000000" w:usb1="00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E7AAB">
    <w:pPr>
      <w:spacing w:line="181" w:lineRule="auto"/>
      <w:ind w:left="124"/>
      <w:rPr>
        <w:rFonts w:ascii="Times New Roman" w:hAnsi="Times New Roman" w:eastAsia="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03C7E">
    <w:pPr>
      <w:spacing w:line="178" w:lineRule="auto"/>
      <w:ind w:left="13773"/>
      <w:rPr>
        <w:rFonts w:ascii="Times New Roman" w:hAnsi="Times New Roman" w:eastAsia="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8A06A">
    <w:pPr>
      <w:spacing w:line="181" w:lineRule="auto"/>
      <w:ind w:left="19"/>
      <w:rPr>
        <w:rFonts w:ascii="Times New Roman" w:hAnsi="Times New Roman" w:eastAsia="Times New Roman" w:cs="Times New Roman"/>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137B7">
    <w:pPr>
      <w:spacing w:line="181" w:lineRule="auto"/>
      <w:ind w:left="8378"/>
      <w:rPr>
        <w:rFonts w:ascii="Times New Roman" w:hAnsi="Times New Roman" w:eastAsia="Times New Roman" w:cs="Times New Roman"/>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A1F0E">
    <w:pPr>
      <w:spacing w:line="181" w:lineRule="auto"/>
      <w:ind w:left="2"/>
      <w:rPr>
        <w:rFonts w:ascii="Times New Roman" w:hAnsi="Times New Roman" w:eastAsia="Times New Roman" w:cs="Times New Roman"/>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8A8B1">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BB121">
    <w:pPr>
      <w:spacing w:line="181" w:lineRule="auto"/>
      <w:ind w:left="515"/>
      <w:rPr>
        <w:rFonts w:ascii="Times New Roman" w:hAnsi="Times New Roman" w:eastAsia="Times New Roman" w:cs="Times New Roman"/>
        <w:sz w:val="28"/>
        <w:szCs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63BF0">
    <w:pPr>
      <w:spacing w:line="181" w:lineRule="auto"/>
      <w:ind w:left="8244"/>
      <w:rPr>
        <w:rFonts w:ascii="Times New Roman" w:hAnsi="Times New Roman" w:eastAsia="Times New Roman" w:cs="Times New Roman"/>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ADC2D">
    <w:pPr>
      <w:spacing w:line="181" w:lineRule="auto"/>
      <w:ind w:left="4"/>
      <w:rPr>
        <w:rFonts w:ascii="Times New Roman" w:hAnsi="Times New Roman" w:eastAsia="Times New Roman" w:cs="Times New Roman"/>
        <w:sz w:val="28"/>
        <w:szCs w:val="2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A4EBB">
    <w:pPr>
      <w:spacing w:line="181" w:lineRule="auto"/>
      <w:jc w:val="right"/>
      <w:rPr>
        <w:rFonts w:ascii="Times New Roman" w:hAnsi="Times New Roman" w:eastAsia="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37B0">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44FC7">
    <w:pPr>
      <w:spacing w:before="98" w:line="212" w:lineRule="auto"/>
      <w:ind w:left="37"/>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1"/>
        <w:sz w:val="31"/>
        <w:szCs w:val="31"/>
      </w:rPr>
      <w:t xml:space="preserve"> </w:t>
    </w:r>
    <w:r>
      <w:rPr>
        <w:rFonts w:ascii="黑体" w:hAnsi="黑体" w:eastAsia="黑体" w:cs="黑体"/>
        <w:spacing w:val="-4"/>
        <w:sz w:val="31"/>
        <w:szCs w:val="31"/>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CBB33">
    <w:pPr>
      <w:spacing w:before="98" w:line="212" w:lineRule="auto"/>
      <w:ind w:left="17"/>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70"/>
        <w:sz w:val="31"/>
        <w:szCs w:val="31"/>
      </w:rPr>
      <w:t xml:space="preserve"> </w:t>
    </w:r>
    <w:r>
      <w:rPr>
        <w:rFonts w:ascii="黑体" w:hAnsi="黑体" w:eastAsia="黑体" w:cs="黑体"/>
        <w:spacing w:val="-4"/>
        <w:sz w:val="31"/>
        <w:szCs w:val="31"/>
      </w:rPr>
      <w:t>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5FF9">
    <w:pPr>
      <w:spacing w:before="98" w:line="212" w:lineRule="auto"/>
      <w:ind w:left="21"/>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9"/>
        <w:sz w:val="31"/>
        <w:szCs w:val="31"/>
      </w:rPr>
      <w:t xml:space="preserve"> </w:t>
    </w:r>
    <w:r>
      <w:rPr>
        <w:rFonts w:ascii="黑体" w:hAnsi="黑体" w:eastAsia="黑体" w:cs="黑体"/>
        <w:spacing w:val="-4"/>
        <w:sz w:val="31"/>
        <w:szCs w:val="31"/>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14E1E">
    <w:pPr>
      <w:spacing w:before="98" w:line="212" w:lineRule="auto"/>
      <w:ind w:left="534"/>
      <w:rPr>
        <w:rFonts w:ascii="黑体" w:hAnsi="黑体" w:eastAsia="黑体" w:cs="黑体"/>
        <w:sz w:val="31"/>
        <w:szCs w:val="31"/>
      </w:rPr>
    </w:pPr>
    <w:r>
      <w:rPr>
        <w:rFonts w:ascii="黑体" w:hAnsi="黑体" w:eastAsia="黑体" w:cs="黑体"/>
        <w:spacing w:val="-2"/>
        <w:sz w:val="31"/>
        <w:szCs w:val="31"/>
      </w:rPr>
      <w:t>附件6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3FFB9">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14B761F"/>
    <w:rsid w:val="F5FF64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Calibri" w:hAnsi="Calibri" w:eastAsia="仿宋"/>
      <w:sz w:val="32"/>
      <w:szCs w:val="32"/>
    </w:rPr>
  </w:style>
  <w:style w:type="paragraph" w:styleId="3">
    <w:name w:val="Body Text"/>
    <w:basedOn w:val="1"/>
    <w:next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6"/>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e7d26ca9-9279-4641-a0bf-ca0d909fd56e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55CA1D63</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4e93604a-c815-49d2-ab14-b1ac31852327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33B46D29</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e2bcc5b9-3fac-4694-bb8e-67e37921c609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33B46D29</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bacbbca1-be13-420b-a362-5c7bfdcf6d59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4AE221C</paraID>
      <start xmlns="http://schemas.wps.cn/vas-ai-hub/contract-review">129</start>
      <end xmlns="http://schemas.wps.cn/vas-ai-hub/contract-review">130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f1bb20e0-d0d5-42a0-9971-3130c3b8af7b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27F5FDFE</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32bd5640-54a4-4885-9ba8-7d54413dcac1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590E4ADC</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fa048e3e-e755-4f5b-bb68-d795b846ec61</errorID>
      <errorWord xmlns="http://schemas.wps.cn/vas-ai-hub/contract-review">进 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进口</item>
      </candidateList>
      <explain xmlns="http://schemas.wps.cn/vas-ai-hub/contract-review"/>
      <paraID xmlns="http://schemas.wps.cn/vas-ai-hub/contract-review">55725889</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59bede82-bff8-4304-9bba-5aaee5eb3796</errorID>
      <errorWord xmlns="http://schemas.wps.cn/vas-ai-hub/contract-review">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获得</item>
      </candidateList>
      <explain xmlns="http://schemas.wps.cn/vas-ai-hub/contract-review"/>
      <paraID xmlns="http://schemas.wps.cn/vas-ai-hub/contract-review">75C8F94A</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243bbdf3-7c00-4df5-8aee-a2fc2ae55c14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33C169D1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4492872a-78b9-4484-bb6e-0f5736a19976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2EB373AA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da4d715e-5c14-487c-839d-86366729a74d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2441E191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c251e2ce-f13a-4545-9f4d-6a600ac18b36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7239B825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4f8bd302-fe1e-4d6d-b5bb-c902d6b540ad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6B104AD8</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e33b990c-10e9-4a0d-a282-d92cf3b856df</errorID>
      <errorWord xmlns="http://schemas.wps.cn/vas-ai-hub/contract-review">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年来</item>
      </candidateList>
      <explain xmlns="http://schemas.wps.cn/vas-ai-hub/contract-review"/>
      <paraID xmlns="http://schemas.wps.cn/vas-ai-hub/contract-review">70107ABE</paraID>
      <start xmlns="http://schemas.wps.cn/vas-ai-hub/contract-review">54</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92c8f63a-f92b-4e56-9140-547b1c25d922</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 44D9BBD</paraID>
      <start xmlns="http://schemas.wps.cn/vas-ai-hub/contract-review">18</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7a7a4117-aa89-42d1-b4c2-a194bff3d157</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508D0DE5</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b647657b-fc43-4221-8c85-107f8c1b7699</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508D0DE5</paraID>
      <start xmlns="http://schemas.wps.cn/vas-ai-hub/contract-review">53</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e4dc3881-0707-4b53-b179-4f9fd3f7e20b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7891ECAB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b63b9c31-53f9-4e5e-9c55-eea8abf0d134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735E517E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4f7e66ed-b332-4df9-82b3-2822793a5d6b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21E4066B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21957570-4541-4ab4-813b-0f354440f919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3E26FCFC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7711ad92-4a54-4cc1-95ae-3da0ccdd6426</errorID>
      <errorWord xmlns="http://schemas.wps.cn/vas-ai-hub/contract-review">单位的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单位</item>
      </candidateList>
      <explain xmlns="http://schemas.wps.cn/vas-ai-hub/contract-review"/>
      <paraID xmlns="http://schemas.wps.cn/vas-ai-hub/contract-review">6F1DFD32</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724b4f1a-93e3-41fb-a392-60cd612b0b64</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3B76576E</paraID>
      <start xmlns="http://schemas.wps.cn/vas-ai-hub/contract-review">30</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14672812-ae99-44ae-b844-b1df67548ac9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3B76576E</paraID>
      <start xmlns="http://schemas.wps.cn/vas-ai-hub/contract-review">68</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0b0d10d9-616d-4360-a942-71c9a5339d80</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3B76576E</paraID>
      <start xmlns="http://schemas.wps.cn/vas-ai-hub/contract-review">81</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de075da7-cdeb-46ca-927a-95b6480bfdb7</errorID>
      <errorWord xmlns="http://schemas.wps.cn/vas-ai-hub/contract-review">展位的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展位</item>
      </candidateList>
      <explain xmlns="http://schemas.wps.cn/vas-ai-hub/contract-review"/>
      <paraID xmlns="http://schemas.wps.cn/vas-ai-hub/contract-review">2A8E58DD</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f47acce8-4e74-4b43-8544-c1e3a7f2c9b2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2A8E58DD</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e4f868ac-4852-42e2-aa79-191802d17818</errorID>
      <errorWord xmlns="http://schemas.wps.cn/vas-ai-hub/contract-review">安排的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安排</item>
      </candidateList>
      <explain xmlns="http://schemas.wps.cn/vas-ai-hub/contract-review"/>
      <paraID xmlns="http://schemas.wps.cn/vas-ai-hub/contract-review">2A8E58DD</paraID>
      <start xmlns="http://schemas.wps.cn/vas-ai-hub/contract-review">61</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d0275f82-abeb-467e-bd5b-269457ef5d75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61C91F78</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3613ff2d-03b0-482f-95cd-e42f9c87a47c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14E99D11</paraID>
      <start xmlns="http://schemas.wps.cn/vas-ai-hub/contract-review">68</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db9ec6fc-e94c-475f-b1c0-63c9f60efe53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14E99D11</paraID>
      <start xmlns="http://schemas.wps.cn/vas-ai-hub/contract-review">101</start>
      <end xmlns="http://schemas.wps.cn/vas-ai-hub/contract-review">102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8cd613f8-4f8a-430c-be20-458813fc0468</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item>
      </candidateList>
      <explain xmlns="http://schemas.wps.cn/vas-ai-hub/contract-review"/>
      <paraID xmlns="http://schemas.wps.cn/vas-ai-hub/contract-review">7F5D0A0A</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6c382717-88b9-436b-99cc-a1e2601df251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item>
      </candidateList>
      <explain xmlns="http://schemas.wps.cn/vas-ai-hub/contract-review"/>
      <paraID xmlns="http://schemas.wps.cn/vas-ai-hub/contract-review">7F5D0A0A</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8bb6c6bd-59b0-4ad4-b8e1-a0417584a822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7F5D0A0A</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398fbc8a-ddde-4eda-96d3-5f17303ca865</errorID>
      <errorWord xmlns="http://schemas.wps.cn/vas-ai-hub/contract-review">展位及/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展位</item>
      </candidateList>
      <explain xmlns="http://schemas.wps.cn/vas-ai-hub/contract-review"/>
      <paraID xmlns="http://schemas.wps.cn/vas-ai-hub/contract-review">48B85F25</paraID>
      <start xmlns="http://schemas.wps.cn/vas-ai-hub/contract-review">51</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69d56fa1-04c5-400c-b20a-17146f7c3581</errorID>
      <errorWord xmlns="http://schemas.wps.cn/vas-ai-hub/contract-review">及/或其</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48B85F25</paraID>
      <start xmlns="http://schemas.wps.cn/vas-ai-hub/contract-review">60</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97018fa6-52b3-45e0-bde0-724b2305cc1a</errorID>
      <errorWord xmlns="http://schemas.wps.cn/vas-ai-hub/contract-review">方及/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方</item>
      </candidateList>
      <explain xmlns="http://schemas.wps.cn/vas-ai-hub/contract-review"/>
      <paraID xmlns="http://schemas.wps.cn/vas-ai-hub/contract-review">48B85F25</paraID>
      <start xmlns="http://schemas.wps.cn/vas-ai-hub/contract-review">87</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90d243da-5440-4d7a-92b8-d7e90ef92eec</errorID>
      <errorWord xmlns="http://schemas.wps.cn/vas-ai-hub/contract-review">人身及/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人身</item>
      </candidateList>
      <explain xmlns="http://schemas.wps.cn/vas-ai-hub/contract-review"/>
      <paraID xmlns="http://schemas.wps.cn/vas-ai-hub/contract-review">48B85F25</paraID>
      <start xmlns="http://schemas.wps.cn/vas-ai-hub/contract-review">94</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dce6fb84-11d0-4497-9991-9119903e3474</errorID>
      <errorWord xmlns="http://schemas.wps.cn/vas-ai-hub/contract-review">财产损失的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财产损失</item>
      </candidateList>
      <explain xmlns="http://schemas.wps.cn/vas-ai-hub/contract-review"/>
      <paraID xmlns="http://schemas.wps.cn/vas-ai-hub/contract-review">48B85F25</paraID>
      <start xmlns="http://schemas.wps.cn/vas-ai-hub/contract-review">99</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c8f2b8ef-e6a2-4ada-8d7c-4b85411654e0</errorID>
      <errorWord xmlns="http://schemas.wps.cn/vas-ai-hub/contract-review">和/或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和</item>
      </candidateList>
      <explain xmlns="http://schemas.wps.cn/vas-ai-hub/contract-review"/>
      <paraID xmlns="http://schemas.wps.cn/vas-ai-hub/contract-review">48B85F25</paraID>
      <start xmlns="http://schemas.wps.cn/vas-ai-hub/contract-review">115</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38a8a1a9-c508-469d-bae4-0b8ccc0aeb7e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1a328928-6683-4615-ad5a-1924e951702e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a855d45c-d3e4-4d37-a637-3d2651690aec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123</start>
      <end xmlns="http://schemas.wps.cn/vas-ai-hub/contract-review">124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c092b26e-4039-4348-a2a1-3b7a28bc6b55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147</start>
      <end xmlns="http://schemas.wps.cn/vas-ai-hub/contract-review">148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13f274b4-ba84-4351-8b00-1cd34085060c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176</start>
      <end xmlns="http://schemas.wps.cn/vas-ai-hub/contract-review">177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aa5c1869-60c5-4230-b836-2fd9eb878048</errorID>
      <errorWord xmlns="http://schemas.wps.cn/vas-ai-hub/contract-review">石等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石</item>
      </candidateList>
      <explain xmlns="http://schemas.wps.cn/vas-ai-hub/contract-review"/>
      <paraID xmlns="http://schemas.wps.cn/vas-ai-hub/contract-review">25E2169F</paraID>
      <start xmlns="http://schemas.wps.cn/vas-ai-hub/contract-review">235</start>
      <end xmlns="http://schemas.wps.cn/vas-ai-hub/contract-review">237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d16ede83-adc2-47b6-9176-f6a9575bcc8f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252</start>
      <end xmlns="http://schemas.wps.cn/vas-ai-hub/contract-review">254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bbad8308-2569-4dd4-aac8-14605ebb72b3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271</start>
      <end xmlns="http://schemas.wps.cn/vas-ai-hub/contract-review">272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f1e5c83d-9c63-4601-9ad7-96cbfcfa1fd8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25E2169F</paraID>
      <start xmlns="http://schemas.wps.cn/vas-ai-hub/contract-review">274</start>
      <end xmlns="http://schemas.wps.cn/vas-ai-hub/contract-review">275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bd1a5ec8-7d24-4de7-8e63-1cd86ab49318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25E2169F</paraID>
      <start xmlns="http://schemas.wps.cn/vas-ai-hub/contract-review">287</start>
      <end xmlns="http://schemas.wps.cn/vas-ai-hub/contract-review">288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a9026a8c-7dc4-4f28-bae7-3a5c81b054be</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320</start>
      <end xmlns="http://schemas.wps.cn/vas-ai-hub/contract-review">321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ae4873a2-28e5-4918-ac89-cd2bed783b1a</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713224A1</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9df3b23b-ca9c-45d5-8dda-f27480afab27</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713224A1</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c4a07b4c-d560-4bd8-be48-64bb1bd0e6ac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713224A1</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e7fa68fd-9f3c-4654-bc13-e380bf014cbc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713224A1</paraID>
      <start xmlns="http://schemas.wps.cn/vas-ai-hub/contract-review">104</start>
      <end xmlns="http://schemas.wps.cn/vas-ai-hub/contract-review">105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0ade55c4-57a0-482e-b3f7-ed99f2acd2ea</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713224A1</paraID>
      <start xmlns="http://schemas.wps.cn/vas-ai-hub/contract-review">220</start>
      <end xmlns="http://schemas.wps.cn/vas-ai-hub/contract-review">221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e69ff3b3-2c22-4b9a-92aa-d988d071e4bb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713224A1</paraID>
      <start xmlns="http://schemas.wps.cn/vas-ai-hub/contract-review">232</start>
      <end xmlns="http://schemas.wps.cn/vas-ai-hub/contract-review">233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afbf07b8-94a3-435b-bd93-54ad505a355c</errorID>
      <errorWord xmlns="http://schemas.wps.cn/vas-ai-hub/contract-review">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item>
      </candidateList>
      <explain xmlns="http://schemas.wps.cn/vas-ai-hub/contract-review"/>
      <paraID xmlns="http://schemas.wps.cn/vas-ai-hub/contract-review">330F8480</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40ec72b7-21e9-476d-8a7b-361decc32919</errorID>
      <errorWord xmlns="http://schemas.wps.cn/vas-ai-hub/contract-review">及有关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有关的</item>
      </candidateList>
      <explain xmlns="http://schemas.wps.cn/vas-ai-hub/contract-review"/>
      <paraID xmlns="http://schemas.wps.cn/vas-ai-hub/contract-review">330F8480</paraID>
      <start xmlns="http://schemas.wps.cn/vas-ai-hub/contract-review">76</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4c0b867a-afe9-40b0-8907-579272b5ddc0</errorID>
      <errorWord xmlns="http://schemas.wps.cn/vas-ai-hub/contract-review">台湾地区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中国台湾地区</item>
      </candidateList>
      <explain xmlns="http://schemas.wps.cn/vas-ai-hub/contract-review"/>
      <paraID xmlns="http://schemas.wps.cn/vas-ai-hub/contract-review"> CF6B1B5</paraID>
      <start xmlns="http://schemas.wps.cn/vas-ai-hub/contract-review">148</start>
      <end xmlns="http://schemas.wps.cn/vas-ai-hub/contract-review">152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725ab6f5-8d09-4f16-88fd-28cde509cca8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2AD9FCBA</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e1a71a91-80b6-4619-985c-6f6d02405334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6AC4EB41</paraID>
      <start xmlns="http://schemas.wps.cn/vas-ai-hub/contract-review">19</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0621a21c-e66f-48e5-a108-3667640d8e19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6AC4EB41</paraID>
      <start xmlns="http://schemas.wps.cn/vas-ai-hub/contract-review">27</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29960667-04b8-4d27-9ac6-0c05a47948a5</errorID>
      <errorWord xmlns="http://schemas.wps.cn/vas-ai-hub/contract-review">工作日 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工作日内</item>
      </candidateList>
      <explain xmlns="http://schemas.wps.cn/vas-ai-hub/contract-review"/>
      <paraID xmlns="http://schemas.wps.cn/vas-ai-hub/contract-review"> 3478C38</paraID>
      <start xmlns="http://schemas.wps.cn/vas-ai-hub/contract-review">98</start>
      <end xmlns="http://schemas.wps.cn/vas-ai-hub/contract-review">103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c52d7d-0bb1-43ca-a1c3-b98381070df2}">
  <ds:schemaRefs/>
</ds:datastoreItem>
</file>

<file path=docProps/app.xml><?xml version="1.0" encoding="utf-8"?>
<Properties xmlns="http://schemas.openxmlformats.org/officeDocument/2006/extended-properties" xmlns:vt="http://schemas.openxmlformats.org/officeDocument/2006/docPropsVTypes">
  <Pages>15</Pages>
  <Words>8252</Words>
  <Characters>8511</Characters>
  <TotalTime>4</TotalTime>
  <ScaleCrop>false</ScaleCrop>
  <LinksUpToDate>false</LinksUpToDate>
  <CharactersWithSpaces>8945</CharactersWithSpaces>
  <Application>WPS Office_12.9.0.21301_F1E327BC-269C-435d-A152-05C5408002CA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2026-09-09T18:22:00Z</dcterms:created>
  <dc:creator>张艳妮</dc:creator>
  <cp:lastModifiedBy>user</cp:lastModifiedBy>
  <dcterms:modified xsi:type="dcterms:W3CDTF">2026-09-11T10:37:38Z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2026-09-10T16:39:21Z</vt:filetime>
  </property>
  <property fmtid="{D5CDD505-2E9C-101B-9397-08002B2CF9AE}" pid="4" name="KSOTemplateDocerSaveRecord">
    <vt:lpwstr>eyJoZGlkIjoiNmYxNjZjYTFmMTAyMmU3MmVmNjBkZmIyYzg5NTYyOWUiLCJ1c2VySWQiOiIyNTI2NzMzOTQifQ==</vt:lpwstr>
  </property>
  <property fmtid="{D5CDD505-2E9C-101B-9397-08002B2CF9AE}" pid="5" name="KSOProductBuildVer">
    <vt:lpwstr>2052-12.9.0.21301</vt:lpwstr>
  </property>
  <property fmtid="{D5CDD505-2E9C-101B-9397-08002B2CF9AE}" pid="6" name="ICV">
    <vt:lpwstr>8BD2073FA72224BD7269A36A59773639_43</vt:lpwstr>
  </property>
</Properties>
</file>