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rPr>
          <w:rFonts w:hint="eastAsia" w:cs="Times New Roman"/>
        </w:rPr>
      </w:pPr>
      <w:r>
        <w:rPr>
          <w:rFonts w:hint="eastAsia" w:cs="Times New Roman"/>
          <w:lang w:val="en-US" w:eastAsia="zh-CN"/>
        </w:rPr>
        <w:t>中山市牙膏</w:t>
      </w:r>
      <w:r>
        <w:rPr>
          <w:rFonts w:hint="eastAsia" w:cs="Times New Roman"/>
        </w:rPr>
        <w:t>产品质量</w:t>
      </w:r>
    </w:p>
    <w:p>
      <w:pPr>
        <w:pStyle w:val="6"/>
        <w:bidi w:val="0"/>
        <w:rPr>
          <w:rFonts w:hint="default" w:ascii="Times New Roman" w:hAnsi="Times New Roman" w:eastAsia="仿宋_GB2312" w:cs="Times New Roman"/>
          <w:color w:val="auto"/>
          <w:sz w:val="32"/>
          <w:szCs w:val="32"/>
          <w:highlight w:val="none"/>
          <w:lang w:eastAsia="zh-CN"/>
        </w:rPr>
      </w:pPr>
      <w:r>
        <w:rPr>
          <w:rFonts w:hint="eastAsia" w:cs="Times New Roman"/>
        </w:rPr>
        <w:t>监督抽查实施细则</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eastAsia="仿宋_GB2312" w:cs="Times New Roman"/>
          <w:color w:val="auto"/>
          <w:sz w:val="32"/>
          <w:szCs w:val="32"/>
          <w:highlight w:val="none"/>
        </w:rPr>
      </w:pPr>
    </w:p>
    <w:p>
      <w:pPr>
        <w:widowControl w:val="0"/>
        <w:adjustRightInd/>
        <w:snapToGrid/>
        <w:spacing w:before="217" w:beforeLines="50" w:after="217" w:afterLines="50" w:line="560" w:lineRule="exact"/>
        <w:ind w:firstLine="640" w:firstLineChars="200"/>
        <w:jc w:val="both"/>
        <w:rPr>
          <w:rFonts w:hint="default" w:ascii="Calibri" w:hAnsi="Calibri" w:eastAsia="黑体" w:cs="黑体"/>
          <w:color w:val="000000"/>
          <w:kern w:val="2"/>
          <w:sz w:val="32"/>
          <w:szCs w:val="32"/>
          <w:lang w:val="en-US" w:eastAsia="zh-CN"/>
        </w:rPr>
      </w:pPr>
      <w:r>
        <w:rPr>
          <w:rFonts w:hint="eastAsia" w:ascii="Calibri" w:hAnsi="Calibri" w:eastAsia="黑体" w:cs="黑体"/>
          <w:color w:val="000000"/>
          <w:kern w:val="2"/>
          <w:sz w:val="32"/>
          <w:szCs w:val="32"/>
          <w:lang w:val="en-US" w:eastAsia="zh-CN"/>
        </w:rPr>
        <w:t>一、</w:t>
      </w:r>
      <w:r>
        <w:rPr>
          <w:rFonts w:hint="default" w:ascii="Calibri" w:hAnsi="Calibri" w:eastAsia="黑体" w:cs="黑体"/>
          <w:color w:val="000000"/>
          <w:kern w:val="2"/>
          <w:sz w:val="32"/>
          <w:szCs w:val="32"/>
          <w:lang w:val="en-US" w:eastAsia="zh-CN"/>
        </w:rPr>
        <w:t>抽样方法</w:t>
      </w:r>
    </w:p>
    <w:p>
      <w:pPr>
        <w:widowControl/>
        <w:bidi w:val="0"/>
        <w:adjustRightInd/>
        <w:snapToGrid/>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以随机抽样的方式在被抽查市场主体的待销产品中抽取。</w:t>
      </w:r>
    </w:p>
    <w:p>
      <w:pPr>
        <w:bidi w:val="0"/>
        <w:adjustRightInd/>
        <w:snapToGrid/>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随机数一般可使用随机数表等方法产生。</w:t>
      </w:r>
    </w:p>
    <w:p>
      <w:pPr>
        <w:bidi w:val="0"/>
        <w:adjustRightInd/>
        <w:snapToGrid/>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kern w:val="0"/>
          <w:sz w:val="32"/>
          <w:szCs w:val="32"/>
        </w:rPr>
        <w:t>每</w:t>
      </w:r>
      <w:r>
        <w:rPr>
          <w:rFonts w:hint="default" w:ascii="Times New Roman" w:hAnsi="Times New Roman" w:eastAsia="仿宋_GB2312" w:cs="Times New Roman"/>
          <w:kern w:val="0"/>
          <w:sz w:val="32"/>
          <w:szCs w:val="32"/>
          <w:lang w:eastAsia="zh-CN"/>
        </w:rPr>
        <w:t>批次</w:t>
      </w:r>
      <w:r>
        <w:rPr>
          <w:rFonts w:hint="default" w:ascii="Times New Roman" w:hAnsi="Times New Roman" w:eastAsia="仿宋_GB2312" w:cs="Times New Roman"/>
          <w:kern w:val="0"/>
          <w:sz w:val="32"/>
          <w:szCs w:val="32"/>
        </w:rPr>
        <w:t>产品抽取2组（总量不少于</w:t>
      </w:r>
      <w:r>
        <w:rPr>
          <w:rFonts w:hint="eastAsia" w:cs="Times New Roman"/>
          <w:kern w:val="0"/>
          <w:sz w:val="32"/>
          <w:szCs w:val="32"/>
          <w:lang w:val="en-US" w:eastAsia="zh-CN"/>
        </w:rPr>
        <w:t>12</w:t>
      </w:r>
      <w:r>
        <w:rPr>
          <w:rFonts w:hint="default" w:ascii="Times New Roman" w:hAnsi="Times New Roman" w:eastAsia="仿宋_GB2312" w:cs="Times New Roman"/>
          <w:kern w:val="0"/>
          <w:sz w:val="32"/>
          <w:szCs w:val="32"/>
        </w:rPr>
        <w:t>个独立包装）样本，1组为检验样品（不少于</w:t>
      </w:r>
      <w:r>
        <w:rPr>
          <w:rFonts w:hint="eastAsia" w:cs="Times New Roman"/>
          <w:kern w:val="0"/>
          <w:sz w:val="32"/>
          <w:szCs w:val="32"/>
          <w:lang w:val="en-US" w:eastAsia="zh-CN"/>
        </w:rPr>
        <w:t>8</w:t>
      </w:r>
      <w:r>
        <w:rPr>
          <w:rFonts w:hint="default" w:ascii="Times New Roman" w:hAnsi="Times New Roman" w:eastAsia="仿宋_GB2312" w:cs="Times New Roman"/>
          <w:kern w:val="0"/>
          <w:sz w:val="32"/>
          <w:szCs w:val="32"/>
        </w:rPr>
        <w:t>个独立包装），另1组为备用样品（不少于</w:t>
      </w:r>
      <w:r>
        <w:rPr>
          <w:rFonts w:hint="eastAsia" w:cs="Times New Roman"/>
          <w:kern w:val="0"/>
          <w:sz w:val="32"/>
          <w:szCs w:val="32"/>
          <w:lang w:val="en-US" w:eastAsia="zh-CN"/>
        </w:rPr>
        <w:t>4</w:t>
      </w:r>
      <w:r>
        <w:rPr>
          <w:rFonts w:hint="default" w:ascii="Times New Roman" w:hAnsi="Times New Roman" w:eastAsia="仿宋_GB2312" w:cs="Times New Roman"/>
          <w:kern w:val="0"/>
          <w:sz w:val="32"/>
          <w:szCs w:val="32"/>
        </w:rPr>
        <w:t>个独立包装）。</w:t>
      </w:r>
    </w:p>
    <w:p>
      <w:pPr>
        <w:widowControl w:val="0"/>
        <w:adjustRightInd/>
        <w:snapToGrid/>
        <w:spacing w:before="217" w:beforeLines="50" w:after="217" w:afterLines="50" w:line="560" w:lineRule="exact"/>
        <w:ind w:firstLine="640" w:firstLineChars="200"/>
        <w:jc w:val="both"/>
        <w:rPr>
          <w:rFonts w:hint="default" w:ascii="Calibri" w:hAnsi="Calibri" w:eastAsia="黑体" w:cs="黑体"/>
          <w:color w:val="000000"/>
          <w:kern w:val="2"/>
          <w:sz w:val="32"/>
          <w:szCs w:val="32"/>
          <w:lang w:val="en-US" w:eastAsia="zh-CN"/>
        </w:rPr>
      </w:pPr>
      <w:r>
        <w:rPr>
          <w:rFonts w:hint="eastAsia" w:ascii="Calibri" w:hAnsi="Calibri" w:eastAsia="黑体" w:cs="黑体"/>
          <w:color w:val="000000"/>
          <w:kern w:val="2"/>
          <w:sz w:val="32"/>
          <w:szCs w:val="32"/>
          <w:lang w:val="en-US" w:eastAsia="zh-CN"/>
        </w:rPr>
        <w:t>二、</w:t>
      </w:r>
      <w:r>
        <w:rPr>
          <w:rFonts w:hint="default" w:ascii="Calibri" w:hAnsi="Calibri" w:eastAsia="黑体" w:cs="黑体"/>
          <w:color w:val="000000"/>
          <w:kern w:val="2"/>
          <w:sz w:val="32"/>
          <w:szCs w:val="32"/>
          <w:lang w:val="en-US" w:eastAsia="zh-CN"/>
        </w:rPr>
        <w:t>检验依据</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3462"/>
        <w:gridCol w:w="4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b/>
                <w:bCs/>
                <w:kern w:val="2"/>
                <w:sz w:val="24"/>
                <w:szCs w:val="24"/>
              </w:rPr>
            </w:pPr>
            <w:r>
              <w:rPr>
                <w:rFonts w:hint="eastAsia" w:ascii="Times New Roman" w:hAnsi="Times New Roman" w:eastAsia="仿宋_GB2312" w:cs="仿宋_GB2312"/>
                <w:b/>
                <w:bCs/>
                <w:kern w:val="2"/>
                <w:sz w:val="24"/>
                <w:szCs w:val="24"/>
              </w:rPr>
              <w:t>序号</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b/>
                <w:bCs/>
                <w:kern w:val="2"/>
                <w:sz w:val="24"/>
                <w:szCs w:val="24"/>
              </w:rPr>
            </w:pPr>
            <w:r>
              <w:rPr>
                <w:rFonts w:hint="eastAsia" w:ascii="Times New Roman" w:hAnsi="Times New Roman" w:eastAsia="仿宋_GB2312" w:cs="仿宋_GB2312"/>
                <w:b/>
                <w:bCs/>
                <w:kern w:val="2"/>
                <w:sz w:val="24"/>
                <w:szCs w:val="24"/>
              </w:rPr>
              <w:t>检验项目</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b/>
                <w:bCs/>
                <w:kern w:val="2"/>
                <w:sz w:val="24"/>
                <w:szCs w:val="24"/>
              </w:rPr>
            </w:pPr>
            <w:r>
              <w:rPr>
                <w:rFonts w:hint="eastAsia" w:ascii="Times New Roman" w:hAnsi="Times New Roman" w:eastAsia="仿宋_GB2312" w:cs="仿宋_GB2312"/>
                <w:b/>
                <w:bCs/>
                <w:kern w:val="2"/>
                <w:sz w:val="24"/>
                <w:szCs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1</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eastAsia="zh-CN"/>
              </w:rPr>
            </w:pPr>
            <w:r>
              <w:rPr>
                <w:rFonts w:hint="eastAsia" w:ascii="Times New Roman" w:hAnsi="Times New Roman" w:eastAsia="仿宋_GB2312" w:cs="仿宋_GB2312"/>
                <w:kern w:val="2"/>
                <w:sz w:val="24"/>
                <w:szCs w:val="24"/>
                <w:lang w:val="en-US" w:eastAsia="zh-CN"/>
              </w:rPr>
              <w:t>膏体</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2</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pH</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3</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稳定性</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4</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过硬颗粒</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5</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可溶氟或游离氟量a</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6</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总氟量</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7</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菌落总数</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8</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霉菌与酵母总数</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9</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耐热大肠菌群</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10</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铜绿假单胞菌</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11</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金黄色葡萄球菌</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12</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铅含量</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13</w:t>
            </w:r>
          </w:p>
        </w:tc>
        <w:tc>
          <w:tcPr>
            <w:tcW w:w="3462"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砷含量</w:t>
            </w:r>
          </w:p>
        </w:tc>
        <w:tc>
          <w:tcPr>
            <w:tcW w:w="4608"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center"/>
              <w:textAlignment w:val="auto"/>
              <w:rPr>
                <w:rFonts w:hint="eastAsia" w:ascii="Times New Roman" w:hAnsi="Times New Roman" w:eastAsia="仿宋_GB2312" w:cs="仿宋_GB2312"/>
                <w:kern w:val="2"/>
                <w:sz w:val="24"/>
                <w:szCs w:val="24"/>
              </w:rPr>
            </w:pPr>
            <w:r>
              <w:rPr>
                <w:rFonts w:hint="eastAsia" w:ascii="Times New Roman" w:hAnsi="Times New Roman" w:eastAsia="仿宋_GB2312" w:cs="仿宋_GB2312"/>
                <w:kern w:val="2"/>
                <w:sz w:val="24"/>
                <w:szCs w:val="24"/>
              </w:rPr>
              <w:t>GB</w:t>
            </w:r>
            <w:r>
              <w:rPr>
                <w:rFonts w:hint="eastAsia" w:ascii="Times New Roman" w:hAnsi="Times New Roman" w:eastAsia="仿宋_GB2312" w:cs="仿宋_GB2312"/>
                <w:kern w:val="2"/>
                <w:sz w:val="24"/>
                <w:szCs w:val="24"/>
                <w:lang w:val="en-US" w:eastAsia="zh-CN"/>
              </w:rPr>
              <w:t>/</w:t>
            </w:r>
            <w:r>
              <w:rPr>
                <w:rFonts w:hint="eastAsia" w:ascii="Times New Roman" w:hAnsi="Times New Roman" w:eastAsia="仿宋_GB2312" w:cs="仿宋_GB2312"/>
                <w:kern w:val="2"/>
                <w:sz w:val="24"/>
                <w:szCs w:val="24"/>
              </w:rPr>
              <w:t>T 8372-2017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172"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before="181" w:beforeLines="50" w:after="0" w:line="360" w:lineRule="auto"/>
              <w:jc w:val="left"/>
              <w:textAlignment w:val="auto"/>
              <w:rPr>
                <w:rFonts w:hint="default" w:ascii="Times New Roman" w:hAnsi="Times New Roman" w:eastAsia="仿宋_GB2312" w:cs="仿宋_GB2312"/>
                <w:kern w:val="2"/>
                <w:sz w:val="24"/>
                <w:szCs w:val="24"/>
                <w:lang w:val="en-US" w:eastAsia="zh-CN"/>
              </w:rPr>
            </w:pPr>
            <w:r>
              <w:rPr>
                <w:rFonts w:hint="eastAsia" w:ascii="Times New Roman" w:hAnsi="Times New Roman" w:eastAsia="仿宋_GB2312" w:cs="仿宋_GB2312"/>
                <w:kern w:val="2"/>
                <w:sz w:val="24"/>
                <w:szCs w:val="24"/>
                <w:lang w:val="en-US" w:eastAsia="zh-CN"/>
              </w:rPr>
              <w:t>a.以单氟磷酸钠或单氟磷酸钠与氟化钠（氟化亚锡、氟化铵）复合使用的含氟牙膏适合可溶氟检测方法；以氟化钠或（氟化亚锡、氟化铵）为原料的含氟牙膏适合游离氟检测方法；若使用的氟化物超出单氟磷酸钠、氟化钠、氟化亚锡、氟化铵四种氟化物，探讨检测方法的适用性。</w:t>
            </w:r>
          </w:p>
        </w:tc>
      </w:tr>
    </w:tbl>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执行企业标准、团体标准、地方标准的产品，检验项目参照上述内容执行。</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凡是注日期的文件，其随后所有的修改单（不包括勘误的内容）或修订版不适用于本细则。凡是不注日期的文件，其最新版本适用于本细则。</w:t>
      </w:r>
    </w:p>
    <w:p>
      <w:pPr>
        <w:widowControl w:val="0"/>
        <w:adjustRightInd/>
        <w:snapToGrid/>
        <w:spacing w:before="217" w:beforeLines="50" w:after="217" w:afterLines="50" w:line="560" w:lineRule="exact"/>
        <w:ind w:firstLine="640" w:firstLineChars="200"/>
        <w:jc w:val="both"/>
        <w:rPr>
          <w:rFonts w:hint="default" w:ascii="Calibri" w:hAnsi="Calibri" w:eastAsia="黑体" w:cs="黑体"/>
          <w:color w:val="000000"/>
          <w:kern w:val="2"/>
          <w:sz w:val="32"/>
          <w:szCs w:val="32"/>
          <w:lang w:val="en-US" w:eastAsia="zh-CN"/>
        </w:rPr>
      </w:pPr>
      <w:r>
        <w:rPr>
          <w:rFonts w:hint="eastAsia" w:ascii="Calibri" w:hAnsi="Calibri" w:eastAsia="黑体" w:cs="黑体"/>
          <w:color w:val="000000"/>
          <w:kern w:val="2"/>
          <w:sz w:val="32"/>
          <w:szCs w:val="32"/>
          <w:lang w:val="en-US" w:eastAsia="zh-CN"/>
        </w:rPr>
        <w:t>三、</w:t>
      </w:r>
      <w:r>
        <w:rPr>
          <w:rFonts w:hint="default" w:ascii="Calibri" w:hAnsi="Calibri" w:eastAsia="黑体" w:cs="黑体"/>
          <w:color w:val="000000"/>
          <w:kern w:val="2"/>
          <w:sz w:val="32"/>
          <w:szCs w:val="32"/>
          <w:lang w:val="en-US" w:eastAsia="zh-CN"/>
        </w:rPr>
        <w:t>判定规则</w:t>
      </w:r>
    </w:p>
    <w:p>
      <w:pPr>
        <w:widowControl/>
        <w:adjustRightInd/>
        <w:snapToGrid/>
        <w:spacing w:after="0" w:line="360" w:lineRule="auto"/>
        <w:ind w:firstLine="640" w:firstLineChars="200"/>
        <w:jc w:val="both"/>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（一）</w:t>
      </w:r>
      <w:r>
        <w:rPr>
          <w:rFonts w:hint="default" w:ascii="Times New Roman" w:hAnsi="Times New Roman" w:eastAsia="仿宋_GB2312" w:cs="Times New Roman"/>
          <w:kern w:val="0"/>
          <w:sz w:val="32"/>
          <w:szCs w:val="32"/>
        </w:rPr>
        <w:t>依据标准</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GB/T 8372-2017《</w:t>
      </w:r>
      <w:r>
        <w:rPr>
          <w:rFonts w:hint="eastAsia" w:ascii="Times New Roman" w:hAnsi="Times New Roman" w:eastAsia="仿宋_GB2312" w:cs="Times New Roman"/>
          <w:color w:val="000000"/>
          <w:kern w:val="2"/>
          <w:sz w:val="32"/>
          <w:szCs w:val="32"/>
          <w:lang w:val="en-US" w:eastAsia="zh-CN"/>
        </w:rPr>
        <w:t>牙膏</w:t>
      </w:r>
      <w:r>
        <w:rPr>
          <w:rFonts w:hint="default" w:ascii="Times New Roman" w:hAnsi="Times New Roman" w:eastAsia="仿宋_GB2312" w:cs="Times New Roman"/>
          <w:color w:val="000000"/>
          <w:kern w:val="2"/>
          <w:sz w:val="32"/>
          <w:szCs w:val="32"/>
        </w:rPr>
        <w:t>》</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现行有效的企业标准、团体标准、地方标准及产品明示质量要求</w:t>
      </w:r>
    </w:p>
    <w:p>
      <w:pPr>
        <w:widowControl/>
        <w:adjustRightInd/>
        <w:snapToGrid/>
        <w:spacing w:after="0" w:line="360" w:lineRule="auto"/>
        <w:ind w:firstLine="640" w:firstLineChars="200"/>
        <w:jc w:val="both"/>
        <w:rPr>
          <w:rFonts w:hint="default"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（二）</w:t>
      </w:r>
      <w:r>
        <w:rPr>
          <w:rFonts w:hint="default" w:ascii="Times New Roman" w:hAnsi="Times New Roman" w:eastAsia="仿宋_GB2312" w:cs="Times New Roman"/>
          <w:kern w:val="0"/>
          <w:sz w:val="32"/>
          <w:szCs w:val="32"/>
          <w:lang w:eastAsia="zh-CN"/>
        </w:rPr>
        <w:t>判定原则</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经检验，检验项目全部合格，判定为被抽查产品所检项目未发现不合格；检验项目中任一项或一项以上不合格，判定为被抽查产品不合格。</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若被检产品明示的质量要求高于本细则中检验项目依据的标准要求时，应按被检产品明示的质量要求判定。</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若被检产品明示的质量要求低于本细则中检验项目依据的强制性标准要求时，应按照强制性标准要求判定。</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若被检产品明示的质量要求低于或包含本细则中检验项目依据的推荐性标准要求时，应以被检产品明示的质量要求判定。</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若被检产品明示的质量要求缺少本细则中检验项目依据的强制性标准要求时，应按照强制性标准要求判定。</w:t>
      </w:r>
    </w:p>
    <w:p>
      <w:pPr>
        <w:widowControl w:val="0"/>
        <w:adjustRightInd/>
        <w:snapToGrid/>
        <w:spacing w:after="0" w:line="360" w:lineRule="auto"/>
        <w:ind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rPr>
        <w:t>若被检产品明示的质量要求缺少本细则中检验项目依据的推荐性标准要求时，该项目不参与判定。</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8C0581"/>
    <w:rsid w:val="20387569"/>
    <w:rsid w:val="2C4E5573"/>
    <w:rsid w:val="42CA27F0"/>
    <w:rsid w:val="49F73A2F"/>
    <w:rsid w:val="508C0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jc w:val="center"/>
      <w:outlineLvl w:val="0"/>
    </w:pPr>
    <w:rPr>
      <w:rFonts w:ascii="方正小标宋简体" w:eastAsia="方正小标宋简体"/>
      <w:kern w:val="44"/>
      <w:sz w:val="3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unhideWhenUsed/>
    <w:qFormat/>
    <w:uiPriority w:val="99"/>
    <w:pPr>
      <w:widowControl w:val="0"/>
      <w:jc w:val="both"/>
    </w:pPr>
    <w:rPr>
      <w:rFonts w:ascii="宋体" w:hAnsi="Courier New" w:eastAsia="宋体" w:cs="Times New Roman"/>
      <w:kern w:val="2"/>
      <w:sz w:val="32"/>
      <w:szCs w:val="21"/>
      <w:lang w:val="en-US" w:eastAsia="zh-CN" w:bidi="ar-SA"/>
    </w:rPr>
  </w:style>
  <w:style w:type="paragraph" w:customStyle="1" w:styleId="6">
    <w:name w:val="样式1 标题（方正小标宋简体）"/>
    <w:qFormat/>
    <w:uiPriority w:val="0"/>
    <w:pPr>
      <w:widowControl w:val="0"/>
      <w:spacing w:line="560" w:lineRule="exact"/>
      <w:jc w:val="center"/>
    </w:pPr>
    <w:rPr>
      <w:rFonts w:ascii="Times New Roman" w:hAnsi="Times New Roman" w:eastAsia="方正小标宋简体" w:cs="Times New Roman"/>
      <w:kern w:val="2"/>
      <w:sz w:val="44"/>
      <w:szCs w:val="4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906</Words>
  <Characters>1556</Characters>
  <Lines>0</Lines>
  <Paragraphs>0</Paragraphs>
  <TotalTime>1</TotalTime>
  <ScaleCrop>false</ScaleCrop>
  <LinksUpToDate>false</LinksUpToDate>
  <CharactersWithSpaces>1599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2025-05-15T07:39:00Z</dcterms:created>
  <dc:creator>Lee</dc:creator>
  <cp:lastModifiedBy>Administrator</cp:lastModifiedBy>
  <dcterms:modified xsi:type="dcterms:W3CDTF">2026-05-28T07:11:25Z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53481A75CDD448A79B9CA63202D2EC74_13</vt:lpwstr>
  </property>
  <property fmtid="{D5CDD505-2E9C-101B-9397-08002B2CF9AE}" pid="4" name="KSOTemplateDocerSaveRecord">
    <vt:lpwstr>eyJoZGlkIjoiYmYzMmVkYmM0NTkxOWRjMWM3OTkxNzBhM2M0ZWIwNDEiLCJ1c2VySWQiOiIyNzA4Njg0MTkifQ==</vt:lpwstr>
  </property>
</Properties>
</file>