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6"/>
          <w:szCs w:val="44"/>
        </w:rPr>
      </w:pPr>
      <w:r>
        <w:rPr>
          <w:rFonts w:hint="eastAsia"/>
          <w:b/>
          <w:bCs/>
          <w:sz w:val="36"/>
          <w:szCs w:val="44"/>
        </w:rPr>
        <w:t>中山市生物质固体成型燃料</w:t>
      </w:r>
    </w:p>
    <w:p>
      <w:pPr>
        <w:jc w:val="center"/>
        <w:rPr>
          <w:b/>
          <w:bCs/>
          <w:sz w:val="36"/>
          <w:szCs w:val="44"/>
        </w:rPr>
      </w:pPr>
      <w:r>
        <w:rPr>
          <w:rFonts w:hint="eastAsia"/>
          <w:b/>
          <w:bCs/>
          <w:sz w:val="36"/>
          <w:szCs w:val="44"/>
        </w:rPr>
        <w:t>产品质量监督抽查实施细则</w:t>
      </w:r>
    </w:p>
    <w:p>
      <w:pPr>
        <w:jc w:val="center"/>
        <w:rPr>
          <w:sz w:val="28"/>
          <w:szCs w:val="36"/>
        </w:rPr>
      </w:pPr>
    </w:p>
    <w:p>
      <w:pPr>
        <w:jc w:val="left"/>
        <w:rPr>
          <w:b/>
          <w:bCs/>
          <w:sz w:val="24"/>
        </w:rPr>
      </w:pPr>
      <w:r>
        <w:rPr>
          <w:rFonts w:hint="eastAsia"/>
          <w:b/>
          <w:bCs/>
          <w:sz w:val="24"/>
        </w:rPr>
        <w:t>一、适用范围</w:t>
      </w:r>
    </w:p>
    <w:p>
      <w:pPr>
        <w:spacing w:line="360" w:lineRule="auto"/>
        <w:ind w:firstLine="480" w:firstLineChars="200"/>
        <w:jc w:val="left"/>
        <w:rPr>
          <w:sz w:val="24"/>
        </w:rPr>
      </w:pPr>
      <w:r>
        <w:rPr>
          <w:rFonts w:hint="eastAsia"/>
          <w:sz w:val="24"/>
        </w:rPr>
        <w:t>本细则适用于中山市境内生产、销售和使用领域的生物质固体成型燃料的专项监督抽查。</w:t>
      </w:r>
    </w:p>
    <w:p>
      <w:pPr>
        <w:pStyle w:val="6"/>
        <w:numPr>
          <w:ilvl w:val="0"/>
          <w:numId w:val="1"/>
        </w:numPr>
        <w:spacing w:line="360" w:lineRule="auto"/>
        <w:ind w:firstLineChars="0"/>
        <w:jc w:val="left"/>
        <w:rPr>
          <w:b/>
          <w:bCs/>
          <w:sz w:val="24"/>
        </w:rPr>
      </w:pPr>
      <w:r>
        <w:rPr>
          <w:rFonts w:hint="eastAsia"/>
          <w:b/>
          <w:bCs/>
          <w:sz w:val="24"/>
        </w:rPr>
        <w:t>检验依据及检测方法</w:t>
      </w:r>
    </w:p>
    <w:p>
      <w:pPr>
        <w:spacing w:line="360" w:lineRule="auto"/>
        <w:ind w:firstLine="480"/>
        <w:jc w:val="left"/>
        <w:rPr>
          <w:sz w:val="24"/>
        </w:rPr>
      </w:pPr>
      <w:r>
        <w:rPr>
          <w:rFonts w:hint="eastAsia"/>
          <w:sz w:val="24"/>
        </w:rPr>
        <w:t>下列文件凡是注明日期的，其随后所有的修改单或修订版均不适用于本细则。凡是不注明日期的，其最新版本适用于本细则。</w:t>
      </w:r>
    </w:p>
    <w:p>
      <w:pPr>
        <w:spacing w:line="360" w:lineRule="auto"/>
        <w:ind w:firstLine="480"/>
        <w:jc w:val="left"/>
        <w:rPr>
          <w:sz w:val="24"/>
        </w:rPr>
      </w:pPr>
      <w:r>
        <w:rPr>
          <w:rFonts w:hint="eastAsia"/>
          <w:sz w:val="24"/>
          <w:lang w:val="en-US" w:eastAsia="zh-CN"/>
        </w:rPr>
        <w:t>T/GDASE 0044-2023</w:t>
      </w:r>
      <w:r>
        <w:rPr>
          <w:rFonts w:hint="eastAsia"/>
          <w:sz w:val="24"/>
        </w:rPr>
        <w:t>《工业锅炉用生物质成型燃料》</w:t>
      </w:r>
    </w:p>
    <w:p>
      <w:pPr>
        <w:spacing w:line="360" w:lineRule="auto"/>
        <w:ind w:firstLine="480"/>
        <w:jc w:val="left"/>
        <w:rPr>
          <w:sz w:val="24"/>
        </w:rPr>
      </w:pPr>
      <w:r>
        <w:rPr>
          <w:rFonts w:hint="eastAsia"/>
          <w:sz w:val="24"/>
        </w:rPr>
        <w:t>GB/T 30727 固体生物质燃料发热量测定方法</w:t>
      </w:r>
    </w:p>
    <w:p>
      <w:pPr>
        <w:spacing w:line="360" w:lineRule="auto"/>
        <w:ind w:firstLine="480"/>
        <w:jc w:val="left"/>
        <w:rPr>
          <w:sz w:val="24"/>
        </w:rPr>
      </w:pPr>
      <w:r>
        <w:rPr>
          <w:rFonts w:hint="eastAsia"/>
          <w:sz w:val="24"/>
        </w:rPr>
        <w:t>GB/T 28732 固体生物质燃料全硫测定方法</w:t>
      </w:r>
    </w:p>
    <w:p>
      <w:pPr>
        <w:spacing w:line="360" w:lineRule="auto"/>
        <w:ind w:firstLine="480"/>
        <w:jc w:val="left"/>
        <w:rPr>
          <w:sz w:val="24"/>
        </w:rPr>
      </w:pPr>
      <w:r>
        <w:rPr>
          <w:rFonts w:hint="eastAsia"/>
          <w:sz w:val="24"/>
        </w:rPr>
        <w:t>GB/T 30729 固体生物质燃料中氯的测定方法</w:t>
      </w:r>
    </w:p>
    <w:p>
      <w:pPr>
        <w:spacing w:line="360" w:lineRule="auto"/>
        <w:ind w:firstLine="480"/>
        <w:jc w:val="left"/>
        <w:rPr>
          <w:sz w:val="24"/>
        </w:rPr>
      </w:pPr>
      <w:r>
        <w:rPr>
          <w:rFonts w:hint="eastAsia"/>
          <w:sz w:val="24"/>
        </w:rPr>
        <w:t>GB/T 30728 固体生物质燃料中氮的测定方法</w:t>
      </w:r>
    </w:p>
    <w:p>
      <w:pPr>
        <w:spacing w:line="360" w:lineRule="auto"/>
        <w:ind w:firstLine="480"/>
        <w:jc w:val="left"/>
        <w:rPr>
          <w:sz w:val="24"/>
        </w:rPr>
      </w:pPr>
      <w:r>
        <w:rPr>
          <w:rFonts w:hint="eastAsia"/>
          <w:sz w:val="24"/>
        </w:rPr>
        <w:t>NY/T 1879 生物质固体成型燃料采样方法</w:t>
      </w:r>
    </w:p>
    <w:p>
      <w:pPr>
        <w:spacing w:line="360" w:lineRule="auto"/>
        <w:ind w:firstLine="480"/>
        <w:jc w:val="left"/>
        <w:rPr>
          <w:sz w:val="24"/>
        </w:rPr>
      </w:pPr>
      <w:r>
        <w:rPr>
          <w:rFonts w:hint="eastAsia"/>
          <w:sz w:val="24"/>
        </w:rPr>
        <w:t>NY/T 1880 生物质固体成型燃料样品制备方法</w:t>
      </w:r>
    </w:p>
    <w:p>
      <w:pPr>
        <w:spacing w:line="360" w:lineRule="auto"/>
        <w:ind w:firstLine="480"/>
        <w:jc w:val="left"/>
        <w:rPr>
          <w:sz w:val="24"/>
        </w:rPr>
      </w:pPr>
      <w:r>
        <w:rPr>
          <w:rFonts w:hint="eastAsia"/>
          <w:sz w:val="24"/>
        </w:rPr>
        <w:t>NY/T 1881.2 生物质固体成型燃料试验方法 第2部分：全水分</w:t>
      </w:r>
    </w:p>
    <w:p>
      <w:pPr>
        <w:spacing w:line="360" w:lineRule="auto"/>
        <w:ind w:firstLine="480"/>
        <w:jc w:val="left"/>
        <w:rPr>
          <w:sz w:val="24"/>
        </w:rPr>
      </w:pPr>
      <w:r>
        <w:rPr>
          <w:rFonts w:hint="eastAsia"/>
          <w:sz w:val="24"/>
        </w:rPr>
        <w:t>NY/T 1881.4 生物质固体成型燃料试验方法 第4部分：挥发分</w:t>
      </w:r>
    </w:p>
    <w:p>
      <w:pPr>
        <w:spacing w:line="360" w:lineRule="auto"/>
        <w:ind w:firstLine="480"/>
        <w:jc w:val="left"/>
        <w:rPr>
          <w:sz w:val="24"/>
        </w:rPr>
      </w:pPr>
      <w:r>
        <w:rPr>
          <w:rFonts w:hint="eastAsia"/>
          <w:sz w:val="24"/>
        </w:rPr>
        <w:t>NY/T 1881.5 生物质固体成型燃料试验方法 第5部分：灰分</w:t>
      </w:r>
    </w:p>
    <w:p>
      <w:pPr>
        <w:spacing w:line="360" w:lineRule="auto"/>
        <w:ind w:firstLine="480"/>
        <w:jc w:val="left"/>
        <w:rPr>
          <w:sz w:val="24"/>
        </w:rPr>
      </w:pPr>
      <w:r>
        <w:rPr>
          <w:rFonts w:hint="eastAsia"/>
          <w:sz w:val="24"/>
        </w:rPr>
        <w:t>NY/T 1881.7 生物质固体成型燃料试验方法 第7部分：密度</w:t>
      </w:r>
    </w:p>
    <w:p>
      <w:pPr>
        <w:pStyle w:val="6"/>
        <w:numPr>
          <w:ilvl w:val="0"/>
          <w:numId w:val="1"/>
        </w:numPr>
        <w:spacing w:line="360" w:lineRule="auto"/>
        <w:ind w:firstLineChars="0"/>
        <w:jc w:val="left"/>
        <w:rPr>
          <w:b/>
          <w:bCs/>
          <w:sz w:val="24"/>
        </w:rPr>
      </w:pPr>
      <w:r>
        <w:rPr>
          <w:rFonts w:hint="eastAsia"/>
          <w:b/>
          <w:bCs/>
          <w:sz w:val="24"/>
        </w:rPr>
        <w:t>抽样方法</w:t>
      </w:r>
    </w:p>
    <w:p>
      <w:pPr>
        <w:pStyle w:val="6"/>
        <w:numPr>
          <w:ilvl w:val="0"/>
          <w:numId w:val="2"/>
        </w:numPr>
        <w:spacing w:line="360" w:lineRule="auto"/>
        <w:ind w:firstLineChars="0"/>
        <w:jc w:val="left"/>
        <w:rPr>
          <w:sz w:val="24"/>
        </w:rPr>
      </w:pPr>
      <w:r>
        <w:rPr>
          <w:rFonts w:hint="eastAsia"/>
          <w:sz w:val="24"/>
        </w:rPr>
        <w:t>抽样型号或规格</w:t>
      </w:r>
    </w:p>
    <w:p>
      <w:pPr>
        <w:spacing w:line="360" w:lineRule="auto"/>
        <w:jc w:val="left"/>
        <w:rPr>
          <w:sz w:val="24"/>
        </w:rPr>
      </w:pPr>
      <w:r>
        <w:rPr>
          <w:rFonts w:hint="eastAsia"/>
          <w:sz w:val="24"/>
        </w:rPr>
        <w:t xml:space="preserve">    抽取的样品应为同一批次的产品。抽取全市范围内生物质固体成型燃料共</w:t>
      </w:r>
      <w:r>
        <w:rPr>
          <w:rFonts w:hint="eastAsia"/>
          <w:sz w:val="24"/>
          <w:lang w:val="en-US" w:eastAsia="zh-CN"/>
        </w:rPr>
        <w:t>15</w:t>
      </w:r>
      <w:r>
        <w:rPr>
          <w:rFonts w:hint="eastAsia"/>
          <w:sz w:val="24"/>
        </w:rPr>
        <w:t>批次，同一批次同时取2袋样品，其中1袋用于检测，另1袋作为备样。</w:t>
      </w:r>
    </w:p>
    <w:p>
      <w:pPr>
        <w:pStyle w:val="6"/>
        <w:numPr>
          <w:ilvl w:val="0"/>
          <w:numId w:val="2"/>
        </w:numPr>
        <w:spacing w:line="360" w:lineRule="auto"/>
        <w:ind w:firstLineChars="0"/>
        <w:jc w:val="left"/>
        <w:rPr>
          <w:sz w:val="24"/>
        </w:rPr>
      </w:pPr>
      <w:r>
        <w:rPr>
          <w:rFonts w:hint="eastAsia"/>
          <w:sz w:val="24"/>
        </w:rPr>
        <w:t>抽制样方法和数量</w:t>
      </w:r>
    </w:p>
    <w:p>
      <w:pPr>
        <w:spacing w:line="360" w:lineRule="auto"/>
        <w:ind w:firstLine="480"/>
        <w:jc w:val="left"/>
        <w:rPr>
          <w:sz w:val="24"/>
        </w:rPr>
      </w:pPr>
      <w:r>
        <w:rPr>
          <w:rFonts w:hint="eastAsia"/>
          <w:sz w:val="24"/>
        </w:rPr>
        <w:t>抽样方法应严格按照NY/T 1879 《生物质固体成型燃料采样方法》执行，所抽取的样品量应不低于25K</w:t>
      </w:r>
      <w:r>
        <w:rPr>
          <w:rFonts w:hint="eastAsia" w:ascii="Calibri" w:hAnsi="Calibri" w:eastAsia="宋体" w:cs="Times New Roman"/>
          <w:sz w:val="24"/>
        </w:rPr>
        <w:t>g</w:t>
      </w:r>
      <w:r>
        <w:rPr>
          <w:rFonts w:hint="eastAsia"/>
          <w:sz w:val="24"/>
        </w:rPr>
        <w:t>/袋，在企业的成品仓库内或堆放区随机抽取有产品质量检验合格证明或者以其他形式表明合格的、生产时效在一年以内的产品。制样方法应严格按照NY/T1880《生物质固体成型燃料样品制备方法》执行。</w:t>
      </w:r>
    </w:p>
    <w:p>
      <w:pPr>
        <w:pStyle w:val="6"/>
        <w:numPr>
          <w:ilvl w:val="0"/>
          <w:numId w:val="2"/>
        </w:numPr>
        <w:spacing w:line="360" w:lineRule="auto"/>
        <w:ind w:firstLineChars="0"/>
        <w:jc w:val="left"/>
        <w:rPr>
          <w:sz w:val="24"/>
        </w:rPr>
      </w:pPr>
      <w:r>
        <w:rPr>
          <w:rFonts w:hint="eastAsia"/>
          <w:sz w:val="24"/>
        </w:rPr>
        <w:t>样品运输及保存</w:t>
      </w:r>
    </w:p>
    <w:p>
      <w:pPr>
        <w:spacing w:line="360" w:lineRule="auto"/>
        <w:ind w:firstLine="480"/>
        <w:jc w:val="left"/>
        <w:rPr>
          <w:sz w:val="24"/>
        </w:rPr>
      </w:pPr>
      <w:r>
        <w:rPr>
          <w:rFonts w:hint="eastAsia"/>
          <w:sz w:val="24"/>
        </w:rPr>
        <w:t>抽样人员在抽样现场应立即对抽取的检验样品及备用样品分别封样，封样时应有防拆封措施，以保证样品的真实性。抽样人员负责把检验样品及备用样品寄、送至指定的检验机构相关部门，备样应封存在检验机构。如样品标签上标明特殊储存要求，样品应按要求进行处置。样品应妥善保存，直至异议期结束。</w:t>
      </w:r>
    </w:p>
    <w:p>
      <w:pPr>
        <w:pStyle w:val="6"/>
        <w:numPr>
          <w:ilvl w:val="0"/>
          <w:numId w:val="2"/>
        </w:numPr>
        <w:spacing w:line="360" w:lineRule="auto"/>
        <w:ind w:firstLineChars="0"/>
        <w:jc w:val="left"/>
        <w:rPr>
          <w:sz w:val="24"/>
        </w:rPr>
      </w:pPr>
      <w:r>
        <w:rPr>
          <w:rFonts w:hint="eastAsia"/>
          <w:sz w:val="24"/>
        </w:rPr>
        <w:t>抽样记录</w:t>
      </w:r>
    </w:p>
    <w:p>
      <w:pPr>
        <w:spacing w:line="360" w:lineRule="auto"/>
        <w:ind w:firstLine="480"/>
        <w:jc w:val="left"/>
        <w:rPr>
          <w:sz w:val="24"/>
        </w:rPr>
      </w:pPr>
      <w:r>
        <w:rPr>
          <w:rFonts w:hint="eastAsia"/>
          <w:sz w:val="24"/>
        </w:rPr>
        <w:t>抽样人员应按有关规定填写抽样单，并记录被抽查产品及企业相关信息。对于产品检验所需的样品技术参数等信息，需要被抽企业提供的，应在抽样现场获取，并经企业确认。样品的封条、抽样单要由企业负责人签名并盖企业公章。</w:t>
      </w:r>
    </w:p>
    <w:p>
      <w:pPr>
        <w:pStyle w:val="6"/>
        <w:numPr>
          <w:ilvl w:val="0"/>
          <w:numId w:val="1"/>
        </w:numPr>
        <w:spacing w:line="360" w:lineRule="auto"/>
        <w:ind w:firstLineChars="0"/>
        <w:jc w:val="left"/>
        <w:rPr>
          <w:b/>
          <w:bCs/>
          <w:sz w:val="24"/>
        </w:rPr>
      </w:pPr>
      <w:r>
        <w:rPr>
          <w:rFonts w:hint="eastAsia"/>
          <w:b/>
          <w:bCs/>
          <w:sz w:val="24"/>
        </w:rPr>
        <w:t>检验项目</w:t>
      </w:r>
    </w:p>
    <w:p>
      <w:pPr>
        <w:spacing w:line="360" w:lineRule="auto"/>
        <w:ind w:firstLine="480" w:firstLineChars="200"/>
        <w:jc w:val="left"/>
        <w:rPr>
          <w:color w:val="auto"/>
          <w:sz w:val="24"/>
        </w:rPr>
      </w:pPr>
      <w:r>
        <w:rPr>
          <w:rFonts w:hint="eastAsia"/>
          <w:color w:val="auto"/>
          <w:sz w:val="24"/>
        </w:rPr>
        <w:t>标识、截面尺寸、长度、密度、全水分、灰分、挥发分、全硫、氮、氯、低位发热量。</w:t>
      </w:r>
    </w:p>
    <w:p>
      <w:pPr>
        <w:spacing w:line="360" w:lineRule="auto"/>
        <w:jc w:val="center"/>
        <w:rPr>
          <w:rFonts w:hint="eastAsia"/>
          <w:sz w:val="22"/>
          <w:szCs w:val="22"/>
        </w:rPr>
      </w:pPr>
      <w:r>
        <w:rPr>
          <w:rFonts w:hint="eastAsia"/>
          <w:sz w:val="22"/>
          <w:szCs w:val="22"/>
        </w:rPr>
        <w:t>表1  生物质固体成型燃料判断依据表</w:t>
      </w:r>
    </w:p>
    <w:tbl>
      <w:tblPr>
        <w:tblStyle w:val="4"/>
        <w:tblW w:w="8631"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1612"/>
        <w:gridCol w:w="4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检测项目</w:t>
            </w:r>
          </w:p>
        </w:tc>
        <w:tc>
          <w:tcPr>
            <w:tcW w:w="1612" w:type="dxa"/>
            <w:vAlign w:val="center"/>
          </w:tcPr>
          <w:p>
            <w:pPr>
              <w:jc w:val="center"/>
              <w:rPr>
                <w:rFonts w:eastAsia="仿宋_GB2312"/>
                <w:sz w:val="24"/>
                <w:szCs w:val="24"/>
              </w:rPr>
            </w:pPr>
            <w:r>
              <w:rPr>
                <w:rFonts w:hint="eastAsia" w:eastAsia="仿宋_GB2312" w:cs="仿宋_GB2312"/>
                <w:sz w:val="24"/>
                <w:szCs w:val="24"/>
              </w:rPr>
              <w:t>单位</w:t>
            </w:r>
          </w:p>
        </w:tc>
        <w:tc>
          <w:tcPr>
            <w:tcW w:w="4892" w:type="dxa"/>
            <w:vAlign w:val="center"/>
          </w:tcPr>
          <w:p>
            <w:pPr>
              <w:jc w:val="center"/>
              <w:rPr>
                <w:rFonts w:eastAsia="仿宋_GB2312"/>
                <w:sz w:val="24"/>
                <w:szCs w:val="24"/>
              </w:rPr>
            </w:pPr>
            <w:r>
              <w:rPr>
                <w:rFonts w:hint="eastAsia" w:eastAsia="仿宋_GB2312" w:cs="仿宋_GB2312"/>
                <w:sz w:val="24"/>
                <w:szCs w:val="24"/>
              </w:rPr>
              <w:t>判断标准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截面尺寸</w:t>
            </w:r>
            <w:r>
              <w:rPr>
                <w:rFonts w:eastAsia="仿宋_GB2312"/>
                <w:sz w:val="24"/>
                <w:szCs w:val="24"/>
              </w:rPr>
              <w:t>D</w:t>
            </w:r>
          </w:p>
        </w:tc>
        <w:tc>
          <w:tcPr>
            <w:tcW w:w="1612" w:type="dxa"/>
            <w:vAlign w:val="center"/>
          </w:tcPr>
          <w:p>
            <w:pPr>
              <w:jc w:val="center"/>
              <w:rPr>
                <w:rFonts w:eastAsia="仿宋_GB2312"/>
                <w:sz w:val="24"/>
                <w:szCs w:val="24"/>
              </w:rPr>
            </w:pPr>
            <w:r>
              <w:rPr>
                <w:rFonts w:eastAsia="仿宋_GB2312"/>
                <w:sz w:val="24"/>
                <w:szCs w:val="24"/>
              </w:rPr>
              <w:t>mm</w:t>
            </w:r>
          </w:p>
        </w:tc>
        <w:tc>
          <w:tcPr>
            <w:tcW w:w="4892" w:type="dxa"/>
            <w:vAlign w:val="center"/>
          </w:tcPr>
          <w:p>
            <w:pPr>
              <w:rPr>
                <w:rFonts w:eastAsia="仿宋_GB2312"/>
                <w:sz w:val="24"/>
                <w:szCs w:val="24"/>
              </w:rPr>
            </w:pPr>
            <w:r>
              <w:rPr>
                <w:rFonts w:hint="eastAsia" w:ascii="仿宋_GB2312" w:eastAsia="仿宋_GB2312" w:cs="仿宋_GB2312"/>
                <w:sz w:val="24"/>
                <w:szCs w:val="24"/>
                <w:lang w:eastAsia="zh-CN"/>
              </w:rPr>
              <w:t>□</w:t>
            </w:r>
            <w:r>
              <w:rPr>
                <w:rFonts w:hint="eastAsia" w:eastAsia="仿宋_GB2312" w:cs="仿宋_GB2312"/>
                <w:sz w:val="24"/>
                <w:szCs w:val="24"/>
              </w:rPr>
              <w:t>颗粒状</w:t>
            </w:r>
            <w:r>
              <w:rPr>
                <w:rFonts w:hint="eastAsia" w:ascii="仿宋_GB2312" w:eastAsia="仿宋_GB2312" w:cs="仿宋_GB2312"/>
                <w:sz w:val="24"/>
                <w:szCs w:val="24"/>
                <w:lang w:val="en-US" w:eastAsia="zh-CN"/>
              </w:rPr>
              <w:t>10≤D≤</w:t>
            </w:r>
            <w:r>
              <w:rPr>
                <w:rFonts w:eastAsia="仿宋_GB2312"/>
                <w:color w:val="000000"/>
                <w:sz w:val="24"/>
                <w:szCs w:val="24"/>
              </w:rPr>
              <w:t xml:space="preserve">25     </w:t>
            </w:r>
            <w:r>
              <w:rPr>
                <w:rFonts w:hint="eastAsia" w:ascii="仿宋_GB2312" w:eastAsia="仿宋_GB2312" w:cs="仿宋_GB2312"/>
                <w:sz w:val="24"/>
                <w:szCs w:val="24"/>
              </w:rPr>
              <w:t>□</w:t>
            </w:r>
            <w:r>
              <w:rPr>
                <w:rFonts w:hint="eastAsia" w:eastAsia="仿宋_GB2312" w:cs="仿宋_GB2312"/>
                <w:sz w:val="24"/>
                <w:szCs w:val="24"/>
              </w:rPr>
              <w:t>块状、棒状</w:t>
            </w:r>
            <w:r>
              <w:rPr>
                <w:rFonts w:hint="eastAsia" w:ascii="仿宋_GB2312" w:eastAsia="仿宋_GB2312" w:cs="仿宋_GB2312"/>
                <w:sz w:val="24"/>
                <w:szCs w:val="24"/>
                <w:lang w:val="en-US" w:eastAsia="zh-CN"/>
              </w:rPr>
              <w:t>25≤D</w:t>
            </w:r>
            <w:r>
              <w:rPr>
                <w:rFonts w:hint="eastAsia" w:eastAsia="仿宋_GB2312" w:cs="仿宋_GB2312"/>
                <w:sz w:val="24"/>
                <w:szCs w:val="24"/>
                <w:lang w:val="en-US" w:eastAsia="zh-CN"/>
              </w:rPr>
              <w:t>≤</w:t>
            </w:r>
            <w:r>
              <w:rPr>
                <w:rFonts w:hint="eastAsia" w:eastAsia="仿宋_GB2312"/>
                <w:sz w:val="24"/>
                <w:szCs w:val="24"/>
                <w:lang w:val="en-US" w:eastAsia="zh-CN"/>
              </w:rPr>
              <w:t>3</w:t>
            </w:r>
            <w:r>
              <w:rPr>
                <w:rFonts w:eastAsia="仿宋_GB2312"/>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长度</w:t>
            </w:r>
            <w:r>
              <w:rPr>
                <w:rFonts w:eastAsia="仿宋_GB2312"/>
                <w:sz w:val="24"/>
                <w:szCs w:val="24"/>
              </w:rPr>
              <w:t>l</w:t>
            </w:r>
          </w:p>
        </w:tc>
        <w:tc>
          <w:tcPr>
            <w:tcW w:w="1612" w:type="dxa"/>
            <w:vAlign w:val="center"/>
          </w:tcPr>
          <w:p>
            <w:pPr>
              <w:jc w:val="center"/>
              <w:rPr>
                <w:rFonts w:eastAsia="仿宋_GB2312"/>
                <w:sz w:val="24"/>
                <w:szCs w:val="24"/>
              </w:rPr>
            </w:pPr>
            <w:r>
              <w:rPr>
                <w:rFonts w:eastAsia="仿宋_GB2312"/>
                <w:sz w:val="24"/>
                <w:szCs w:val="24"/>
              </w:rPr>
              <w:t>mm</w:t>
            </w:r>
          </w:p>
        </w:tc>
        <w:tc>
          <w:tcPr>
            <w:tcW w:w="4892" w:type="dxa"/>
            <w:vAlign w:val="center"/>
          </w:tcPr>
          <w:p>
            <w:pPr>
              <w:rPr>
                <w:rFonts w:eastAsia="仿宋_GB2312"/>
                <w:sz w:val="24"/>
                <w:szCs w:val="24"/>
              </w:rPr>
            </w:pPr>
            <w:r>
              <w:rPr>
                <w:rFonts w:hint="eastAsia" w:ascii="仿宋_GB2312" w:eastAsia="仿宋_GB2312" w:cs="仿宋_GB2312"/>
                <w:sz w:val="24"/>
                <w:szCs w:val="24"/>
                <w:lang w:eastAsia="zh-CN"/>
              </w:rPr>
              <w:t>□</w:t>
            </w:r>
            <w:r>
              <w:rPr>
                <w:rFonts w:hint="eastAsia" w:eastAsia="仿宋_GB2312" w:cs="仿宋_GB2312"/>
                <w:sz w:val="24"/>
                <w:szCs w:val="24"/>
              </w:rPr>
              <w:t>颗粒状</w:t>
            </w:r>
            <w:r>
              <w:rPr>
                <w:rFonts w:hint="eastAsia" w:ascii="仿宋_GB2312" w:eastAsia="仿宋_GB2312" w:cs="仿宋_GB2312"/>
                <w:sz w:val="24"/>
                <w:szCs w:val="24"/>
                <w:lang w:val="en-US" w:eastAsia="zh-CN"/>
              </w:rPr>
              <w:t>D≤L≤</w:t>
            </w:r>
            <w:r>
              <w:rPr>
                <w:rFonts w:eastAsia="仿宋_GB2312"/>
                <w:color w:val="000000"/>
                <w:sz w:val="24"/>
                <w:szCs w:val="24"/>
              </w:rPr>
              <w:t>4</w:t>
            </w:r>
            <w:r>
              <w:rPr>
                <w:rFonts w:eastAsia="仿宋_GB2312"/>
                <w:sz w:val="24"/>
                <w:szCs w:val="24"/>
              </w:rPr>
              <w:t>D</w:t>
            </w:r>
            <w:r>
              <w:rPr>
                <w:rFonts w:hint="eastAsia" w:eastAsia="仿宋_GB2312"/>
                <w:sz w:val="24"/>
                <w:szCs w:val="24"/>
                <w:lang w:val="en-US" w:eastAsia="zh-CN"/>
              </w:rPr>
              <w:t xml:space="preserve">  </w:t>
            </w:r>
            <w:r>
              <w:rPr>
                <w:rFonts w:hint="eastAsia" w:ascii="仿宋_GB2312" w:eastAsia="仿宋_GB2312" w:cs="仿宋_GB2312"/>
                <w:sz w:val="24"/>
                <w:szCs w:val="24"/>
                <w:lang w:eastAsia="zh-CN"/>
              </w:rPr>
              <w:t>□</w:t>
            </w:r>
            <w:r>
              <w:rPr>
                <w:rFonts w:hint="eastAsia" w:eastAsia="仿宋_GB2312" w:cs="仿宋_GB2312"/>
                <w:sz w:val="24"/>
                <w:szCs w:val="24"/>
              </w:rPr>
              <w:t>块状</w:t>
            </w:r>
            <w:r>
              <w:rPr>
                <w:rFonts w:eastAsia="仿宋_GB2312"/>
                <w:sz w:val="24"/>
                <w:szCs w:val="24"/>
              </w:rPr>
              <w:t>4D</w:t>
            </w:r>
            <w:r>
              <w:rPr>
                <w:rFonts w:hint="eastAsia" w:eastAsia="仿宋_GB2312"/>
                <w:sz w:val="24"/>
                <w:szCs w:val="24"/>
                <w:lang w:val="en-US" w:eastAsia="zh-CN"/>
              </w:rPr>
              <w:t>＜L＜</w:t>
            </w:r>
            <w:r>
              <w:rPr>
                <w:rFonts w:eastAsia="仿宋_GB2312"/>
                <w:sz w:val="24"/>
                <w:szCs w:val="24"/>
              </w:rPr>
              <w:t>5D</w:t>
            </w:r>
          </w:p>
          <w:p>
            <w:pPr>
              <w:jc w:val="center"/>
              <w:rPr>
                <w:rFonts w:hint="default"/>
                <w:sz w:val="24"/>
                <w:szCs w:val="24"/>
                <w:lang w:val="en-US"/>
              </w:rPr>
            </w:pPr>
            <w:r>
              <w:rPr>
                <w:rFonts w:hint="eastAsia" w:ascii="仿宋_GB2312" w:eastAsia="仿宋_GB2312" w:cs="仿宋_GB2312"/>
                <w:sz w:val="24"/>
                <w:szCs w:val="24"/>
              </w:rPr>
              <w:t>□</w:t>
            </w:r>
            <w:r>
              <w:rPr>
                <w:rFonts w:hint="eastAsia" w:eastAsia="仿宋_GB2312" w:cs="仿宋_GB2312"/>
                <w:sz w:val="24"/>
                <w:szCs w:val="24"/>
              </w:rPr>
              <w:t>棒状</w:t>
            </w:r>
            <w:r>
              <w:rPr>
                <w:rFonts w:eastAsia="仿宋_GB2312"/>
                <w:sz w:val="24"/>
                <w:szCs w:val="24"/>
              </w:rPr>
              <w:t>5D</w:t>
            </w:r>
            <w:r>
              <w:rPr>
                <w:rFonts w:hint="eastAsia" w:ascii="仿宋_GB2312" w:eastAsia="仿宋_GB2312" w:cs="仿宋_GB2312"/>
                <w:sz w:val="24"/>
                <w:szCs w:val="24"/>
                <w:lang w:val="en-US" w:eastAsia="zh-CN"/>
              </w:rPr>
              <w:t>≤L≤8D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密度</w:t>
            </w:r>
            <w:r>
              <w:rPr>
                <w:rFonts w:eastAsia="仿宋_GB2312"/>
                <w:sz w:val="24"/>
                <w:szCs w:val="24"/>
              </w:rPr>
              <w:t>ρ</w:t>
            </w:r>
          </w:p>
        </w:tc>
        <w:tc>
          <w:tcPr>
            <w:tcW w:w="1612" w:type="dxa"/>
            <w:vAlign w:val="center"/>
          </w:tcPr>
          <w:p>
            <w:pPr>
              <w:jc w:val="center"/>
              <w:rPr>
                <w:rFonts w:eastAsia="仿宋_GB2312"/>
                <w:sz w:val="24"/>
                <w:szCs w:val="24"/>
              </w:rPr>
            </w:pPr>
            <w:r>
              <w:rPr>
                <w:rFonts w:eastAsia="仿宋_GB2312"/>
                <w:sz w:val="24"/>
                <w:szCs w:val="24"/>
              </w:rPr>
              <w:t>g/cm</w:t>
            </w:r>
            <w:r>
              <w:rPr>
                <w:rFonts w:eastAsia="仿宋_GB2312"/>
                <w:sz w:val="24"/>
                <w:szCs w:val="24"/>
                <w:vertAlign w:val="superscript"/>
              </w:rPr>
              <w:t>3</w:t>
            </w:r>
          </w:p>
        </w:tc>
        <w:tc>
          <w:tcPr>
            <w:tcW w:w="4892" w:type="dxa"/>
            <w:vAlign w:val="center"/>
          </w:tcPr>
          <w:p>
            <w:pPr>
              <w:rPr>
                <w:rFonts w:eastAsia="仿宋_GB2312"/>
                <w:sz w:val="24"/>
                <w:szCs w:val="24"/>
              </w:rPr>
            </w:pPr>
            <w:r>
              <w:rPr>
                <w:rFonts w:hint="eastAsia" w:ascii="仿宋_GB2312" w:eastAsia="仿宋_GB2312" w:cs="仿宋_GB2312"/>
                <w:sz w:val="24"/>
                <w:szCs w:val="24"/>
              </w:rPr>
              <w:t>□</w:t>
            </w:r>
            <w:r>
              <w:rPr>
                <w:rFonts w:hint="eastAsia" w:eastAsia="仿宋_GB2312" w:cs="仿宋_GB2312"/>
                <w:sz w:val="24"/>
                <w:szCs w:val="24"/>
              </w:rPr>
              <w:t>颗粒状</w:t>
            </w:r>
            <w:r>
              <w:rPr>
                <w:rFonts w:eastAsia="仿宋_GB2312"/>
                <w:sz w:val="24"/>
                <w:szCs w:val="24"/>
              </w:rPr>
              <w:t xml:space="preserve"> </w:t>
            </w:r>
            <w:r>
              <w:rPr>
                <w:rFonts w:hint="eastAsia" w:eastAsia="仿宋_GB2312"/>
                <w:sz w:val="24"/>
                <w:szCs w:val="24"/>
                <w:lang w:val="en-US" w:eastAsia="zh-CN"/>
              </w:rPr>
              <w:t>≥</w:t>
            </w:r>
            <w:r>
              <w:rPr>
                <w:rFonts w:eastAsia="仿宋_GB2312"/>
                <w:color w:val="000000"/>
                <w:sz w:val="24"/>
                <w:szCs w:val="24"/>
              </w:rPr>
              <w:t xml:space="preserve">1.00    </w:t>
            </w:r>
            <w:r>
              <w:rPr>
                <w:rFonts w:hint="eastAsia" w:ascii="仿宋_GB2312" w:eastAsia="仿宋_GB2312" w:cs="仿宋_GB2312"/>
                <w:sz w:val="24"/>
                <w:szCs w:val="24"/>
              </w:rPr>
              <w:t>□</w:t>
            </w:r>
            <w:r>
              <w:rPr>
                <w:rFonts w:hint="eastAsia" w:eastAsia="仿宋_GB2312" w:cs="仿宋_GB2312"/>
                <w:sz w:val="24"/>
                <w:szCs w:val="24"/>
              </w:rPr>
              <w:t>块状、棒状</w:t>
            </w:r>
            <w:r>
              <w:rPr>
                <w:rFonts w:hint="eastAsia" w:eastAsia="仿宋_GB2312"/>
                <w:sz w:val="24"/>
                <w:szCs w:val="24"/>
                <w:lang w:val="en-US" w:eastAsia="zh-CN"/>
              </w:rPr>
              <w:t>≥</w:t>
            </w:r>
            <w:r>
              <w:rPr>
                <w:rFonts w:eastAsia="仿宋_GB2312"/>
                <w:sz w:val="24"/>
                <w:szCs w:val="24"/>
              </w:rPr>
              <w:t>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全水分</w:t>
            </w:r>
            <w:r>
              <w:rPr>
                <w:rFonts w:eastAsia="仿宋_GB2312"/>
                <w:sz w:val="24"/>
                <w:szCs w:val="24"/>
              </w:rPr>
              <w:t>M</w:t>
            </w:r>
            <w:r>
              <w:rPr>
                <w:rFonts w:eastAsia="仿宋_GB2312"/>
                <w:sz w:val="24"/>
                <w:szCs w:val="24"/>
                <w:vertAlign w:val="subscript"/>
              </w:rPr>
              <w:t>t</w:t>
            </w:r>
          </w:p>
        </w:tc>
        <w:tc>
          <w:tcPr>
            <w:tcW w:w="1612" w:type="dxa"/>
            <w:vAlign w:val="center"/>
          </w:tcPr>
          <w:p>
            <w:pPr>
              <w:jc w:val="center"/>
              <w:rPr>
                <w:rFonts w:eastAsia="仿宋_GB2312"/>
                <w:sz w:val="24"/>
                <w:szCs w:val="24"/>
              </w:rPr>
            </w:pPr>
            <w:r>
              <w:rPr>
                <w:rFonts w:eastAsia="仿宋_GB2312"/>
                <w:sz w:val="24"/>
                <w:szCs w:val="24"/>
              </w:rPr>
              <w:t>%</w:t>
            </w:r>
          </w:p>
        </w:tc>
        <w:tc>
          <w:tcPr>
            <w:tcW w:w="4892" w:type="dxa"/>
            <w:vAlign w:val="center"/>
          </w:tcPr>
          <w:p>
            <w:pPr>
              <w:jc w:val="center"/>
              <w:rPr>
                <w:rFonts w:eastAsia="仿宋_GB2312"/>
                <w:sz w:val="24"/>
                <w:szCs w:val="24"/>
              </w:rPr>
            </w:pPr>
            <w:r>
              <w:rPr>
                <w:rFonts w:eastAsia="仿宋_GB2312"/>
                <w:color w:val="000000"/>
                <w:sz w:val="24"/>
                <w:szCs w:val="24"/>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灰分</w:t>
            </w:r>
            <w:r>
              <w:rPr>
                <w:rFonts w:eastAsia="仿宋_GB2312"/>
                <w:sz w:val="24"/>
                <w:szCs w:val="24"/>
              </w:rPr>
              <w:t>A</w:t>
            </w:r>
            <w:r>
              <w:rPr>
                <w:rFonts w:eastAsia="仿宋_GB2312"/>
                <w:sz w:val="24"/>
                <w:szCs w:val="24"/>
                <w:vertAlign w:val="subscript"/>
              </w:rPr>
              <w:t>d</w:t>
            </w:r>
          </w:p>
        </w:tc>
        <w:tc>
          <w:tcPr>
            <w:tcW w:w="1612" w:type="dxa"/>
            <w:vAlign w:val="center"/>
          </w:tcPr>
          <w:p>
            <w:pPr>
              <w:jc w:val="center"/>
              <w:rPr>
                <w:rFonts w:eastAsia="仿宋_GB2312"/>
                <w:sz w:val="24"/>
                <w:szCs w:val="24"/>
              </w:rPr>
            </w:pPr>
            <w:r>
              <w:rPr>
                <w:rFonts w:eastAsia="仿宋_GB2312"/>
                <w:sz w:val="24"/>
                <w:szCs w:val="24"/>
              </w:rPr>
              <w:t>%</w:t>
            </w:r>
          </w:p>
        </w:tc>
        <w:tc>
          <w:tcPr>
            <w:tcW w:w="4892" w:type="dxa"/>
            <w:vAlign w:val="center"/>
          </w:tcPr>
          <w:p>
            <w:pPr>
              <w:jc w:val="center"/>
              <w:rPr>
                <w:rFonts w:eastAsia="仿宋_GB2312"/>
                <w:sz w:val="24"/>
                <w:szCs w:val="24"/>
              </w:rPr>
            </w:pPr>
            <w:r>
              <w:rPr>
                <w:rFonts w:eastAsia="仿宋_GB2312"/>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挥发分</w:t>
            </w:r>
            <w:r>
              <w:rPr>
                <w:rFonts w:eastAsia="仿宋_GB2312"/>
                <w:sz w:val="24"/>
                <w:szCs w:val="24"/>
              </w:rPr>
              <w:t>V</w:t>
            </w:r>
            <w:r>
              <w:rPr>
                <w:rFonts w:eastAsia="仿宋_GB2312"/>
                <w:sz w:val="24"/>
                <w:szCs w:val="24"/>
                <w:vertAlign w:val="subscript"/>
              </w:rPr>
              <w:t>d</w:t>
            </w:r>
          </w:p>
        </w:tc>
        <w:tc>
          <w:tcPr>
            <w:tcW w:w="1612" w:type="dxa"/>
            <w:vAlign w:val="center"/>
          </w:tcPr>
          <w:p>
            <w:pPr>
              <w:jc w:val="center"/>
              <w:rPr>
                <w:rFonts w:eastAsia="仿宋_GB2312"/>
                <w:sz w:val="24"/>
                <w:szCs w:val="24"/>
              </w:rPr>
            </w:pPr>
            <w:r>
              <w:rPr>
                <w:rFonts w:eastAsia="仿宋_GB2312"/>
                <w:sz w:val="24"/>
                <w:szCs w:val="24"/>
              </w:rPr>
              <w:t>%</w:t>
            </w:r>
          </w:p>
        </w:tc>
        <w:tc>
          <w:tcPr>
            <w:tcW w:w="4892" w:type="dxa"/>
            <w:vAlign w:val="center"/>
          </w:tcPr>
          <w:p>
            <w:pPr>
              <w:jc w:val="center"/>
              <w:rPr>
                <w:rFonts w:eastAsia="仿宋_GB2312"/>
                <w:sz w:val="24"/>
                <w:szCs w:val="24"/>
              </w:rPr>
            </w:pPr>
            <w:r>
              <w:rPr>
                <w:rFonts w:eastAsia="仿宋_GB2312"/>
                <w:sz w:val="24"/>
                <w:szCs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全硫</w:t>
            </w:r>
            <w:r>
              <w:rPr>
                <w:rFonts w:eastAsia="仿宋_GB2312"/>
                <w:sz w:val="24"/>
                <w:szCs w:val="24"/>
              </w:rPr>
              <w:t>S</w:t>
            </w:r>
            <w:r>
              <w:rPr>
                <w:rFonts w:eastAsia="仿宋_GB2312"/>
                <w:sz w:val="24"/>
                <w:szCs w:val="24"/>
                <w:vertAlign w:val="subscript"/>
              </w:rPr>
              <w:t>t,d</w:t>
            </w:r>
          </w:p>
        </w:tc>
        <w:tc>
          <w:tcPr>
            <w:tcW w:w="1612" w:type="dxa"/>
            <w:vAlign w:val="center"/>
          </w:tcPr>
          <w:p>
            <w:pPr>
              <w:jc w:val="center"/>
              <w:rPr>
                <w:rFonts w:eastAsia="仿宋_GB2312"/>
                <w:sz w:val="24"/>
                <w:szCs w:val="24"/>
              </w:rPr>
            </w:pPr>
            <w:r>
              <w:rPr>
                <w:rFonts w:eastAsia="仿宋_GB2312"/>
                <w:sz w:val="24"/>
                <w:szCs w:val="24"/>
              </w:rPr>
              <w:t>%</w:t>
            </w:r>
          </w:p>
        </w:tc>
        <w:tc>
          <w:tcPr>
            <w:tcW w:w="4892" w:type="dxa"/>
            <w:vAlign w:val="center"/>
          </w:tcPr>
          <w:p>
            <w:pPr>
              <w:jc w:val="center"/>
              <w:rPr>
                <w:rFonts w:eastAsia="仿宋_GB2312"/>
                <w:sz w:val="24"/>
                <w:szCs w:val="24"/>
              </w:rPr>
            </w:pPr>
            <w:r>
              <w:rPr>
                <w:rFonts w:eastAsia="仿宋_GB2312"/>
                <w:color w:val="000000"/>
                <w:sz w:val="24"/>
                <w:szCs w:val="24"/>
              </w:rPr>
              <w:t>≤</w:t>
            </w:r>
            <w:r>
              <w:rPr>
                <w:rFonts w:eastAsia="仿宋_GB2312"/>
                <w:sz w:val="24"/>
                <w:szCs w:val="24"/>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氮</w:t>
            </w:r>
            <w:r>
              <w:rPr>
                <w:rFonts w:eastAsia="仿宋_GB2312"/>
                <w:sz w:val="24"/>
                <w:szCs w:val="24"/>
              </w:rPr>
              <w:t>N</w:t>
            </w:r>
            <w:r>
              <w:rPr>
                <w:rFonts w:eastAsia="仿宋_GB2312"/>
                <w:sz w:val="24"/>
                <w:szCs w:val="24"/>
                <w:vertAlign w:val="subscript"/>
              </w:rPr>
              <w:t xml:space="preserve"> t,d</w:t>
            </w:r>
          </w:p>
        </w:tc>
        <w:tc>
          <w:tcPr>
            <w:tcW w:w="1612" w:type="dxa"/>
            <w:vAlign w:val="center"/>
          </w:tcPr>
          <w:p>
            <w:pPr>
              <w:jc w:val="center"/>
              <w:rPr>
                <w:rFonts w:eastAsia="仿宋_GB2312"/>
                <w:sz w:val="24"/>
                <w:szCs w:val="24"/>
              </w:rPr>
            </w:pPr>
            <w:r>
              <w:rPr>
                <w:rFonts w:eastAsia="仿宋_GB2312"/>
                <w:sz w:val="24"/>
                <w:szCs w:val="24"/>
              </w:rPr>
              <w:t>%</w:t>
            </w:r>
          </w:p>
        </w:tc>
        <w:tc>
          <w:tcPr>
            <w:tcW w:w="4892" w:type="dxa"/>
            <w:vAlign w:val="center"/>
          </w:tcPr>
          <w:p>
            <w:pPr>
              <w:jc w:val="center"/>
              <w:rPr>
                <w:rFonts w:hint="default" w:eastAsia="仿宋_GB2312"/>
                <w:sz w:val="24"/>
                <w:szCs w:val="24"/>
                <w:lang w:val="en-US" w:eastAsia="zh-CN"/>
              </w:rPr>
            </w:pPr>
            <w:r>
              <w:rPr>
                <w:rFonts w:eastAsia="仿宋_GB2312"/>
                <w:color w:val="000000"/>
                <w:sz w:val="24"/>
                <w:szCs w:val="24"/>
              </w:rPr>
              <w:t>≤</w:t>
            </w:r>
            <w:r>
              <w:rPr>
                <w:rFonts w:hint="eastAsia" w:eastAsia="仿宋_GB2312"/>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氯</w:t>
            </w:r>
            <w:r>
              <w:rPr>
                <w:rFonts w:eastAsia="仿宋_GB2312"/>
                <w:sz w:val="24"/>
                <w:szCs w:val="24"/>
              </w:rPr>
              <w:t>Cl</w:t>
            </w:r>
            <w:r>
              <w:rPr>
                <w:rFonts w:eastAsia="仿宋_GB2312"/>
                <w:sz w:val="24"/>
                <w:szCs w:val="24"/>
                <w:vertAlign w:val="subscript"/>
              </w:rPr>
              <w:t>t,d</w:t>
            </w:r>
          </w:p>
        </w:tc>
        <w:tc>
          <w:tcPr>
            <w:tcW w:w="1612" w:type="dxa"/>
            <w:vAlign w:val="center"/>
          </w:tcPr>
          <w:p>
            <w:pPr>
              <w:jc w:val="center"/>
              <w:rPr>
                <w:rFonts w:eastAsia="仿宋_GB2312"/>
                <w:sz w:val="24"/>
                <w:szCs w:val="24"/>
              </w:rPr>
            </w:pPr>
            <w:r>
              <w:rPr>
                <w:rFonts w:eastAsia="仿宋_GB2312"/>
                <w:sz w:val="24"/>
                <w:szCs w:val="24"/>
              </w:rPr>
              <w:t>%</w:t>
            </w:r>
          </w:p>
        </w:tc>
        <w:tc>
          <w:tcPr>
            <w:tcW w:w="4892" w:type="dxa"/>
            <w:vAlign w:val="center"/>
          </w:tcPr>
          <w:p>
            <w:pPr>
              <w:jc w:val="center"/>
              <w:rPr>
                <w:rFonts w:hint="eastAsia" w:eastAsia="仿宋_GB2312"/>
                <w:sz w:val="24"/>
                <w:szCs w:val="24"/>
                <w:lang w:eastAsia="zh-CN"/>
              </w:rPr>
            </w:pPr>
            <w:r>
              <w:rPr>
                <w:rFonts w:eastAsia="仿宋_GB2312"/>
                <w:color w:val="000000"/>
                <w:sz w:val="24"/>
                <w:szCs w:val="24"/>
              </w:rPr>
              <w:t>≤</w:t>
            </w:r>
            <w:r>
              <w:rPr>
                <w:rFonts w:eastAsia="仿宋_GB2312"/>
                <w:sz w:val="24"/>
                <w:szCs w:val="24"/>
              </w:rPr>
              <w:t>0.</w:t>
            </w:r>
            <w:r>
              <w:rPr>
                <w:rFonts w:hint="eastAsia" w:eastAsia="仿宋_GB2312"/>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27" w:type="dxa"/>
            <w:vAlign w:val="center"/>
          </w:tcPr>
          <w:p>
            <w:pPr>
              <w:jc w:val="center"/>
              <w:rPr>
                <w:rFonts w:eastAsia="仿宋_GB2312"/>
                <w:sz w:val="24"/>
                <w:szCs w:val="24"/>
              </w:rPr>
            </w:pPr>
            <w:r>
              <w:rPr>
                <w:rFonts w:hint="eastAsia" w:eastAsia="仿宋_GB2312" w:cs="仿宋_GB2312"/>
                <w:sz w:val="24"/>
                <w:szCs w:val="24"/>
              </w:rPr>
              <w:t>低位发热量</w:t>
            </w:r>
            <w:r>
              <w:rPr>
                <w:rFonts w:eastAsia="仿宋_GB2312"/>
                <w:sz w:val="24"/>
                <w:szCs w:val="24"/>
              </w:rPr>
              <w:t>Q</w:t>
            </w:r>
            <w:r>
              <w:rPr>
                <w:rFonts w:eastAsia="仿宋_GB2312"/>
                <w:sz w:val="24"/>
                <w:szCs w:val="24"/>
                <w:vertAlign w:val="subscript"/>
              </w:rPr>
              <w:t>net,v,ar</w:t>
            </w:r>
          </w:p>
        </w:tc>
        <w:tc>
          <w:tcPr>
            <w:tcW w:w="1612" w:type="dxa"/>
            <w:vAlign w:val="center"/>
          </w:tcPr>
          <w:p>
            <w:pPr>
              <w:jc w:val="center"/>
              <w:rPr>
                <w:rFonts w:eastAsia="仿宋_GB2312"/>
                <w:sz w:val="24"/>
                <w:szCs w:val="24"/>
              </w:rPr>
            </w:pPr>
            <w:r>
              <w:rPr>
                <w:rFonts w:eastAsia="仿宋_GB2312"/>
                <w:sz w:val="24"/>
                <w:szCs w:val="24"/>
              </w:rPr>
              <w:t>MJ/kg</w:t>
            </w:r>
          </w:p>
        </w:tc>
        <w:tc>
          <w:tcPr>
            <w:tcW w:w="4892" w:type="dxa"/>
            <w:vAlign w:val="center"/>
          </w:tcPr>
          <w:p>
            <w:pPr>
              <w:jc w:val="center"/>
              <w:rPr>
                <w:rFonts w:eastAsia="仿宋_GB2312"/>
                <w:sz w:val="24"/>
                <w:szCs w:val="24"/>
              </w:rPr>
            </w:pPr>
            <w:r>
              <w:rPr>
                <w:rFonts w:eastAsia="仿宋_GB2312"/>
                <w:sz w:val="24"/>
                <w:szCs w:val="24"/>
              </w:rPr>
              <w:t>≥16.74</w:t>
            </w:r>
          </w:p>
        </w:tc>
      </w:tr>
    </w:tbl>
    <w:p>
      <w:pPr>
        <w:spacing w:line="360" w:lineRule="auto"/>
        <w:jc w:val="center"/>
        <w:rPr>
          <w:sz w:val="22"/>
          <w:szCs w:val="22"/>
        </w:rPr>
      </w:pPr>
    </w:p>
    <w:p>
      <w:pPr>
        <w:numPr>
          <w:ilvl w:val="0"/>
          <w:numId w:val="1"/>
        </w:numPr>
        <w:spacing w:line="360" w:lineRule="auto"/>
        <w:jc w:val="left"/>
        <w:rPr>
          <w:b/>
          <w:bCs/>
          <w:sz w:val="24"/>
        </w:rPr>
      </w:pPr>
      <w:r>
        <w:rPr>
          <w:rFonts w:hint="eastAsia"/>
          <w:b/>
          <w:bCs/>
          <w:sz w:val="24"/>
        </w:rPr>
        <w:t>判定原则</w:t>
      </w:r>
    </w:p>
    <w:p>
      <w:pPr>
        <w:spacing w:line="360" w:lineRule="auto"/>
        <w:ind w:firstLine="480"/>
        <w:jc w:val="left"/>
        <w:rPr>
          <w:sz w:val="24"/>
        </w:rPr>
      </w:pPr>
      <w:r>
        <w:rPr>
          <w:rFonts w:hint="eastAsia"/>
          <w:sz w:val="24"/>
        </w:rPr>
        <w:t>经检验，检验项目全部合格，判定为被抽查产品合格；检验项目中任一项或一项以上不合格，判定为被抽查产品不合格。</w:t>
      </w:r>
    </w:p>
    <w:p>
      <w:pPr>
        <w:pStyle w:val="6"/>
        <w:numPr>
          <w:ilvl w:val="0"/>
          <w:numId w:val="1"/>
        </w:numPr>
        <w:spacing w:line="360" w:lineRule="auto"/>
        <w:ind w:firstLineChars="0"/>
        <w:jc w:val="left"/>
        <w:rPr>
          <w:b/>
          <w:bCs/>
          <w:sz w:val="24"/>
        </w:rPr>
      </w:pPr>
      <w:r>
        <w:rPr>
          <w:rFonts w:hint="eastAsia"/>
          <w:b/>
          <w:bCs/>
          <w:sz w:val="24"/>
        </w:rPr>
        <w:t>异议处理</w:t>
      </w:r>
    </w:p>
    <w:p>
      <w:pPr>
        <w:spacing w:line="360" w:lineRule="auto"/>
        <w:ind w:firstLine="480" w:firstLineChars="200"/>
        <w:jc w:val="left"/>
        <w:rPr>
          <w:rFonts w:hint="eastAsia"/>
          <w:sz w:val="24"/>
        </w:rPr>
      </w:pPr>
      <w:r>
        <w:rPr>
          <w:rFonts w:hint="eastAsia"/>
          <w:sz w:val="24"/>
        </w:rPr>
        <w:t>受检企业对检验结果有异议的，应当在接到《产品质量监督抽查结果通知书》之日起15日内，向组织实施产品质量监督抽查的</w:t>
      </w:r>
      <w:r>
        <w:rPr>
          <w:rFonts w:hint="eastAsia"/>
          <w:sz w:val="24"/>
          <w:lang w:val="en-US" w:eastAsia="zh-CN"/>
        </w:rPr>
        <w:t>市场</w:t>
      </w:r>
      <w:r>
        <w:rPr>
          <w:rFonts w:hint="eastAsia"/>
          <w:sz w:val="24"/>
        </w:rPr>
        <w:t>监督</w:t>
      </w:r>
      <w:r>
        <w:rPr>
          <w:rFonts w:hint="eastAsia"/>
          <w:sz w:val="24"/>
          <w:lang w:val="en-US" w:eastAsia="zh-CN"/>
        </w:rPr>
        <w:t>管理</w:t>
      </w:r>
      <w:r>
        <w:rPr>
          <w:rFonts w:hint="eastAsia"/>
          <w:sz w:val="24"/>
        </w:rPr>
        <w:t>部门或承担抽查任务的检验机构提交申请复验的书面报告，并提供有关技术资料；逾期未提出异议的，视为承认检验结果。</w:t>
      </w:r>
    </w:p>
    <w:p>
      <w:pPr>
        <w:spacing w:line="360" w:lineRule="auto"/>
        <w:ind w:firstLine="480" w:firstLineChars="200"/>
        <w:jc w:val="left"/>
        <w:rPr>
          <w:sz w:val="24"/>
        </w:rPr>
      </w:pPr>
      <w:r>
        <w:rPr>
          <w:rFonts w:hint="eastAsia"/>
          <w:sz w:val="24"/>
        </w:rPr>
        <w:t>对需要复检的，处理企业异议的</w:t>
      </w:r>
      <w:r>
        <w:rPr>
          <w:rFonts w:hint="eastAsia"/>
          <w:sz w:val="24"/>
          <w:lang w:val="en-US" w:eastAsia="zh-CN"/>
        </w:rPr>
        <w:t>市场</w:t>
      </w:r>
      <w:r>
        <w:rPr>
          <w:rFonts w:hint="eastAsia"/>
          <w:sz w:val="24"/>
        </w:rPr>
        <w:t>监督</w:t>
      </w:r>
      <w:r>
        <w:rPr>
          <w:rFonts w:hint="eastAsia"/>
          <w:sz w:val="24"/>
          <w:lang w:val="en-US" w:eastAsia="zh-CN"/>
        </w:rPr>
        <w:t>管理</w:t>
      </w:r>
      <w:r>
        <w:rPr>
          <w:rFonts w:hint="eastAsia"/>
          <w:sz w:val="24"/>
        </w:rPr>
        <w:t>部门或指定检验机构应当按原监督抽查方案对留存的样品或抽取的备用样品组织复检，并出具检验报告。复检结论为最终结论。</w:t>
      </w:r>
    </w:p>
    <w:p>
      <w:pPr>
        <w:pStyle w:val="2"/>
        <w:spacing w:line="560" w:lineRule="exact"/>
        <w:ind w:left="0" w:leftChars="0" w:firstLine="0" w:firstLineChars="0"/>
        <w:jc w:val="left"/>
        <w:rPr>
          <w:rFonts w:hint="eastAsia" w:ascii="黑体" w:hAnsi="黑体" w:eastAsia="黑体" w:cs="Times New Roman"/>
        </w:rPr>
      </w:pPr>
    </w:p>
    <w:p/>
    <w:sectPr>
      <w:pgSz w:w="11906" w:h="16838"/>
      <w:pgMar w:top="2098" w:right="1587"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AD2250"/>
    <w:multiLevelType w:val="multilevel"/>
    <w:tmpl w:val="6EAD225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2CA72FE"/>
    <w:multiLevelType w:val="multilevel"/>
    <w:tmpl w:val="72CA72FE"/>
    <w:lvl w:ilvl="0" w:tentative="0">
      <w:start w:val="2"/>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2YjQ1ZmYyY2FhMDEzNmY2MTFiZjZhNmU2OWQxNTYifQ=="/>
  </w:docVars>
  <w:rsids>
    <w:rsidRoot w:val="2E083C24"/>
    <w:rsid w:val="0CF22442"/>
    <w:rsid w:val="0F0731FA"/>
    <w:rsid w:val="243B7001"/>
    <w:rsid w:val="27AE5C84"/>
    <w:rsid w:val="2E083C24"/>
    <w:rsid w:val="31F255AF"/>
    <w:rsid w:val="5919648E"/>
    <w:rsid w:val="6DDF5720"/>
    <w:rsid w:val="6ED84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pacing w:after="120"/>
      <w:ind w:left="420" w:leftChars="200" w:firstLine="420" w:firstLineChars="200"/>
      <w:jc w:val="both"/>
    </w:pPr>
    <w:rPr>
      <w:rFonts w:ascii="Times New Roman" w:hAnsi="Times New Roman" w:eastAsia="仿宋_GB2312" w:cs="Times New Roman"/>
      <w:kern w:val="0"/>
      <w:sz w:val="32"/>
      <w:szCs w:val="24"/>
      <w:lang w:val="en-US" w:eastAsia="zh-CN" w:bidi="ar-SA"/>
    </w:rPr>
  </w:style>
  <w:style w:type="paragraph" w:styleId="3">
    <w:name w:val="Body Text Indent"/>
    <w:basedOn w:val="1"/>
    <w:next w:val="1"/>
    <w:unhideWhenUsed/>
    <w:qFormat/>
    <w:uiPriority w:val="99"/>
    <w:pPr>
      <w:widowControl w:val="0"/>
      <w:spacing w:after="120"/>
      <w:ind w:left="420" w:leftChars="200"/>
      <w:jc w:val="both"/>
    </w:pPr>
    <w:rPr>
      <w:rFonts w:ascii="Times New Roman" w:hAnsi="Times New Roman" w:eastAsia="仿宋_GB2312" w:cs="Times New Roman"/>
      <w:kern w:val="0"/>
      <w:sz w:val="32"/>
      <w:szCs w:val="24"/>
      <w:lang w:val="en-US" w:eastAsia="zh-CN" w:bidi="ar-SA"/>
    </w:rPr>
  </w:style>
  <w:style w:type="paragraph" w:styleId="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中山市市场监督管理局</Company>
  <Pages>3</Pages>
  <Words>1236</Words>
  <Characters>1410</Characters>
  <Lines>0</Lines>
  <Paragraphs>0</Paragraphs>
  <TotalTime>16</TotalTime>
  <ScaleCrop>false</ScaleCrop>
  <LinksUpToDate>false</LinksUpToDate>
  <CharactersWithSpaces>1456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2024-10-18T01:53:00Z</dcterms:created>
  <dc:creator>Administrator</dc:creator>
  <cp:lastModifiedBy>Administrator</cp:lastModifiedBy>
  <dcterms:modified xsi:type="dcterms:W3CDTF">2026-05-29T02:10:00Z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1DC4634D6F0D44519DF606E46CE9E047</vt:lpwstr>
  </property>
  <property fmtid="{D5CDD505-2E9C-101B-9397-08002B2CF9AE}" pid="4" name="KSOTemplateDocerSaveRecord">
    <vt:lpwstr>eyJoZGlkIjoiZmY0ZTY4NzZlYTY0MmM3YWMxMDgyN2M5NjAwNzA3NDYiLCJ1c2VySWQiOiIxODQ5OTE5NjI3In0=</vt:lpwstr>
  </property>
</Properties>
</file>