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76B73">
      <w:pPr>
        <w:widowControl w:val="0"/>
        <w:snapToGrid w:val="0"/>
        <w:spacing w:line="594" w:lineRule="exact"/>
        <w:jc w:val="center"/>
        <w:rPr>
          <w:rFonts w:eastAsia="方正小标宋简体"/>
          <w:color w:val="auto"/>
          <w:sz w:val="32"/>
          <w:szCs w:val="32"/>
        </w:rPr>
      </w:pPr>
      <w:bookmarkStart w:id="0" w:name="_GoBack"/>
      <w:r>
        <w:rPr>
          <w:rFonts w:hint="eastAsia" w:eastAsia="方正小标宋简体"/>
          <w:color w:val="auto"/>
          <w:sz w:val="32"/>
          <w:szCs w:val="32"/>
        </w:rPr>
        <w:t>中山市机动车发动机润滑油产品质量监督抽查实施细则</w:t>
      </w:r>
    </w:p>
    <w:p w14:paraId="24F1ED0D">
      <w:pPr>
        <w:widowControl w:val="0"/>
        <w:snapToGrid w:val="0"/>
        <w:spacing w:line="440" w:lineRule="exact"/>
        <w:rPr>
          <w:rFonts w:eastAsia="黑体"/>
          <w:color w:val="auto"/>
          <w:szCs w:val="21"/>
        </w:rPr>
      </w:pPr>
      <w:r>
        <w:rPr>
          <w:rFonts w:eastAsia="黑体"/>
          <w:color w:val="auto"/>
          <w:szCs w:val="21"/>
          <w:lang w:bidi="ar"/>
        </w:rPr>
        <w:t xml:space="preserve"> </w:t>
      </w:r>
    </w:p>
    <w:p w14:paraId="701FD021">
      <w:pPr>
        <w:widowControl w:val="0"/>
        <w:snapToGrid w:val="0"/>
        <w:spacing w:line="440" w:lineRule="exact"/>
        <w:rPr>
          <w:rFonts w:eastAsia="黑体"/>
          <w:color w:val="auto"/>
          <w:szCs w:val="21"/>
        </w:rPr>
      </w:pPr>
      <w:r>
        <w:rPr>
          <w:rFonts w:eastAsia="黑体"/>
          <w:color w:val="auto"/>
          <w:szCs w:val="21"/>
          <w:lang w:bidi="ar"/>
        </w:rPr>
        <w:t xml:space="preserve">1 </w:t>
      </w:r>
      <w:r>
        <w:rPr>
          <w:rFonts w:hint="eastAsia" w:ascii="黑体" w:hAnsi="宋体" w:eastAsia="黑体" w:cs="黑体"/>
          <w:color w:val="auto"/>
          <w:szCs w:val="21"/>
          <w:lang w:bidi="ar"/>
        </w:rPr>
        <w:t>抽样方法</w:t>
      </w:r>
    </w:p>
    <w:p w14:paraId="0F807BFA">
      <w:pPr>
        <w:widowControl w:val="0"/>
        <w:spacing w:line="440" w:lineRule="exact"/>
        <w:ind w:firstLine="420" w:firstLineChars="200"/>
        <w:rPr>
          <w:color w:val="auto"/>
          <w:szCs w:val="21"/>
        </w:rPr>
      </w:pPr>
      <w:r>
        <w:rPr>
          <w:rFonts w:hint="eastAsia" w:ascii="宋体" w:hAnsi="宋体" w:cs="宋体"/>
          <w:color w:val="auto"/>
          <w:szCs w:val="21"/>
          <w:lang w:bidi="ar"/>
        </w:rPr>
        <w:t>以随机抽样的方式在被抽样生产者、销售者的待销产品中抽取。</w:t>
      </w:r>
    </w:p>
    <w:p w14:paraId="4F20CE35">
      <w:pPr>
        <w:widowControl w:val="0"/>
        <w:spacing w:line="440" w:lineRule="exact"/>
        <w:ind w:firstLine="420" w:firstLineChars="200"/>
        <w:rPr>
          <w:color w:val="auto"/>
          <w:szCs w:val="21"/>
        </w:rPr>
      </w:pPr>
      <w:r>
        <w:rPr>
          <w:rFonts w:hint="eastAsia" w:ascii="宋体" w:hAnsi="宋体" w:cs="宋体"/>
          <w:color w:val="auto"/>
          <w:szCs w:val="21"/>
          <w:lang w:bidi="ar"/>
        </w:rPr>
        <w:t>随机数一般可使用随机数表等方法产生。</w:t>
      </w:r>
    </w:p>
    <w:p w14:paraId="38939D6C">
      <w:pPr>
        <w:widowControl w:val="0"/>
        <w:spacing w:line="440" w:lineRule="exact"/>
        <w:ind w:firstLine="420" w:firstLineChars="200"/>
        <w:rPr>
          <w:color w:val="auto"/>
          <w:szCs w:val="21"/>
        </w:rPr>
      </w:pPr>
      <w:r>
        <w:rPr>
          <w:rFonts w:hint="eastAsia" w:ascii="宋体" w:hAnsi="宋体" w:cs="宋体"/>
          <w:color w:val="auto"/>
          <w:szCs w:val="21"/>
          <w:lang w:bidi="ar"/>
        </w:rPr>
        <w:t>每批次产品抽取</w:t>
      </w:r>
      <w:r>
        <w:rPr>
          <w:color w:val="auto"/>
          <w:szCs w:val="21"/>
          <w:lang w:bidi="ar"/>
        </w:rPr>
        <w:t>2</w:t>
      </w:r>
      <w:r>
        <w:rPr>
          <w:rFonts w:hint="eastAsia" w:ascii="宋体" w:hAnsi="宋体" w:cs="宋体"/>
          <w:color w:val="auto"/>
          <w:szCs w:val="21"/>
          <w:lang w:bidi="ar"/>
        </w:rPr>
        <w:t>份独立包装的样本，每份不少于3kg或3L。如产品独立包装＞</w:t>
      </w:r>
      <w:r>
        <w:rPr>
          <w:color w:val="auto"/>
          <w:szCs w:val="21"/>
          <w:lang w:bidi="ar"/>
        </w:rPr>
        <w:t>20</w:t>
      </w:r>
      <w:r>
        <w:rPr>
          <w:rFonts w:hint="eastAsia" w:ascii="宋体" w:hAnsi="宋体" w:cs="宋体"/>
          <w:color w:val="auto"/>
          <w:szCs w:val="21"/>
          <w:lang w:bidi="ar"/>
        </w:rPr>
        <w:t>升或在成品罐抽样时，应按</w:t>
      </w:r>
      <w:r>
        <w:rPr>
          <w:color w:val="auto"/>
          <w:szCs w:val="21"/>
          <w:lang w:bidi="ar"/>
        </w:rPr>
        <w:t>GB/T 4756—2</w:t>
      </w:r>
      <w:r>
        <w:rPr>
          <w:color w:val="auto"/>
          <w:szCs w:val="21"/>
          <w:lang w:bidi="ar"/>
        </w:rPr>
        <w:t>015</w:t>
      </w:r>
      <w:r>
        <w:rPr>
          <w:rFonts w:hint="eastAsia" w:ascii="宋体" w:hAnsi="宋体" w:cs="宋体"/>
          <w:color w:val="auto"/>
          <w:szCs w:val="21"/>
          <w:lang w:bidi="ar"/>
        </w:rPr>
        <w:t>《石油液体手工取样法》进</w:t>
      </w:r>
      <w:r>
        <w:rPr>
          <w:rFonts w:hint="eastAsia" w:ascii="宋体" w:hAnsi="宋体" w:cs="宋体"/>
          <w:color w:val="auto"/>
          <w:szCs w:val="21"/>
          <w:lang w:bidi="ar"/>
        </w:rPr>
        <w:t>行取样。其中</w:t>
      </w:r>
      <w:r>
        <w:rPr>
          <w:color w:val="auto"/>
          <w:szCs w:val="21"/>
          <w:lang w:bidi="ar"/>
        </w:rPr>
        <w:t>1</w:t>
      </w:r>
      <w:r>
        <w:rPr>
          <w:rFonts w:hint="eastAsia" w:ascii="宋体" w:hAnsi="宋体" w:cs="宋体"/>
          <w:color w:val="auto"/>
          <w:szCs w:val="21"/>
          <w:lang w:bidi="ar"/>
        </w:rPr>
        <w:t>份作为检验样品，采用购买方式，带回承检单位；</w:t>
      </w:r>
      <w:r>
        <w:rPr>
          <w:color w:val="auto"/>
          <w:szCs w:val="21"/>
          <w:lang w:bidi="ar"/>
        </w:rPr>
        <w:t>1</w:t>
      </w:r>
      <w:r>
        <w:rPr>
          <w:rFonts w:hint="eastAsia" w:ascii="宋体" w:hAnsi="宋体" w:cs="宋体"/>
          <w:color w:val="auto"/>
          <w:szCs w:val="21"/>
          <w:lang w:bidi="ar"/>
        </w:rPr>
        <w:t>份作为备用样品，留在受检单位。</w:t>
      </w:r>
    </w:p>
    <w:p w14:paraId="120B0DBB">
      <w:pPr>
        <w:widowControl w:val="0"/>
        <w:spacing w:line="440" w:lineRule="exact"/>
        <w:ind w:firstLine="420" w:firstLineChars="200"/>
        <w:rPr>
          <w:color w:val="auto"/>
          <w:szCs w:val="21"/>
        </w:rPr>
      </w:pPr>
      <w:r>
        <w:rPr>
          <w:color w:val="auto"/>
          <w:szCs w:val="21"/>
          <w:lang w:bidi="ar"/>
        </w:rPr>
        <w:t xml:space="preserve"> </w:t>
      </w:r>
    </w:p>
    <w:p w14:paraId="4D1A7C13">
      <w:pPr>
        <w:widowControl w:val="0"/>
        <w:snapToGrid w:val="0"/>
        <w:spacing w:line="440" w:lineRule="exact"/>
        <w:rPr>
          <w:rFonts w:eastAsia="黑体"/>
          <w:color w:val="auto"/>
          <w:szCs w:val="21"/>
        </w:rPr>
      </w:pPr>
      <w:r>
        <w:rPr>
          <w:rFonts w:eastAsia="黑体"/>
          <w:color w:val="auto"/>
          <w:szCs w:val="21"/>
          <w:lang w:bidi="ar"/>
        </w:rPr>
        <w:t xml:space="preserve"> 2 </w:t>
      </w:r>
      <w:r>
        <w:rPr>
          <w:rFonts w:hint="eastAsia" w:ascii="黑体" w:hAnsi="宋体" w:eastAsia="黑体" w:cs="黑体"/>
          <w:color w:val="auto"/>
          <w:szCs w:val="21"/>
          <w:lang w:bidi="ar"/>
        </w:rPr>
        <w:t>检验依据</w:t>
      </w:r>
    </w:p>
    <w:p w14:paraId="0C16C723">
      <w:pPr>
        <w:pStyle w:val="8"/>
        <w:widowControl w:val="0"/>
        <w:rPr>
          <w:rFonts w:ascii="宋体" w:hAnsi="Courier New" w:cs="宋体"/>
          <w:color w:val="auto"/>
          <w:sz w:val="21"/>
          <w:szCs w:val="21"/>
        </w:rPr>
      </w:pPr>
      <w:r>
        <w:rPr>
          <w:rFonts w:hint="eastAsia" w:ascii="宋体" w:hAnsi="Courier New" w:cs="宋体"/>
          <w:color w:val="auto"/>
          <w:sz w:val="21"/>
          <w:szCs w:val="21"/>
          <w:lang w:bidi="ar"/>
        </w:rPr>
        <w:t xml:space="preserve"> </w:t>
      </w:r>
    </w:p>
    <w:tbl>
      <w:tblPr>
        <w:tblStyle w:val="9"/>
        <w:tblW w:w="7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3088"/>
        <w:gridCol w:w="3581"/>
      </w:tblGrid>
      <w:tr w14:paraId="12C2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14:paraId="60E24236">
            <w:pPr>
              <w:widowControl w:val="0"/>
              <w:jc w:val="center"/>
              <w:rPr>
                <w:color w:val="auto"/>
                <w:szCs w:val="21"/>
              </w:rPr>
            </w:pPr>
            <w:r>
              <w:rPr>
                <w:rFonts w:hint="eastAsia" w:ascii="宋体" w:hAnsi="宋体" w:cs="宋体"/>
                <w:color w:val="auto"/>
                <w:szCs w:val="21"/>
                <w:lang w:bidi="ar"/>
              </w:rPr>
              <w:t>序号</w:t>
            </w:r>
          </w:p>
        </w:tc>
        <w:tc>
          <w:tcPr>
            <w:tcW w:w="3088" w:type="dxa"/>
            <w:tcBorders>
              <w:top w:val="single" w:color="auto" w:sz="4" w:space="0"/>
              <w:left w:val="single" w:color="auto" w:sz="4" w:space="0"/>
              <w:bottom w:val="single" w:color="auto" w:sz="4" w:space="0"/>
              <w:right w:val="single" w:color="auto" w:sz="4" w:space="0"/>
            </w:tcBorders>
            <w:vAlign w:val="center"/>
          </w:tcPr>
          <w:p w14:paraId="6312E9CE">
            <w:pPr>
              <w:widowControl w:val="0"/>
              <w:jc w:val="center"/>
              <w:rPr>
                <w:color w:val="auto"/>
                <w:szCs w:val="21"/>
              </w:rPr>
            </w:pPr>
            <w:r>
              <w:rPr>
                <w:rFonts w:hint="eastAsia" w:ascii="宋体" w:hAnsi="宋体" w:cs="宋体"/>
                <w:color w:val="auto"/>
                <w:szCs w:val="21"/>
                <w:lang w:bidi="ar"/>
              </w:rPr>
              <w:t>检验项目</w:t>
            </w:r>
          </w:p>
        </w:tc>
        <w:tc>
          <w:tcPr>
            <w:tcW w:w="3581" w:type="dxa"/>
            <w:tcBorders>
              <w:top w:val="single" w:color="auto" w:sz="4" w:space="0"/>
              <w:left w:val="single" w:color="auto" w:sz="4" w:space="0"/>
              <w:bottom w:val="single" w:color="auto" w:sz="4" w:space="0"/>
              <w:right w:val="single" w:color="auto" w:sz="4" w:space="0"/>
            </w:tcBorders>
            <w:vAlign w:val="center"/>
          </w:tcPr>
          <w:p w14:paraId="67A07C05">
            <w:pPr>
              <w:widowControl w:val="0"/>
              <w:jc w:val="center"/>
              <w:rPr>
                <w:color w:val="auto"/>
                <w:szCs w:val="21"/>
              </w:rPr>
            </w:pPr>
            <w:r>
              <w:rPr>
                <w:rFonts w:hint="eastAsia" w:ascii="宋体" w:hAnsi="宋体" w:cs="宋体"/>
                <w:color w:val="auto"/>
                <w:szCs w:val="21"/>
                <w:lang w:bidi="ar"/>
              </w:rPr>
              <w:t>检验方法</w:t>
            </w:r>
          </w:p>
        </w:tc>
      </w:tr>
      <w:tr w14:paraId="33FB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14:paraId="525F586C">
            <w:pPr>
              <w:widowControl w:val="0"/>
              <w:jc w:val="center"/>
              <w:rPr>
                <w:color w:val="auto"/>
                <w:szCs w:val="21"/>
              </w:rPr>
            </w:pPr>
            <w:r>
              <w:rPr>
                <w:color w:val="auto"/>
                <w:szCs w:val="21"/>
                <w:lang w:bidi="ar"/>
              </w:rPr>
              <w:t>1</w:t>
            </w:r>
          </w:p>
        </w:tc>
        <w:tc>
          <w:tcPr>
            <w:tcW w:w="3088" w:type="dxa"/>
            <w:tcBorders>
              <w:top w:val="single" w:color="auto" w:sz="4" w:space="0"/>
              <w:left w:val="single" w:color="auto" w:sz="4" w:space="0"/>
              <w:bottom w:val="single" w:color="auto" w:sz="4" w:space="0"/>
              <w:right w:val="single" w:color="auto" w:sz="4" w:space="0"/>
            </w:tcBorders>
            <w:vAlign w:val="center"/>
          </w:tcPr>
          <w:p w14:paraId="2ED01A1A">
            <w:pPr>
              <w:widowControl w:val="0"/>
              <w:jc w:val="center"/>
              <w:rPr>
                <w:color w:val="auto"/>
                <w:szCs w:val="21"/>
              </w:rPr>
            </w:pPr>
            <w:r>
              <w:rPr>
                <w:rFonts w:hint="eastAsia" w:ascii="宋体" w:hAnsi="宋体" w:cs="宋体"/>
                <w:color w:val="auto"/>
                <w:szCs w:val="21"/>
                <w:lang w:bidi="ar"/>
              </w:rPr>
              <w:t>低温</w:t>
            </w:r>
            <w:r>
              <w:rPr>
                <w:rFonts w:hint="eastAsia" w:ascii="宋体" w:hAnsi="宋体" w:cs="宋体"/>
                <w:color w:val="auto"/>
                <w:szCs w:val="21"/>
                <w:lang w:val="en-US" w:eastAsia="zh-CN" w:bidi="ar"/>
              </w:rPr>
              <w:t>启动</w:t>
            </w:r>
            <w:r>
              <w:rPr>
                <w:rFonts w:hint="eastAsia" w:ascii="宋体" w:hAnsi="宋体" w:cs="宋体"/>
                <w:color w:val="auto"/>
                <w:szCs w:val="21"/>
                <w:lang w:bidi="ar"/>
              </w:rPr>
              <w:t>黏度</w:t>
            </w:r>
          </w:p>
        </w:tc>
        <w:tc>
          <w:tcPr>
            <w:tcW w:w="3581" w:type="dxa"/>
            <w:tcBorders>
              <w:top w:val="single" w:color="auto" w:sz="4" w:space="0"/>
              <w:left w:val="single" w:color="auto" w:sz="4" w:space="0"/>
              <w:bottom w:val="single" w:color="auto" w:sz="4" w:space="0"/>
              <w:right w:val="single" w:color="auto" w:sz="4" w:space="0"/>
            </w:tcBorders>
            <w:vAlign w:val="center"/>
          </w:tcPr>
          <w:p w14:paraId="00861C62">
            <w:pPr>
              <w:widowControl w:val="0"/>
              <w:jc w:val="center"/>
              <w:rPr>
                <w:color w:val="auto"/>
                <w:szCs w:val="21"/>
              </w:rPr>
            </w:pPr>
            <w:r>
              <w:rPr>
                <w:color w:val="auto"/>
                <w:szCs w:val="21"/>
                <w:lang w:bidi="ar"/>
              </w:rPr>
              <w:t>GB/T 6538—2022</w:t>
            </w:r>
          </w:p>
        </w:tc>
      </w:tr>
      <w:tr w14:paraId="262E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14:paraId="554DBCB2">
            <w:pPr>
              <w:widowControl w:val="0"/>
              <w:jc w:val="center"/>
              <w:rPr>
                <w:color w:val="auto"/>
                <w:szCs w:val="21"/>
              </w:rPr>
            </w:pPr>
            <w:r>
              <w:rPr>
                <w:rFonts w:hint="eastAsia"/>
                <w:color w:val="auto"/>
                <w:szCs w:val="21"/>
                <w:lang w:bidi="ar"/>
              </w:rPr>
              <w:t>2</w:t>
            </w:r>
          </w:p>
        </w:tc>
        <w:tc>
          <w:tcPr>
            <w:tcW w:w="3088" w:type="dxa"/>
            <w:tcBorders>
              <w:top w:val="single" w:color="auto" w:sz="4" w:space="0"/>
              <w:left w:val="single" w:color="auto" w:sz="4" w:space="0"/>
              <w:bottom w:val="single" w:color="auto" w:sz="4" w:space="0"/>
              <w:right w:val="single" w:color="auto" w:sz="4" w:space="0"/>
            </w:tcBorders>
            <w:vAlign w:val="center"/>
          </w:tcPr>
          <w:p w14:paraId="224CDCF5">
            <w:pPr>
              <w:widowControl w:val="0"/>
              <w:jc w:val="center"/>
              <w:rPr>
                <w:color w:val="auto"/>
                <w:szCs w:val="21"/>
              </w:rPr>
            </w:pPr>
            <w:r>
              <w:rPr>
                <w:rFonts w:hint="eastAsia" w:ascii="宋体" w:hAnsi="宋体" w:cs="宋体"/>
                <w:color w:val="auto"/>
                <w:szCs w:val="21"/>
                <w:lang w:bidi="ar"/>
              </w:rPr>
              <w:t>运动黏度（</w:t>
            </w:r>
            <w:r>
              <w:rPr>
                <w:color w:val="auto"/>
                <w:szCs w:val="21"/>
                <w:lang w:bidi="ar"/>
              </w:rPr>
              <w:t>100℃</w:t>
            </w:r>
            <w:r>
              <w:rPr>
                <w:rFonts w:hint="eastAsia" w:ascii="宋体" w:hAnsi="宋体" w:cs="宋体"/>
                <w:color w:val="auto"/>
                <w:szCs w:val="21"/>
                <w:lang w:bidi="ar"/>
              </w:rPr>
              <w:t>）</w:t>
            </w:r>
          </w:p>
        </w:tc>
        <w:tc>
          <w:tcPr>
            <w:tcW w:w="3581" w:type="dxa"/>
            <w:tcBorders>
              <w:top w:val="single" w:color="auto" w:sz="4" w:space="0"/>
              <w:left w:val="single" w:color="auto" w:sz="4" w:space="0"/>
              <w:bottom w:val="single" w:color="auto" w:sz="4" w:space="0"/>
              <w:right w:val="single" w:color="auto" w:sz="4" w:space="0"/>
            </w:tcBorders>
            <w:vAlign w:val="center"/>
          </w:tcPr>
          <w:p w14:paraId="79C56E87">
            <w:pPr>
              <w:widowControl w:val="0"/>
              <w:jc w:val="center"/>
              <w:rPr>
                <w:color w:val="auto"/>
                <w:szCs w:val="21"/>
              </w:rPr>
            </w:pPr>
            <w:r>
              <w:rPr>
                <w:color w:val="auto"/>
                <w:szCs w:val="21"/>
                <w:lang w:bidi="ar"/>
              </w:rPr>
              <w:t>GB/T 265—1988</w:t>
            </w:r>
          </w:p>
        </w:tc>
      </w:tr>
      <w:tr w14:paraId="33E9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14:paraId="55AE096D">
            <w:pPr>
              <w:widowControl w:val="0"/>
              <w:jc w:val="center"/>
              <w:rPr>
                <w:color w:val="auto"/>
                <w:szCs w:val="21"/>
              </w:rPr>
            </w:pPr>
            <w:r>
              <w:rPr>
                <w:rFonts w:hint="eastAsia"/>
                <w:color w:val="auto"/>
                <w:szCs w:val="21"/>
                <w:lang w:bidi="ar"/>
              </w:rPr>
              <w:t>3</w:t>
            </w:r>
          </w:p>
        </w:tc>
        <w:tc>
          <w:tcPr>
            <w:tcW w:w="3088" w:type="dxa"/>
            <w:tcBorders>
              <w:top w:val="single" w:color="auto" w:sz="4" w:space="0"/>
              <w:left w:val="single" w:color="auto" w:sz="4" w:space="0"/>
              <w:bottom w:val="single" w:color="auto" w:sz="4" w:space="0"/>
              <w:right w:val="single" w:color="auto" w:sz="4" w:space="0"/>
            </w:tcBorders>
            <w:vAlign w:val="center"/>
          </w:tcPr>
          <w:p w14:paraId="10AC74F7">
            <w:pPr>
              <w:widowControl w:val="0"/>
              <w:jc w:val="center"/>
              <w:rPr>
                <w:color w:val="auto"/>
                <w:szCs w:val="21"/>
              </w:rPr>
            </w:pPr>
            <w:r>
              <w:rPr>
                <w:rFonts w:hint="eastAsia" w:ascii="宋体" w:hAnsi="宋体" w:cs="宋体"/>
                <w:color w:val="auto"/>
                <w:szCs w:val="21"/>
                <w:lang w:bidi="ar"/>
              </w:rPr>
              <w:t>泡沫性</w:t>
            </w:r>
          </w:p>
        </w:tc>
        <w:tc>
          <w:tcPr>
            <w:tcW w:w="3581" w:type="dxa"/>
            <w:tcBorders>
              <w:top w:val="single" w:color="auto" w:sz="4" w:space="0"/>
              <w:left w:val="single" w:color="auto" w:sz="4" w:space="0"/>
              <w:bottom w:val="single" w:color="auto" w:sz="4" w:space="0"/>
              <w:right w:val="single" w:color="auto" w:sz="4" w:space="0"/>
            </w:tcBorders>
            <w:vAlign w:val="center"/>
          </w:tcPr>
          <w:p w14:paraId="430FDD74">
            <w:pPr>
              <w:widowControl w:val="0"/>
              <w:jc w:val="center"/>
              <w:rPr>
                <w:color w:val="auto"/>
                <w:szCs w:val="21"/>
              </w:rPr>
            </w:pPr>
            <w:r>
              <w:rPr>
                <w:color w:val="auto"/>
                <w:szCs w:val="21"/>
                <w:lang w:bidi="ar"/>
              </w:rPr>
              <w:t>GB/T 12579—2002</w:t>
            </w:r>
          </w:p>
          <w:p w14:paraId="52AF8E0C">
            <w:pPr>
              <w:widowControl w:val="0"/>
              <w:jc w:val="center"/>
              <w:rPr>
                <w:color w:val="auto"/>
                <w:szCs w:val="21"/>
              </w:rPr>
            </w:pPr>
            <w:r>
              <w:rPr>
                <w:color w:val="auto"/>
                <w:szCs w:val="21"/>
                <w:lang w:bidi="ar"/>
              </w:rPr>
              <w:t>SH/T 0722—2002</w:t>
            </w:r>
          </w:p>
        </w:tc>
      </w:tr>
      <w:tr w14:paraId="2572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14:paraId="145E51B9">
            <w:pPr>
              <w:widowControl w:val="0"/>
              <w:jc w:val="center"/>
              <w:rPr>
                <w:color w:val="auto"/>
                <w:szCs w:val="21"/>
              </w:rPr>
            </w:pPr>
            <w:r>
              <w:rPr>
                <w:rFonts w:hint="eastAsia"/>
                <w:color w:val="auto"/>
                <w:szCs w:val="21"/>
                <w:lang w:bidi="ar"/>
              </w:rPr>
              <w:t>4</w:t>
            </w:r>
          </w:p>
        </w:tc>
        <w:tc>
          <w:tcPr>
            <w:tcW w:w="3088" w:type="dxa"/>
            <w:tcBorders>
              <w:top w:val="single" w:color="auto" w:sz="4" w:space="0"/>
              <w:left w:val="single" w:color="auto" w:sz="4" w:space="0"/>
              <w:bottom w:val="single" w:color="auto" w:sz="4" w:space="0"/>
              <w:right w:val="single" w:color="auto" w:sz="4" w:space="0"/>
            </w:tcBorders>
            <w:vAlign w:val="center"/>
          </w:tcPr>
          <w:p w14:paraId="0171D50B">
            <w:pPr>
              <w:widowControl w:val="0"/>
              <w:jc w:val="center"/>
              <w:rPr>
                <w:color w:val="auto"/>
                <w:szCs w:val="21"/>
              </w:rPr>
            </w:pPr>
            <w:r>
              <w:rPr>
                <w:rFonts w:hint="eastAsia" w:ascii="宋体" w:hAnsi="宋体" w:cs="宋体"/>
                <w:color w:val="auto"/>
                <w:szCs w:val="21"/>
                <w:lang w:bidi="ar"/>
              </w:rPr>
              <w:t>蒸发损失</w:t>
            </w:r>
          </w:p>
        </w:tc>
        <w:tc>
          <w:tcPr>
            <w:tcW w:w="3581" w:type="dxa"/>
            <w:tcBorders>
              <w:top w:val="single" w:color="auto" w:sz="4" w:space="0"/>
              <w:left w:val="single" w:color="auto" w:sz="4" w:space="0"/>
              <w:bottom w:val="single" w:color="auto" w:sz="4" w:space="0"/>
              <w:right w:val="single" w:color="auto" w:sz="4" w:space="0"/>
            </w:tcBorders>
            <w:vAlign w:val="center"/>
          </w:tcPr>
          <w:p w14:paraId="0706A845">
            <w:pPr>
              <w:widowControl w:val="0"/>
              <w:jc w:val="center"/>
              <w:rPr>
                <w:color w:val="auto"/>
                <w:szCs w:val="21"/>
              </w:rPr>
            </w:pPr>
            <w:r>
              <w:rPr>
                <w:color w:val="auto"/>
                <w:szCs w:val="21"/>
                <w:lang w:bidi="ar"/>
              </w:rPr>
              <w:t>NB/SH/T 0059—2010</w:t>
            </w:r>
          </w:p>
        </w:tc>
      </w:tr>
      <w:tr w14:paraId="47F6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14:paraId="2238D2F3">
            <w:pPr>
              <w:widowControl w:val="0"/>
              <w:jc w:val="center"/>
              <w:rPr>
                <w:color w:val="auto"/>
                <w:szCs w:val="21"/>
              </w:rPr>
            </w:pPr>
            <w:r>
              <w:rPr>
                <w:rFonts w:hint="eastAsia"/>
                <w:color w:val="auto"/>
                <w:szCs w:val="21"/>
                <w:lang w:bidi="ar"/>
              </w:rPr>
              <w:t>5</w:t>
            </w:r>
          </w:p>
        </w:tc>
        <w:tc>
          <w:tcPr>
            <w:tcW w:w="3088" w:type="dxa"/>
            <w:tcBorders>
              <w:top w:val="single" w:color="auto" w:sz="4" w:space="0"/>
              <w:left w:val="single" w:color="auto" w:sz="4" w:space="0"/>
              <w:bottom w:val="single" w:color="auto" w:sz="4" w:space="0"/>
              <w:right w:val="single" w:color="auto" w:sz="4" w:space="0"/>
            </w:tcBorders>
            <w:vAlign w:val="center"/>
          </w:tcPr>
          <w:p w14:paraId="790182D6">
            <w:pPr>
              <w:widowControl w:val="0"/>
              <w:jc w:val="center"/>
              <w:rPr>
                <w:color w:val="auto"/>
                <w:szCs w:val="21"/>
              </w:rPr>
            </w:pPr>
            <w:r>
              <w:rPr>
                <w:rFonts w:hint="eastAsia" w:ascii="宋体" w:hAnsi="宋体" w:cs="宋体"/>
                <w:color w:val="auto"/>
                <w:szCs w:val="21"/>
                <w:lang w:bidi="ar"/>
              </w:rPr>
              <w:t>闪点（开口）</w:t>
            </w:r>
          </w:p>
        </w:tc>
        <w:tc>
          <w:tcPr>
            <w:tcW w:w="3581" w:type="dxa"/>
            <w:tcBorders>
              <w:top w:val="single" w:color="auto" w:sz="4" w:space="0"/>
              <w:left w:val="single" w:color="auto" w:sz="4" w:space="0"/>
              <w:bottom w:val="single" w:color="auto" w:sz="4" w:space="0"/>
              <w:right w:val="single" w:color="auto" w:sz="4" w:space="0"/>
            </w:tcBorders>
            <w:vAlign w:val="center"/>
          </w:tcPr>
          <w:p w14:paraId="4A054A09">
            <w:pPr>
              <w:widowControl w:val="0"/>
              <w:jc w:val="center"/>
              <w:rPr>
                <w:color w:val="auto"/>
                <w:szCs w:val="21"/>
              </w:rPr>
            </w:pPr>
            <w:r>
              <w:rPr>
                <w:color w:val="auto"/>
                <w:szCs w:val="21"/>
                <w:lang w:bidi="ar"/>
              </w:rPr>
              <w:t>GB/T 3536—2008</w:t>
            </w:r>
          </w:p>
        </w:tc>
      </w:tr>
    </w:tbl>
    <w:p w14:paraId="449ABB9B">
      <w:pPr>
        <w:widowControl w:val="0"/>
        <w:adjustRightInd w:val="0"/>
        <w:snapToGrid w:val="0"/>
        <w:spacing w:line="440" w:lineRule="exact"/>
        <w:ind w:firstLine="420" w:firstLineChars="200"/>
        <w:rPr>
          <w:rFonts w:hint="eastAsia" w:ascii="宋体" w:hAnsi="宋体" w:cs="宋体"/>
          <w:color w:val="auto"/>
          <w:szCs w:val="21"/>
        </w:rPr>
      </w:pPr>
      <w:r>
        <w:rPr>
          <w:rFonts w:hint="eastAsia" w:ascii="宋体" w:hAnsi="宋体" w:cs="宋体"/>
          <w:color w:val="auto"/>
          <w:szCs w:val="21"/>
          <w:lang w:bidi="ar"/>
        </w:rPr>
        <w:t>执行企业标准、团体标准、地方标准的产品，检验项目参照上述内容执行。</w:t>
      </w:r>
    </w:p>
    <w:p w14:paraId="7F1BFF19">
      <w:pPr>
        <w:widowControl w:val="0"/>
        <w:snapToGrid w:val="0"/>
        <w:spacing w:line="440" w:lineRule="exact"/>
        <w:ind w:firstLine="420" w:firstLineChars="200"/>
        <w:rPr>
          <w:color w:val="auto"/>
          <w:szCs w:val="21"/>
        </w:rPr>
      </w:pPr>
      <w:r>
        <w:rPr>
          <w:rFonts w:hint="eastAsia" w:ascii="宋体" w:hAnsi="宋体" w:cs="宋体"/>
          <w:color w:val="auto"/>
          <w:szCs w:val="21"/>
          <w:lang w:bidi="ar"/>
        </w:rPr>
        <w:t>凡是注日期的文件，其随后所有的修改单（不包括勘误的内容）或修订版不适用于本细则。凡是不注日期的文件，其最新版本适用于本细则。</w:t>
      </w:r>
    </w:p>
    <w:p w14:paraId="70166175">
      <w:pPr>
        <w:widowControl w:val="0"/>
        <w:snapToGrid w:val="0"/>
        <w:spacing w:line="440" w:lineRule="exact"/>
        <w:rPr>
          <w:color w:val="auto"/>
          <w:szCs w:val="21"/>
        </w:rPr>
      </w:pPr>
      <w:r>
        <w:rPr>
          <w:color w:val="auto"/>
          <w:szCs w:val="21"/>
          <w:lang w:bidi="ar"/>
        </w:rPr>
        <w:t xml:space="preserve"> </w:t>
      </w:r>
    </w:p>
    <w:p w14:paraId="25A5BD9E">
      <w:pPr>
        <w:widowControl w:val="0"/>
        <w:snapToGrid w:val="0"/>
        <w:spacing w:line="440" w:lineRule="exact"/>
        <w:rPr>
          <w:rFonts w:eastAsia="黑体"/>
          <w:color w:val="auto"/>
          <w:szCs w:val="21"/>
        </w:rPr>
      </w:pPr>
      <w:r>
        <w:rPr>
          <w:rFonts w:eastAsia="黑体"/>
          <w:color w:val="auto"/>
          <w:szCs w:val="21"/>
          <w:lang w:bidi="ar"/>
        </w:rPr>
        <w:t xml:space="preserve">3 </w:t>
      </w:r>
      <w:r>
        <w:rPr>
          <w:rFonts w:hint="eastAsia" w:ascii="黑体" w:hAnsi="宋体" w:eastAsia="黑体" w:cs="黑体"/>
          <w:color w:val="auto"/>
          <w:szCs w:val="21"/>
          <w:lang w:bidi="ar"/>
        </w:rPr>
        <w:t>判定规则</w:t>
      </w:r>
    </w:p>
    <w:p w14:paraId="62681077">
      <w:pPr>
        <w:widowControl w:val="0"/>
        <w:snapToGrid w:val="0"/>
        <w:spacing w:line="440" w:lineRule="exact"/>
        <w:rPr>
          <w:color w:val="auto"/>
          <w:szCs w:val="21"/>
        </w:rPr>
      </w:pPr>
      <w:r>
        <w:rPr>
          <w:color w:val="auto"/>
          <w:szCs w:val="21"/>
          <w:lang w:bidi="ar"/>
        </w:rPr>
        <w:t>3.1</w:t>
      </w:r>
      <w:r>
        <w:rPr>
          <w:rFonts w:hint="eastAsia" w:ascii="宋体" w:hAnsi="宋体" w:cs="宋体"/>
          <w:color w:val="auto"/>
          <w:szCs w:val="21"/>
          <w:lang w:bidi="ar"/>
        </w:rPr>
        <w:t>依据标准</w:t>
      </w:r>
    </w:p>
    <w:p w14:paraId="4D4C9CAA">
      <w:pPr>
        <w:widowControl w:val="0"/>
        <w:spacing w:line="440" w:lineRule="exact"/>
        <w:ind w:firstLine="420" w:firstLineChars="200"/>
        <w:rPr>
          <w:color w:val="auto"/>
          <w:szCs w:val="21"/>
        </w:rPr>
      </w:pPr>
      <w:r>
        <w:rPr>
          <w:color w:val="auto"/>
          <w:szCs w:val="21"/>
          <w:lang w:bidi="ar"/>
        </w:rPr>
        <w:t>GB 11121—20</w:t>
      </w:r>
      <w:r>
        <w:rPr>
          <w:rFonts w:hint="eastAsia"/>
          <w:color w:val="auto"/>
          <w:szCs w:val="21"/>
          <w:lang w:val="en-US" w:eastAsia="zh-CN" w:bidi="ar"/>
        </w:rPr>
        <w:t>25</w:t>
      </w:r>
      <w:r>
        <w:rPr>
          <w:color w:val="auto"/>
          <w:szCs w:val="21"/>
          <w:lang w:bidi="ar"/>
        </w:rPr>
        <w:t xml:space="preserve"> </w:t>
      </w:r>
      <w:r>
        <w:rPr>
          <w:rFonts w:hint="eastAsia" w:ascii="宋体" w:hAnsi="宋体" w:cs="宋体"/>
          <w:color w:val="auto"/>
          <w:szCs w:val="21"/>
          <w:lang w:bidi="ar"/>
        </w:rPr>
        <w:t>汽油机油</w:t>
      </w:r>
    </w:p>
    <w:p w14:paraId="0F231421">
      <w:pPr>
        <w:widowControl w:val="0"/>
        <w:spacing w:line="440" w:lineRule="exact"/>
        <w:ind w:firstLine="420" w:firstLineChars="200"/>
        <w:rPr>
          <w:color w:val="auto"/>
          <w:szCs w:val="21"/>
        </w:rPr>
      </w:pPr>
      <w:r>
        <w:rPr>
          <w:color w:val="auto"/>
          <w:szCs w:val="21"/>
          <w:lang w:bidi="ar"/>
        </w:rPr>
        <w:t>GB 11122—20</w:t>
      </w:r>
      <w:r>
        <w:rPr>
          <w:rFonts w:hint="eastAsia"/>
          <w:color w:val="auto"/>
          <w:szCs w:val="21"/>
          <w:lang w:val="en-US" w:eastAsia="zh-CN" w:bidi="ar"/>
        </w:rPr>
        <w:t>25</w:t>
      </w:r>
      <w:r>
        <w:rPr>
          <w:color w:val="auto"/>
          <w:szCs w:val="21"/>
          <w:lang w:bidi="ar"/>
        </w:rPr>
        <w:t xml:space="preserve"> </w:t>
      </w:r>
      <w:r>
        <w:rPr>
          <w:rFonts w:hint="eastAsia" w:ascii="宋体" w:hAnsi="宋体" w:cs="宋体"/>
          <w:color w:val="auto"/>
          <w:szCs w:val="21"/>
          <w:lang w:bidi="ar"/>
        </w:rPr>
        <w:t>柴油机油</w:t>
      </w:r>
    </w:p>
    <w:p w14:paraId="4FC7FED1">
      <w:pPr>
        <w:widowControl w:val="0"/>
        <w:snapToGrid w:val="0"/>
        <w:spacing w:line="440" w:lineRule="exact"/>
        <w:ind w:firstLine="420" w:firstLineChars="200"/>
        <w:rPr>
          <w:color w:val="auto"/>
          <w:szCs w:val="21"/>
        </w:rPr>
      </w:pPr>
      <w:r>
        <w:rPr>
          <w:rFonts w:hint="eastAsia" w:ascii="宋体" w:hAnsi="宋体" w:cs="宋体"/>
          <w:color w:val="auto"/>
          <w:szCs w:val="21"/>
          <w:lang w:bidi="ar"/>
        </w:rPr>
        <w:t>现行有效的企业标准、团体标准、地方标准及产品明示质量要求</w:t>
      </w:r>
    </w:p>
    <w:p w14:paraId="4687870B">
      <w:pPr>
        <w:widowControl w:val="0"/>
        <w:snapToGrid w:val="0"/>
        <w:spacing w:line="440" w:lineRule="exact"/>
        <w:rPr>
          <w:color w:val="auto"/>
          <w:szCs w:val="21"/>
        </w:rPr>
      </w:pPr>
      <w:r>
        <w:rPr>
          <w:color w:val="auto"/>
          <w:szCs w:val="21"/>
          <w:lang w:bidi="ar"/>
        </w:rPr>
        <w:t>3.2</w:t>
      </w:r>
      <w:r>
        <w:rPr>
          <w:rFonts w:hint="eastAsia" w:ascii="宋体" w:hAnsi="宋体" w:cs="宋体"/>
          <w:color w:val="auto"/>
          <w:szCs w:val="21"/>
          <w:lang w:bidi="ar"/>
        </w:rPr>
        <w:t>判定原则</w:t>
      </w:r>
    </w:p>
    <w:p w14:paraId="58549925">
      <w:pPr>
        <w:widowControl w:val="0"/>
        <w:snapToGrid w:val="0"/>
        <w:spacing w:line="440" w:lineRule="exact"/>
        <w:ind w:firstLine="420" w:firstLineChars="200"/>
        <w:rPr>
          <w:color w:val="auto"/>
          <w:szCs w:val="21"/>
        </w:rPr>
      </w:pPr>
      <w:r>
        <w:rPr>
          <w:rFonts w:hint="eastAsia" w:ascii="宋体" w:hAnsi="宋体" w:cs="宋体"/>
          <w:color w:val="auto"/>
          <w:szCs w:val="21"/>
          <w:lang w:bidi="ar"/>
        </w:rPr>
        <w:t>经检验，检验项目全部合格，判定为被抽查产品所检项目未发现不合格；检验项目中任一项或一项以上不合格，判定为被抽查产品不合格。</w:t>
      </w:r>
    </w:p>
    <w:p w14:paraId="40840CB7">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若被检产品明示的质量要求高于本细则中检验项目依据的标准要求时，应按被检产品明示的质量要求判定。</w:t>
      </w:r>
    </w:p>
    <w:p w14:paraId="24E88E04">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若被检产品明示的质量要求低于本细则中检验项目依据的强制性标准要求时，应按照强制性标准要求判定。</w:t>
      </w:r>
    </w:p>
    <w:p w14:paraId="089CF883">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若被检产品明示的质量要求低于或包含本细则中检验项目依据的推荐性标准要求时，应以被检产品明示的质量要求判定。</w:t>
      </w:r>
    </w:p>
    <w:p w14:paraId="08F670E4">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若被检产品明示的质量要求缺少本细则中检验项目依据的强制性标准要求时，应按照强制性标准要求判定。</w:t>
      </w:r>
    </w:p>
    <w:p w14:paraId="71559040">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若被检产品明示的质量要求缺少本细则中检验项目依据的推荐性标准要求时，该项目不参与判定。</w:t>
      </w:r>
    </w:p>
    <w:p w14:paraId="7A8BD4A4">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61699F46">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2C101879">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00879DD9">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6DBF30AC">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5ABB2215">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58175EB6">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13995937">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7D005870">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114DA924">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6B5E85A5">
      <w:pPr>
        <w:widowControl w:val="0"/>
        <w:snapToGrid w:val="0"/>
        <w:spacing w:line="594" w:lineRule="exact"/>
        <w:jc w:val="center"/>
        <w:rPr>
          <w:rFonts w:hint="eastAsia" w:ascii="方正小标宋简体" w:hAnsi="方正小标宋简体" w:eastAsia="方正小标宋简体" w:cs="方正小标宋简体"/>
          <w:color w:val="auto"/>
          <w:sz w:val="32"/>
          <w:szCs w:val="32"/>
          <w:lang w:bidi="ar"/>
        </w:rPr>
      </w:pPr>
    </w:p>
    <w:p w14:paraId="2439F44B">
      <w:pPr>
        <w:pStyle w:val="2"/>
        <w:rPr>
          <w:rFonts w:hint="eastAsia" w:ascii="方正小标宋简体" w:hAnsi="方正小标宋简体" w:eastAsia="方正小标宋简体" w:cs="方正小标宋简体"/>
          <w:color w:val="auto"/>
          <w:sz w:val="32"/>
          <w:szCs w:val="32"/>
          <w:lang w:bidi="ar"/>
        </w:rPr>
      </w:pPr>
    </w:p>
    <w:p w14:paraId="5E5DA3B5">
      <w:pPr>
        <w:spacing w:line="590" w:lineRule="exact"/>
        <w:rPr>
          <w:rFonts w:hint="eastAsia" w:ascii="宋体" w:hAnsi="宋体" w:cs="宋体"/>
          <w:color w:val="auto"/>
          <w:szCs w:val="21"/>
        </w:rPr>
      </w:pPr>
    </w:p>
    <w:bookmarkEnd w:id="0"/>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ACCD77-834C-43F3-B552-4CAFBE2602D2}"/>
  </w:font>
  <w:font w:name="Courier New">
    <w:panose1 w:val="02070309020205020404"/>
    <w:charset w:val="01"/>
    <w:family w:val="modern"/>
    <w:pitch w:val="default"/>
    <w:sig w:usb0="E0002EFF" w:usb1="C0007843" w:usb2="00000009" w:usb3="00000000" w:csb0="400001FF" w:csb1="FFFF0000"/>
    <w:embedRegular r:id="rId2" w:fontKey="{4F1533F7-FD37-48A3-8D4B-1BB2EE9B315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C5B3ABAD-F35A-47B1-B400-A74C1E3ED9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B049E">
    <w:pPr>
      <w:pStyle w:val="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5802630</wp:posOffset>
              </wp:positionH>
              <wp:positionV relativeFrom="page">
                <wp:posOffset>9726930</wp:posOffset>
              </wp:positionV>
              <wp:extent cx="558165"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58165" cy="203835"/>
                      </a:xfrm>
                      <a:prstGeom prst="rect">
                        <a:avLst/>
                      </a:prstGeom>
                      <a:noFill/>
                      <a:ln>
                        <a:noFill/>
                      </a:ln>
                    </wps:spPr>
                    <wps:txbx>
                      <w:txbxContent>
                        <w:p w14:paraId="48957957">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456.9pt;margin-top:765.9pt;height:16.05pt;width:43.95pt;mso-position-horizontal-relative:page;mso-position-vertical-relative:page;z-index:-251657216;mso-width-relative:page;mso-height-relative:page;" filled="f" stroked="f" coordsize="21600,21600" o:gfxdata="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eSdQ2gAAAA4BAAAPAAAAAAAAAAEAIAAAACIAAABkcnMvZG93bnJldi54bWxQSwEC&#10;FAAUAAAACACHTuJAa+L/grkBAABxAwAADgAAAAAAAAABACAAAAApAQAAZHJzL2Uyb0RvYy54bWxQ&#10;SwUGAAAAAAYABgBZAQAAVAUAAAAA&#10;">
              <v:fill on="f" focussize="0,0"/>
              <v:stroke on="f"/>
              <v:imagedata o:title=""/>
              <o:lock v:ext="edit" aspectratio="f"/>
              <v:textbox inset="0mm,0mm,0mm,0mm">
                <w:txbxContent>
                  <w:p w14:paraId="48957957">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4ZjM1ZGY3OTg4NjMyZDJmYTU2NzljZWY5NDYxMzAifQ=="/>
  </w:docVars>
  <w:rsids>
    <w:rsidRoot w:val="00D825F5"/>
    <w:rsid w:val="000A27A0"/>
    <w:rsid w:val="002B7CC7"/>
    <w:rsid w:val="00481141"/>
    <w:rsid w:val="00625780"/>
    <w:rsid w:val="009323A9"/>
    <w:rsid w:val="00D825F5"/>
    <w:rsid w:val="00F8638F"/>
    <w:rsid w:val="016B50A8"/>
    <w:rsid w:val="01B01BF0"/>
    <w:rsid w:val="01ED3491"/>
    <w:rsid w:val="02A76009"/>
    <w:rsid w:val="031A4A4E"/>
    <w:rsid w:val="03FD2B28"/>
    <w:rsid w:val="047D5273"/>
    <w:rsid w:val="04854128"/>
    <w:rsid w:val="04C335CE"/>
    <w:rsid w:val="06007F0A"/>
    <w:rsid w:val="068604E5"/>
    <w:rsid w:val="06CE625A"/>
    <w:rsid w:val="06E67100"/>
    <w:rsid w:val="078E1545"/>
    <w:rsid w:val="08403721"/>
    <w:rsid w:val="099A0675"/>
    <w:rsid w:val="0CA92162"/>
    <w:rsid w:val="0CF2087E"/>
    <w:rsid w:val="0DA82471"/>
    <w:rsid w:val="0F672631"/>
    <w:rsid w:val="0F952D6B"/>
    <w:rsid w:val="0FA1450C"/>
    <w:rsid w:val="121548EA"/>
    <w:rsid w:val="1272218F"/>
    <w:rsid w:val="13FA4D8C"/>
    <w:rsid w:val="149208C7"/>
    <w:rsid w:val="164E6A70"/>
    <w:rsid w:val="16AD0593"/>
    <w:rsid w:val="16CF6A23"/>
    <w:rsid w:val="16D76A65"/>
    <w:rsid w:val="17B668A4"/>
    <w:rsid w:val="18B13D26"/>
    <w:rsid w:val="19237632"/>
    <w:rsid w:val="199C025B"/>
    <w:rsid w:val="19D76D7C"/>
    <w:rsid w:val="1A5403CD"/>
    <w:rsid w:val="1AC83294"/>
    <w:rsid w:val="1B6F1962"/>
    <w:rsid w:val="1B961DA9"/>
    <w:rsid w:val="1CF0262F"/>
    <w:rsid w:val="1D216C8C"/>
    <w:rsid w:val="1EB83620"/>
    <w:rsid w:val="1FD863D3"/>
    <w:rsid w:val="1FEA7809"/>
    <w:rsid w:val="2136082C"/>
    <w:rsid w:val="23304EF1"/>
    <w:rsid w:val="23C860B3"/>
    <w:rsid w:val="24BC39C3"/>
    <w:rsid w:val="25C34C54"/>
    <w:rsid w:val="26C07516"/>
    <w:rsid w:val="26D933C3"/>
    <w:rsid w:val="27053614"/>
    <w:rsid w:val="27BE3B1B"/>
    <w:rsid w:val="289360AA"/>
    <w:rsid w:val="28DC615D"/>
    <w:rsid w:val="28E55011"/>
    <w:rsid w:val="295B52D4"/>
    <w:rsid w:val="29EC23D0"/>
    <w:rsid w:val="2A4268AB"/>
    <w:rsid w:val="2B084FE7"/>
    <w:rsid w:val="2D0A3299"/>
    <w:rsid w:val="2D3D721E"/>
    <w:rsid w:val="2D9C5EBB"/>
    <w:rsid w:val="313C59EB"/>
    <w:rsid w:val="31853836"/>
    <w:rsid w:val="32586854"/>
    <w:rsid w:val="32902492"/>
    <w:rsid w:val="33074740"/>
    <w:rsid w:val="33296443"/>
    <w:rsid w:val="339A41CD"/>
    <w:rsid w:val="35A20FF6"/>
    <w:rsid w:val="36A9548A"/>
    <w:rsid w:val="371F3DE4"/>
    <w:rsid w:val="375F2433"/>
    <w:rsid w:val="37712166"/>
    <w:rsid w:val="384B7018"/>
    <w:rsid w:val="3986014B"/>
    <w:rsid w:val="3A0D5771"/>
    <w:rsid w:val="3A3069D4"/>
    <w:rsid w:val="3A4F0B96"/>
    <w:rsid w:val="3A83468A"/>
    <w:rsid w:val="3AEF6A0D"/>
    <w:rsid w:val="3BA174BE"/>
    <w:rsid w:val="3C025A83"/>
    <w:rsid w:val="3C7E0800"/>
    <w:rsid w:val="3CFC0724"/>
    <w:rsid w:val="3D357EE0"/>
    <w:rsid w:val="3E0F4311"/>
    <w:rsid w:val="3E3D2DA2"/>
    <w:rsid w:val="402E32EA"/>
    <w:rsid w:val="403135E9"/>
    <w:rsid w:val="41F9028E"/>
    <w:rsid w:val="421502BE"/>
    <w:rsid w:val="421B1066"/>
    <w:rsid w:val="43821950"/>
    <w:rsid w:val="43A21908"/>
    <w:rsid w:val="452E61C6"/>
    <w:rsid w:val="458A4B1F"/>
    <w:rsid w:val="45AD4CB1"/>
    <w:rsid w:val="468D122A"/>
    <w:rsid w:val="46D87B0C"/>
    <w:rsid w:val="46F96DC1"/>
    <w:rsid w:val="48403BBB"/>
    <w:rsid w:val="48A57EC2"/>
    <w:rsid w:val="48CC050C"/>
    <w:rsid w:val="496F29A9"/>
    <w:rsid w:val="49EA0E56"/>
    <w:rsid w:val="4AD4683C"/>
    <w:rsid w:val="4B0D06CC"/>
    <w:rsid w:val="4BAD5A0B"/>
    <w:rsid w:val="4CE5450F"/>
    <w:rsid w:val="4E3F66C2"/>
    <w:rsid w:val="4E55558A"/>
    <w:rsid w:val="4E7C7675"/>
    <w:rsid w:val="4FB01626"/>
    <w:rsid w:val="4FD00EDD"/>
    <w:rsid w:val="4FD5108C"/>
    <w:rsid w:val="501E715D"/>
    <w:rsid w:val="50570B3D"/>
    <w:rsid w:val="51750D79"/>
    <w:rsid w:val="51917235"/>
    <w:rsid w:val="528E0C74"/>
    <w:rsid w:val="53AA2830"/>
    <w:rsid w:val="550B72FE"/>
    <w:rsid w:val="5536081F"/>
    <w:rsid w:val="55540CA5"/>
    <w:rsid w:val="55D6790C"/>
    <w:rsid w:val="57B020F8"/>
    <w:rsid w:val="58533496"/>
    <w:rsid w:val="58A261CC"/>
    <w:rsid w:val="58C229CF"/>
    <w:rsid w:val="58C72F50"/>
    <w:rsid w:val="59F6057D"/>
    <w:rsid w:val="5A1A06EB"/>
    <w:rsid w:val="5B1A473F"/>
    <w:rsid w:val="5C653798"/>
    <w:rsid w:val="600D21A5"/>
    <w:rsid w:val="606E5E0A"/>
    <w:rsid w:val="607C7302"/>
    <w:rsid w:val="626D784A"/>
    <w:rsid w:val="63140E26"/>
    <w:rsid w:val="63CE3457"/>
    <w:rsid w:val="63ED36D1"/>
    <w:rsid w:val="64EA33D4"/>
    <w:rsid w:val="65030DDA"/>
    <w:rsid w:val="663C7C5F"/>
    <w:rsid w:val="66F44096"/>
    <w:rsid w:val="66F66060"/>
    <w:rsid w:val="670C7632"/>
    <w:rsid w:val="6748228D"/>
    <w:rsid w:val="67A604B4"/>
    <w:rsid w:val="6A203385"/>
    <w:rsid w:val="6A5B2C58"/>
    <w:rsid w:val="6A667059"/>
    <w:rsid w:val="6CC24715"/>
    <w:rsid w:val="6CF0139F"/>
    <w:rsid w:val="6D317DF2"/>
    <w:rsid w:val="6F1A6664"/>
    <w:rsid w:val="708446DD"/>
    <w:rsid w:val="713D5FA9"/>
    <w:rsid w:val="71CA25C3"/>
    <w:rsid w:val="7277099F"/>
    <w:rsid w:val="728F751C"/>
    <w:rsid w:val="73C44DF0"/>
    <w:rsid w:val="74A05010"/>
    <w:rsid w:val="75383CE8"/>
    <w:rsid w:val="76424E1E"/>
    <w:rsid w:val="765A1E12"/>
    <w:rsid w:val="7769462C"/>
    <w:rsid w:val="77BF249E"/>
    <w:rsid w:val="77FA5285"/>
    <w:rsid w:val="78570929"/>
    <w:rsid w:val="7AC202DC"/>
    <w:rsid w:val="7AD26045"/>
    <w:rsid w:val="7AE024CF"/>
    <w:rsid w:val="7C63164A"/>
    <w:rsid w:val="7D556376"/>
    <w:rsid w:val="7EC6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jc w:val="both"/>
    </w:pPr>
    <w:rPr>
      <w:rFonts w:ascii="Times New Roman" w:hAnsi="Times New Roman" w:eastAsia="宋体" w:cs="Times New Roman"/>
      <w:kern w:val="2"/>
      <w:sz w:val="21"/>
      <w:szCs w:val="24"/>
      <w:lang w:val="en-US" w:eastAsia="zh-CN" w:bidi="ar-SA"/>
    </w:rPr>
  </w:style>
  <w:style w:type="paragraph" w:styleId="3">
    <w:name w:val="heading 1"/>
    <w:basedOn w:val="1"/>
    <w:next w:val="1"/>
    <w:unhideWhenUsed/>
    <w:qFormat/>
    <w:uiPriority w:val="9"/>
    <w:pPr>
      <w:ind w:left="143" w:right="898" w:hanging="2475"/>
      <w:outlineLvl w:val="0"/>
    </w:pPr>
    <w:rPr>
      <w:rFonts w:hint="eastAsia" w:ascii="方正小标宋简体" w:hAnsi="方正小标宋简体" w:eastAsia="方正小标宋简体" w:cs="方正小标宋简体"/>
      <w:sz w:val="44"/>
      <w:szCs w:val="44"/>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4">
    <w:name w:val="Body Text"/>
    <w:basedOn w:val="1"/>
    <w:unhideWhenUsed/>
    <w:qFormat/>
    <w:uiPriority w:val="1"/>
    <w:rPr>
      <w:sz w:val="32"/>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paragraph" w:styleId="8">
    <w:name w:val="Normal (Web)"/>
    <w:basedOn w:val="1"/>
    <w:qFormat/>
    <w:uiPriority w:val="0"/>
    <w:rPr>
      <w:sz w:val="24"/>
    </w:rPr>
  </w:style>
  <w:style w:type="paragraph" w:customStyle="1" w:styleId="11">
    <w:name w:val="Table Paragraph"/>
    <w:basedOn w:val="1"/>
    <w:unhideWhenUsed/>
    <w:qFormat/>
    <w:uiPriority w:val="1"/>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3">
    <w:name w:val="15"/>
    <w:basedOn w:val="10"/>
    <w:qFormat/>
    <w:uiPriority w:val="0"/>
    <w:rPr>
      <w:rFonts w:hint="default" w:ascii="Times New Roman" w:hAnsi="Times New Roman" w:cs="Times New Roman"/>
    </w:rPr>
  </w:style>
  <w:style w:type="character" w:customStyle="1" w:styleId="14">
    <w:name w:val="10"/>
    <w:basedOn w:val="10"/>
    <w:qFormat/>
    <w:uiPriority w:val="0"/>
    <w:rPr>
      <w:rFonts w:hint="default" w:ascii="Times New Roman" w:hAnsi="Times New Roman" w:cs="Times New Roman"/>
    </w:rPr>
  </w:style>
  <w:style w:type="character" w:customStyle="1" w:styleId="15">
    <w:name w:val="页眉 字符"/>
    <w:basedOn w:val="10"/>
    <w:link w:val="6"/>
    <w:qFormat/>
    <w:uiPriority w:val="0"/>
    <w:rPr>
      <w:kern w:val="2"/>
      <w:sz w:val="18"/>
      <w:szCs w:val="18"/>
    </w:rPr>
  </w:style>
  <w:style w:type="character" w:customStyle="1" w:styleId="16">
    <w:name w:val="页脚 字符"/>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687</Words>
  <Characters>798</Characters>
  <Lines>39</Lines>
  <Paragraphs>41</Paragraphs>
  <TotalTime>1</TotalTime>
  <ScaleCrop>false</ScaleCrop>
  <LinksUpToDate>false</LinksUpToDate>
  <CharactersWithSpaces>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2022-09-01T02:20:00Z</dcterms:created>
  <dc:creator>001</dc:creator>
  <cp:lastModifiedBy>SMQHDM</cp:lastModifiedBy>
  <cp:lastPrinted>2022-09-13T06:19:00Z</cp:lastPrinted>
  <dcterms:modified xsi:type="dcterms:W3CDTF">2026-09-16T01:57:16Z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9D141648CC654E99AE2C7334087706F9_13</vt:lpwstr>
  </property>
  <property fmtid="{D5CDD505-2E9C-101B-9397-08002B2CF9AE}" pid="4" name="KSOTemplateDocerSaveRecord">
    <vt:lpwstr>eyJoZGlkIjoiYmI3NGY0M2Q4NDJmYzRlZWYzMDI4ZTg0NTJmMzgxNTYiLCJ1c2VySWQiOiIzMjY5NzYxNDkifQ==</vt:lpwstr>
  </property>
</Properties>
</file>