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BA33CF">
      <w:pPr>
        <w:widowControl w:val="0"/>
        <w:snapToGrid w:val="0"/>
        <w:spacing w:line="594" w:lineRule="exact"/>
        <w:jc w:val="center"/>
        <w:rPr>
          <w:rFonts w:eastAsia="方正小标宋简体"/>
          <w:sz w:val="32"/>
          <w:szCs w:val="32"/>
        </w:rPr>
      </w:pPr>
      <w:r>
        <w:rPr>
          <w:rFonts w:hint="eastAsia" w:eastAsia="方正小标宋简体"/>
          <w:sz w:val="32"/>
          <w:szCs w:val="32"/>
        </w:rPr>
        <w:t>中山市车用汽油、车用柴油产品质量监督抽查实施细则</w:t>
      </w:r>
    </w:p>
    <w:p w14:paraId="3E628668">
      <w:pPr>
        <w:spacing w:line="590" w:lineRule="exact"/>
        <w:rPr>
          <w:rFonts w:hint="eastAsia" w:ascii="仿宋_GB2312" w:hAnsi="仿宋_GB2312" w:eastAsia="仿宋_GB2312" w:cs="仿宋_GB2312"/>
          <w:sz w:val="32"/>
          <w:szCs w:val="32"/>
        </w:rPr>
      </w:pPr>
    </w:p>
    <w:p w14:paraId="64CB2782">
      <w:pPr>
        <w:spacing w:line="590" w:lineRule="exact"/>
        <w:rPr>
          <w:rFonts w:hint="eastAsia" w:ascii="黑体" w:hAnsi="黑体" w:eastAsia="黑体" w:cs="黑体"/>
          <w:sz w:val="24"/>
        </w:rPr>
      </w:pPr>
      <w:r>
        <w:rPr>
          <w:rFonts w:hint="eastAsia" w:ascii="黑体" w:hAnsi="黑体" w:eastAsia="黑体" w:cs="黑体"/>
          <w:sz w:val="24"/>
        </w:rPr>
        <w:t>1 抽样方法</w:t>
      </w:r>
    </w:p>
    <w:p w14:paraId="60B79D5C">
      <w:pPr>
        <w:widowControl w:val="0"/>
        <w:spacing w:line="440" w:lineRule="exact"/>
        <w:ind w:firstLine="420" w:firstLineChars="200"/>
        <w:rPr>
          <w:rFonts w:hint="eastAsia" w:ascii="宋体" w:hAnsi="宋体" w:cs="宋体"/>
          <w:color w:val="000000"/>
          <w:szCs w:val="21"/>
          <w:lang w:bidi="ar"/>
        </w:rPr>
      </w:pPr>
      <w:r>
        <w:rPr>
          <w:rFonts w:hint="eastAsia" w:ascii="宋体" w:hAnsi="宋体" w:cs="宋体"/>
          <w:color w:val="000000"/>
          <w:szCs w:val="21"/>
          <w:lang w:bidi="ar"/>
        </w:rPr>
        <w:t>以随机抽样的方式在被抽样生产者、销售者的待销产品中抽取。</w:t>
      </w:r>
    </w:p>
    <w:p w14:paraId="7F1CCB47">
      <w:pPr>
        <w:widowControl w:val="0"/>
        <w:spacing w:line="440" w:lineRule="exact"/>
        <w:ind w:firstLine="420" w:firstLineChars="200"/>
        <w:rPr>
          <w:rFonts w:hint="eastAsia" w:ascii="宋体" w:hAnsi="宋体" w:cs="宋体"/>
          <w:color w:val="000000"/>
          <w:szCs w:val="21"/>
          <w:lang w:bidi="ar"/>
        </w:rPr>
      </w:pPr>
      <w:r>
        <w:rPr>
          <w:rFonts w:hint="eastAsia" w:ascii="宋体" w:hAnsi="宋体" w:cs="宋体"/>
          <w:color w:val="000000"/>
          <w:szCs w:val="21"/>
          <w:lang w:bidi="ar"/>
        </w:rPr>
        <w:t>随机数一般可使用随机数表等方法产生。</w:t>
      </w:r>
    </w:p>
    <w:p w14:paraId="0EAF6279">
      <w:pPr>
        <w:widowControl w:val="0"/>
        <w:spacing w:line="440" w:lineRule="exact"/>
        <w:ind w:firstLine="420" w:firstLineChars="200"/>
        <w:rPr>
          <w:rFonts w:hint="eastAsia" w:ascii="宋体" w:hAnsi="宋体" w:cs="宋体"/>
          <w:color w:val="000000"/>
          <w:szCs w:val="21"/>
          <w:lang w:bidi="ar"/>
        </w:rPr>
      </w:pPr>
      <w:r>
        <w:rPr>
          <w:rFonts w:hint="eastAsia" w:ascii="宋体" w:hAnsi="宋体" w:cs="宋体"/>
          <w:color w:val="000000"/>
          <w:szCs w:val="21"/>
          <w:lang w:bidi="ar"/>
        </w:rPr>
        <w:t>每批次产品抽取2组样品，车用汽油产品每组总量不少于2.75L，车用柴油产品每组总量不少于2L；第1组样本采用购买方式，用于检验，带回承检单位；另1组样本作为备样，留在受检单位。</w:t>
      </w:r>
    </w:p>
    <w:p w14:paraId="2CF3A4DB">
      <w:pPr>
        <w:spacing w:line="590" w:lineRule="exact"/>
        <w:rPr>
          <w:rFonts w:hint="eastAsia" w:ascii="黑体" w:hAnsi="黑体" w:eastAsia="黑体" w:cs="黑体"/>
          <w:sz w:val="24"/>
        </w:rPr>
      </w:pPr>
      <w:r>
        <w:rPr>
          <w:rFonts w:hint="eastAsia" w:ascii="黑体" w:hAnsi="黑体" w:eastAsia="黑体" w:cs="黑体"/>
          <w:sz w:val="24"/>
        </w:rPr>
        <w:t>2 检验依据</w:t>
      </w:r>
    </w:p>
    <w:p w14:paraId="1A083150">
      <w:pPr>
        <w:widowControl w:val="0"/>
        <w:adjustRightInd w:val="0"/>
        <w:snapToGrid w:val="0"/>
        <w:spacing w:line="440" w:lineRule="exact"/>
        <w:ind w:firstLine="420" w:firstLineChars="200"/>
        <w:rPr>
          <w:rFonts w:hint="eastAsia"/>
          <w:szCs w:val="21"/>
        </w:rPr>
      </w:pPr>
      <w:r>
        <w:rPr>
          <w:rFonts w:hint="eastAsia"/>
          <w:szCs w:val="21"/>
          <w:lang w:val="en-US" w:eastAsia="zh-CN"/>
        </w:rPr>
        <w:t>2.1</w:t>
      </w:r>
      <w:r>
        <w:rPr>
          <w:rFonts w:hint="eastAsia"/>
          <w:szCs w:val="21"/>
        </w:rPr>
        <w:t>车用汽油</w:t>
      </w:r>
    </w:p>
    <w:tbl>
      <w:tblPr>
        <w:tblStyle w:val="9"/>
        <w:tblW w:w="46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2715"/>
        <w:gridCol w:w="4489"/>
      </w:tblGrid>
      <w:tr w14:paraId="0433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exact"/>
          <w:tblHeader/>
          <w:jc w:val="center"/>
        </w:trPr>
        <w:tc>
          <w:tcPr>
            <w:tcW w:w="629" w:type="pct"/>
            <w:vAlign w:val="center"/>
          </w:tcPr>
          <w:p w14:paraId="4758960A">
            <w:pPr>
              <w:snapToGrid w:val="0"/>
              <w:spacing w:line="300" w:lineRule="exact"/>
              <w:jc w:val="center"/>
              <w:rPr>
                <w:rFonts w:hint="eastAsia" w:ascii="宋体" w:hAnsi="宋体" w:cs="宋体"/>
                <w:b/>
                <w:bCs/>
              </w:rPr>
            </w:pPr>
            <w:r>
              <w:rPr>
                <w:rFonts w:hint="eastAsia" w:ascii="宋体" w:hAnsi="宋体" w:cs="宋体"/>
                <w:b/>
                <w:bCs/>
              </w:rPr>
              <w:t>序号</w:t>
            </w:r>
          </w:p>
        </w:tc>
        <w:tc>
          <w:tcPr>
            <w:tcW w:w="1647" w:type="pct"/>
            <w:vAlign w:val="center"/>
          </w:tcPr>
          <w:p w14:paraId="2C80DE84">
            <w:pPr>
              <w:snapToGrid w:val="0"/>
              <w:spacing w:line="300" w:lineRule="exact"/>
              <w:jc w:val="center"/>
              <w:rPr>
                <w:rFonts w:hint="eastAsia" w:ascii="宋体" w:hAnsi="宋体" w:cs="宋体"/>
                <w:b/>
                <w:bCs/>
              </w:rPr>
            </w:pPr>
            <w:r>
              <w:rPr>
                <w:rFonts w:hint="eastAsia" w:ascii="宋体" w:hAnsi="宋体" w:cs="宋体"/>
                <w:b/>
                <w:bCs/>
              </w:rPr>
              <w:t>检验项目</w:t>
            </w:r>
          </w:p>
        </w:tc>
        <w:tc>
          <w:tcPr>
            <w:tcW w:w="2723" w:type="pct"/>
            <w:vAlign w:val="center"/>
          </w:tcPr>
          <w:p w14:paraId="66E54278">
            <w:pPr>
              <w:snapToGrid w:val="0"/>
              <w:spacing w:line="300" w:lineRule="exact"/>
              <w:jc w:val="center"/>
              <w:rPr>
                <w:rFonts w:hint="eastAsia" w:ascii="宋体" w:hAnsi="宋体" w:cs="宋体"/>
                <w:b/>
                <w:bCs/>
              </w:rPr>
            </w:pPr>
            <w:r>
              <w:rPr>
                <w:rFonts w:hint="eastAsia" w:ascii="宋体" w:hAnsi="宋体" w:cs="宋体"/>
                <w:b/>
                <w:bCs/>
              </w:rPr>
              <w:t>检验方法</w:t>
            </w:r>
          </w:p>
        </w:tc>
      </w:tr>
      <w:tr w14:paraId="42F5F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629" w:type="pct"/>
            <w:vAlign w:val="center"/>
          </w:tcPr>
          <w:p w14:paraId="57C86C06">
            <w:pPr>
              <w:snapToGrid w:val="0"/>
              <w:spacing w:line="300" w:lineRule="exact"/>
              <w:jc w:val="center"/>
              <w:rPr>
                <w:rFonts w:hint="eastAsia" w:ascii="宋体" w:hAnsi="宋体" w:cs="宋体"/>
              </w:rPr>
            </w:pPr>
            <w:r>
              <w:rPr>
                <w:rFonts w:hint="eastAsia" w:ascii="宋体" w:hAnsi="宋体" w:cs="宋体"/>
              </w:rPr>
              <w:t>1</w:t>
            </w:r>
          </w:p>
        </w:tc>
        <w:tc>
          <w:tcPr>
            <w:tcW w:w="1647" w:type="pct"/>
            <w:vAlign w:val="center"/>
          </w:tcPr>
          <w:p w14:paraId="3EE4FC2B">
            <w:pPr>
              <w:adjustRightInd w:val="0"/>
              <w:jc w:val="center"/>
              <w:rPr>
                <w:rFonts w:hint="eastAsia" w:ascii="宋体" w:hAnsi="宋体" w:cs="宋体"/>
                <w:szCs w:val="21"/>
              </w:rPr>
            </w:pPr>
            <w:r>
              <w:rPr>
                <w:rFonts w:hint="eastAsia" w:ascii="宋体" w:hAnsi="宋体" w:cs="宋体"/>
                <w:szCs w:val="21"/>
              </w:rPr>
              <w:t>研究法辛烷值（RON）</w:t>
            </w:r>
          </w:p>
        </w:tc>
        <w:tc>
          <w:tcPr>
            <w:tcW w:w="2723" w:type="pct"/>
            <w:vAlign w:val="center"/>
          </w:tcPr>
          <w:p w14:paraId="71AADD3A">
            <w:pPr>
              <w:adjustRightInd w:val="0"/>
              <w:jc w:val="center"/>
              <w:rPr>
                <w:rFonts w:hint="eastAsia" w:ascii="宋体" w:hAnsi="宋体" w:cs="宋体"/>
                <w:szCs w:val="21"/>
              </w:rPr>
            </w:pPr>
            <w:r>
              <w:rPr>
                <w:rFonts w:hint="eastAsia" w:ascii="宋体" w:hAnsi="宋体" w:cs="宋体"/>
                <w:kern w:val="0"/>
                <w:szCs w:val="21"/>
              </w:rPr>
              <w:t>GB/T 5487</w:t>
            </w:r>
            <w:r>
              <w:rPr>
                <w:rFonts w:hint="eastAsia" w:ascii="宋体" w:hAnsi="宋体" w:cs="宋体"/>
                <w:color w:val="000000"/>
                <w:szCs w:val="21"/>
                <w:lang w:bidi="ar"/>
              </w:rPr>
              <w:t>—</w:t>
            </w:r>
            <w:r>
              <w:rPr>
                <w:rFonts w:hint="eastAsia" w:ascii="宋体" w:hAnsi="宋体" w:cs="宋体"/>
                <w:kern w:val="0"/>
                <w:szCs w:val="21"/>
              </w:rPr>
              <w:t>2015</w:t>
            </w:r>
          </w:p>
        </w:tc>
      </w:tr>
      <w:tr w14:paraId="1E956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9" w:type="pct"/>
            <w:vAlign w:val="center"/>
          </w:tcPr>
          <w:p w14:paraId="7041B02D">
            <w:pPr>
              <w:snapToGrid w:val="0"/>
              <w:spacing w:line="300" w:lineRule="exact"/>
              <w:jc w:val="center"/>
              <w:rPr>
                <w:rFonts w:hint="eastAsia" w:ascii="宋体" w:hAnsi="宋体" w:cs="宋体"/>
              </w:rPr>
            </w:pPr>
            <w:r>
              <w:rPr>
                <w:rFonts w:hint="eastAsia" w:ascii="宋体" w:hAnsi="宋体" w:cs="宋体"/>
              </w:rPr>
              <w:t>2</w:t>
            </w:r>
          </w:p>
        </w:tc>
        <w:tc>
          <w:tcPr>
            <w:tcW w:w="1647" w:type="pct"/>
            <w:vAlign w:val="center"/>
          </w:tcPr>
          <w:p w14:paraId="2310A064">
            <w:pPr>
              <w:adjustRightInd w:val="0"/>
              <w:jc w:val="center"/>
              <w:rPr>
                <w:rFonts w:hint="eastAsia" w:ascii="宋体" w:hAnsi="宋体" w:cs="宋体"/>
                <w:szCs w:val="21"/>
              </w:rPr>
            </w:pPr>
            <w:r>
              <w:rPr>
                <w:rFonts w:hint="eastAsia" w:ascii="宋体" w:hAnsi="宋体" w:cs="宋体"/>
                <w:szCs w:val="21"/>
              </w:rPr>
              <w:t>硫含量</w:t>
            </w:r>
          </w:p>
        </w:tc>
        <w:tc>
          <w:tcPr>
            <w:tcW w:w="2723" w:type="pct"/>
            <w:vAlign w:val="center"/>
          </w:tcPr>
          <w:p w14:paraId="4FE5E17C">
            <w:pPr>
              <w:jc w:val="center"/>
              <w:rPr>
                <w:rFonts w:hint="eastAsia" w:ascii="宋体" w:hAnsi="宋体" w:cs="宋体"/>
                <w:kern w:val="0"/>
                <w:szCs w:val="21"/>
              </w:rPr>
            </w:pPr>
            <w:r>
              <w:rPr>
                <w:rFonts w:hint="eastAsia" w:ascii="宋体" w:hAnsi="宋体" w:cs="宋体"/>
                <w:kern w:val="0"/>
                <w:szCs w:val="21"/>
              </w:rPr>
              <w:t>SH/T 0689</w:t>
            </w:r>
            <w:r>
              <w:rPr>
                <w:rFonts w:hint="eastAsia" w:ascii="宋体" w:hAnsi="宋体" w:cs="宋体"/>
                <w:color w:val="000000"/>
                <w:szCs w:val="21"/>
                <w:lang w:bidi="ar"/>
              </w:rPr>
              <w:t>—</w:t>
            </w:r>
            <w:r>
              <w:rPr>
                <w:rFonts w:hint="eastAsia" w:ascii="宋体" w:hAnsi="宋体" w:cs="宋体"/>
                <w:kern w:val="0"/>
                <w:szCs w:val="21"/>
              </w:rPr>
              <w:t>2000</w:t>
            </w:r>
          </w:p>
          <w:p w14:paraId="410844FD">
            <w:pPr>
              <w:jc w:val="center"/>
              <w:rPr>
                <w:rFonts w:hint="eastAsia" w:ascii="宋体" w:hAnsi="宋体" w:cs="宋体"/>
                <w:kern w:val="0"/>
                <w:szCs w:val="21"/>
              </w:rPr>
            </w:pPr>
            <w:r>
              <w:rPr>
                <w:rFonts w:hint="eastAsia" w:ascii="宋体" w:hAnsi="宋体" w:cs="宋体"/>
                <w:kern w:val="0"/>
                <w:szCs w:val="21"/>
              </w:rPr>
              <w:t>GB/T 11140</w:t>
            </w:r>
            <w:r>
              <w:rPr>
                <w:rFonts w:hint="eastAsia" w:ascii="宋体" w:hAnsi="宋体" w:cs="宋体"/>
                <w:color w:val="000000"/>
                <w:szCs w:val="21"/>
                <w:lang w:bidi="ar"/>
              </w:rPr>
              <w:t>—</w:t>
            </w:r>
            <w:r>
              <w:rPr>
                <w:rFonts w:hint="eastAsia" w:ascii="宋体" w:hAnsi="宋体" w:cs="宋体"/>
                <w:kern w:val="0"/>
                <w:szCs w:val="21"/>
              </w:rPr>
              <w:t>2008</w:t>
            </w:r>
          </w:p>
          <w:p w14:paraId="69272A79">
            <w:pPr>
              <w:jc w:val="center"/>
              <w:rPr>
                <w:rFonts w:hint="eastAsia" w:ascii="宋体" w:hAnsi="宋体" w:cs="宋体"/>
                <w:kern w:val="0"/>
                <w:szCs w:val="21"/>
              </w:rPr>
            </w:pPr>
            <w:r>
              <w:rPr>
                <w:rFonts w:hint="eastAsia" w:ascii="宋体" w:hAnsi="宋体" w:cs="宋体"/>
                <w:kern w:val="0"/>
                <w:szCs w:val="21"/>
              </w:rPr>
              <w:t>NB/SH/T 0253</w:t>
            </w:r>
            <w:r>
              <w:rPr>
                <w:rFonts w:hint="eastAsia" w:ascii="宋体" w:hAnsi="宋体" w:cs="宋体"/>
                <w:color w:val="000000"/>
                <w:szCs w:val="21"/>
                <w:lang w:bidi="ar"/>
              </w:rPr>
              <w:t>—</w:t>
            </w:r>
            <w:r>
              <w:rPr>
                <w:rFonts w:hint="eastAsia" w:ascii="宋体" w:hAnsi="宋体" w:cs="宋体"/>
                <w:kern w:val="0"/>
                <w:szCs w:val="21"/>
              </w:rPr>
              <w:t>2021</w:t>
            </w:r>
          </w:p>
        </w:tc>
      </w:tr>
      <w:tr w14:paraId="59B19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629" w:type="pct"/>
            <w:vAlign w:val="center"/>
          </w:tcPr>
          <w:p w14:paraId="64024CA2">
            <w:pPr>
              <w:snapToGrid w:val="0"/>
              <w:spacing w:line="300" w:lineRule="exact"/>
              <w:jc w:val="center"/>
              <w:rPr>
                <w:rFonts w:hint="eastAsia" w:ascii="宋体" w:hAnsi="宋体" w:cs="宋体"/>
              </w:rPr>
            </w:pPr>
            <w:r>
              <w:rPr>
                <w:rFonts w:hint="eastAsia" w:ascii="宋体" w:hAnsi="宋体" w:cs="宋体"/>
              </w:rPr>
              <w:t>3</w:t>
            </w:r>
          </w:p>
        </w:tc>
        <w:tc>
          <w:tcPr>
            <w:tcW w:w="1647" w:type="pct"/>
            <w:vAlign w:val="center"/>
          </w:tcPr>
          <w:p w14:paraId="4742D7D1">
            <w:pPr>
              <w:adjustRightInd w:val="0"/>
              <w:jc w:val="center"/>
              <w:rPr>
                <w:rFonts w:hint="eastAsia" w:ascii="宋体" w:hAnsi="宋体" w:cs="宋体"/>
                <w:szCs w:val="21"/>
              </w:rPr>
            </w:pPr>
            <w:r>
              <w:rPr>
                <w:rFonts w:hint="eastAsia" w:ascii="宋体" w:hAnsi="宋体" w:cs="宋体"/>
                <w:szCs w:val="21"/>
              </w:rPr>
              <w:t>氧含量</w:t>
            </w:r>
          </w:p>
        </w:tc>
        <w:tc>
          <w:tcPr>
            <w:tcW w:w="2723" w:type="pct"/>
            <w:vAlign w:val="center"/>
          </w:tcPr>
          <w:p w14:paraId="6A5E3528">
            <w:pPr>
              <w:jc w:val="center"/>
              <w:rPr>
                <w:rFonts w:hint="eastAsia" w:ascii="宋体" w:hAnsi="宋体" w:cs="宋体"/>
                <w:kern w:val="0"/>
                <w:szCs w:val="21"/>
              </w:rPr>
            </w:pPr>
            <w:r>
              <w:rPr>
                <w:rFonts w:hint="eastAsia" w:ascii="宋体" w:hAnsi="宋体" w:cs="宋体"/>
                <w:kern w:val="0"/>
                <w:szCs w:val="21"/>
              </w:rPr>
              <w:t>NB/SH/T 0663</w:t>
            </w:r>
            <w:r>
              <w:rPr>
                <w:rFonts w:hint="eastAsia" w:ascii="宋体" w:hAnsi="宋体" w:cs="宋体"/>
                <w:color w:val="000000"/>
                <w:szCs w:val="21"/>
                <w:lang w:bidi="ar"/>
              </w:rPr>
              <w:t>—</w:t>
            </w:r>
            <w:r>
              <w:rPr>
                <w:rFonts w:hint="eastAsia" w:ascii="宋体" w:hAnsi="宋体" w:cs="宋体"/>
                <w:kern w:val="0"/>
                <w:szCs w:val="21"/>
              </w:rPr>
              <w:t>2014</w:t>
            </w:r>
          </w:p>
          <w:p w14:paraId="3B2A1D44">
            <w:pPr>
              <w:jc w:val="center"/>
              <w:rPr>
                <w:rFonts w:hint="eastAsia" w:ascii="宋体" w:hAnsi="宋体" w:cs="宋体"/>
                <w:kern w:val="0"/>
                <w:szCs w:val="21"/>
              </w:rPr>
            </w:pPr>
            <w:r>
              <w:rPr>
                <w:rFonts w:hint="eastAsia" w:ascii="宋体" w:hAnsi="宋体" w:cs="宋体"/>
                <w:kern w:val="0"/>
                <w:szCs w:val="21"/>
              </w:rPr>
              <w:t>SH/T 0720</w:t>
            </w:r>
            <w:r>
              <w:rPr>
                <w:rFonts w:hint="eastAsia" w:ascii="宋体" w:hAnsi="宋体" w:cs="宋体"/>
                <w:color w:val="000000"/>
                <w:szCs w:val="21"/>
                <w:lang w:bidi="ar"/>
              </w:rPr>
              <w:t>—</w:t>
            </w:r>
            <w:r>
              <w:rPr>
                <w:rFonts w:hint="eastAsia" w:ascii="宋体" w:hAnsi="宋体" w:cs="宋体"/>
                <w:kern w:val="0"/>
                <w:szCs w:val="21"/>
              </w:rPr>
              <w:t>2002</w:t>
            </w:r>
          </w:p>
        </w:tc>
      </w:tr>
      <w:tr w14:paraId="204EC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629" w:type="pct"/>
            <w:vAlign w:val="center"/>
          </w:tcPr>
          <w:p w14:paraId="0DCC1DC8">
            <w:pPr>
              <w:snapToGrid w:val="0"/>
              <w:spacing w:line="300" w:lineRule="exact"/>
              <w:jc w:val="center"/>
              <w:rPr>
                <w:rFonts w:hint="eastAsia" w:ascii="宋体" w:hAnsi="宋体" w:cs="宋体"/>
              </w:rPr>
            </w:pPr>
            <w:r>
              <w:rPr>
                <w:rFonts w:hint="eastAsia" w:ascii="宋体" w:hAnsi="宋体" w:cs="宋体"/>
              </w:rPr>
              <w:t>4</w:t>
            </w:r>
          </w:p>
        </w:tc>
        <w:tc>
          <w:tcPr>
            <w:tcW w:w="1647" w:type="pct"/>
            <w:vAlign w:val="center"/>
          </w:tcPr>
          <w:p w14:paraId="6A9F3CFF">
            <w:pPr>
              <w:adjustRightInd w:val="0"/>
              <w:jc w:val="center"/>
              <w:rPr>
                <w:rFonts w:hint="eastAsia" w:ascii="宋体" w:hAnsi="宋体" w:cs="宋体"/>
                <w:szCs w:val="21"/>
              </w:rPr>
            </w:pPr>
            <w:r>
              <w:rPr>
                <w:rFonts w:hint="eastAsia" w:ascii="宋体" w:hAnsi="宋体" w:cs="宋体"/>
                <w:szCs w:val="21"/>
              </w:rPr>
              <w:t>甲醇含量</w:t>
            </w:r>
          </w:p>
        </w:tc>
        <w:tc>
          <w:tcPr>
            <w:tcW w:w="2723" w:type="pct"/>
            <w:vAlign w:val="center"/>
          </w:tcPr>
          <w:p w14:paraId="79F3FD71">
            <w:pPr>
              <w:jc w:val="center"/>
              <w:rPr>
                <w:rFonts w:hint="eastAsia" w:ascii="宋体" w:hAnsi="宋体" w:cs="宋体"/>
                <w:kern w:val="0"/>
                <w:szCs w:val="21"/>
              </w:rPr>
            </w:pPr>
            <w:r>
              <w:rPr>
                <w:rFonts w:hint="eastAsia" w:ascii="宋体" w:hAnsi="宋体" w:cs="宋体"/>
                <w:kern w:val="0"/>
                <w:szCs w:val="21"/>
              </w:rPr>
              <w:t>NB/SH/T 0663</w:t>
            </w:r>
            <w:r>
              <w:rPr>
                <w:rFonts w:hint="eastAsia" w:ascii="宋体" w:hAnsi="宋体" w:cs="宋体"/>
                <w:color w:val="000000"/>
                <w:szCs w:val="21"/>
                <w:lang w:bidi="ar"/>
              </w:rPr>
              <w:t>—</w:t>
            </w:r>
            <w:r>
              <w:rPr>
                <w:rFonts w:hint="eastAsia" w:ascii="宋体" w:hAnsi="宋体" w:cs="宋体"/>
                <w:kern w:val="0"/>
                <w:szCs w:val="21"/>
              </w:rPr>
              <w:t>2014</w:t>
            </w:r>
          </w:p>
        </w:tc>
      </w:tr>
      <w:tr w14:paraId="76B8A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629" w:type="pct"/>
            <w:vAlign w:val="center"/>
          </w:tcPr>
          <w:p w14:paraId="0A1EBAB5">
            <w:pPr>
              <w:snapToGrid w:val="0"/>
              <w:spacing w:line="300" w:lineRule="exact"/>
              <w:jc w:val="center"/>
              <w:rPr>
                <w:rFonts w:hint="eastAsia" w:ascii="宋体" w:hAnsi="宋体" w:cs="宋体"/>
              </w:rPr>
            </w:pPr>
            <w:r>
              <w:rPr>
                <w:rFonts w:hint="eastAsia" w:ascii="宋体" w:hAnsi="宋体" w:cs="宋体"/>
              </w:rPr>
              <w:t>5</w:t>
            </w:r>
          </w:p>
        </w:tc>
        <w:tc>
          <w:tcPr>
            <w:tcW w:w="1647" w:type="pct"/>
            <w:vAlign w:val="center"/>
          </w:tcPr>
          <w:p w14:paraId="57ED72F1">
            <w:pPr>
              <w:adjustRightInd w:val="0"/>
              <w:jc w:val="center"/>
              <w:rPr>
                <w:rFonts w:hint="eastAsia" w:ascii="宋体" w:hAnsi="宋体" w:cs="宋体"/>
                <w:szCs w:val="21"/>
              </w:rPr>
            </w:pPr>
            <w:r>
              <w:rPr>
                <w:rFonts w:hint="eastAsia" w:ascii="宋体" w:hAnsi="宋体" w:cs="宋体"/>
                <w:szCs w:val="21"/>
              </w:rPr>
              <w:t>密度(20℃)</w:t>
            </w:r>
          </w:p>
        </w:tc>
        <w:tc>
          <w:tcPr>
            <w:tcW w:w="2723" w:type="pct"/>
            <w:vAlign w:val="center"/>
          </w:tcPr>
          <w:p w14:paraId="4B5F6270">
            <w:pPr>
              <w:jc w:val="center"/>
              <w:rPr>
                <w:rFonts w:hint="eastAsia" w:ascii="宋体" w:hAnsi="宋体" w:cs="宋体"/>
                <w:kern w:val="0"/>
                <w:szCs w:val="21"/>
              </w:rPr>
            </w:pPr>
            <w:r>
              <w:rPr>
                <w:rFonts w:hint="eastAsia" w:ascii="宋体" w:hAnsi="宋体" w:cs="宋体"/>
                <w:kern w:val="0"/>
                <w:szCs w:val="21"/>
              </w:rPr>
              <w:t>GB/T 1884</w:t>
            </w:r>
            <w:r>
              <w:rPr>
                <w:rFonts w:hint="eastAsia" w:ascii="宋体" w:hAnsi="宋体" w:cs="宋体"/>
                <w:color w:val="000000"/>
                <w:szCs w:val="21"/>
                <w:lang w:bidi="ar"/>
              </w:rPr>
              <w:t>—</w:t>
            </w:r>
            <w:r>
              <w:rPr>
                <w:rFonts w:hint="eastAsia" w:ascii="宋体" w:hAnsi="宋体" w:cs="宋体"/>
                <w:kern w:val="0"/>
                <w:szCs w:val="21"/>
              </w:rPr>
              <w:t>2000</w:t>
            </w:r>
          </w:p>
          <w:p w14:paraId="25504931">
            <w:pPr>
              <w:jc w:val="center"/>
              <w:rPr>
                <w:rFonts w:hint="eastAsia" w:ascii="宋体" w:hAnsi="宋体" w:cs="宋体"/>
                <w:kern w:val="0"/>
                <w:szCs w:val="21"/>
              </w:rPr>
            </w:pPr>
            <w:r>
              <w:rPr>
                <w:rFonts w:hint="eastAsia" w:ascii="宋体" w:hAnsi="宋体" w:cs="宋体"/>
                <w:kern w:val="0"/>
                <w:szCs w:val="21"/>
              </w:rPr>
              <w:t>GB/T 1885</w:t>
            </w:r>
            <w:r>
              <w:rPr>
                <w:rFonts w:hint="eastAsia" w:ascii="宋体" w:hAnsi="宋体" w:cs="宋体"/>
                <w:color w:val="000000"/>
                <w:szCs w:val="21"/>
                <w:lang w:bidi="ar"/>
              </w:rPr>
              <w:t>—</w:t>
            </w:r>
            <w:r>
              <w:rPr>
                <w:rFonts w:hint="eastAsia" w:ascii="宋体" w:hAnsi="宋体" w:cs="宋体"/>
                <w:kern w:val="0"/>
                <w:szCs w:val="21"/>
              </w:rPr>
              <w:t>1998</w:t>
            </w:r>
          </w:p>
          <w:p w14:paraId="1414A2DD">
            <w:pPr>
              <w:jc w:val="center"/>
              <w:rPr>
                <w:rFonts w:hint="eastAsia" w:ascii="宋体" w:hAnsi="宋体" w:cs="宋体"/>
                <w:kern w:val="0"/>
                <w:szCs w:val="21"/>
              </w:rPr>
            </w:pPr>
            <w:r>
              <w:rPr>
                <w:rFonts w:hint="eastAsia" w:ascii="宋体" w:hAnsi="宋体" w:cs="宋体"/>
                <w:kern w:val="0"/>
                <w:szCs w:val="21"/>
              </w:rPr>
              <w:t>SH/T 0604</w:t>
            </w:r>
            <w:r>
              <w:rPr>
                <w:rFonts w:hint="eastAsia" w:ascii="宋体" w:hAnsi="宋体" w:cs="宋体"/>
                <w:color w:val="000000"/>
                <w:szCs w:val="21"/>
                <w:lang w:bidi="ar"/>
              </w:rPr>
              <w:t>—</w:t>
            </w:r>
            <w:r>
              <w:rPr>
                <w:rFonts w:hint="eastAsia" w:ascii="宋体" w:hAnsi="宋体" w:cs="宋体"/>
                <w:kern w:val="0"/>
                <w:szCs w:val="21"/>
              </w:rPr>
              <w:t>2000</w:t>
            </w:r>
          </w:p>
        </w:tc>
      </w:tr>
      <w:tr w14:paraId="1F584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629" w:type="pct"/>
            <w:vAlign w:val="center"/>
          </w:tcPr>
          <w:p w14:paraId="24ADD482">
            <w:pPr>
              <w:snapToGrid w:val="0"/>
              <w:spacing w:line="300" w:lineRule="exact"/>
              <w:jc w:val="center"/>
              <w:rPr>
                <w:rFonts w:hint="eastAsia" w:ascii="宋体" w:hAnsi="宋体" w:cs="宋体"/>
              </w:rPr>
            </w:pPr>
            <w:r>
              <w:rPr>
                <w:rFonts w:hint="eastAsia" w:ascii="宋体" w:hAnsi="宋体" w:cs="宋体"/>
              </w:rPr>
              <w:t>6</w:t>
            </w:r>
          </w:p>
        </w:tc>
        <w:tc>
          <w:tcPr>
            <w:tcW w:w="1647" w:type="pct"/>
            <w:vAlign w:val="center"/>
          </w:tcPr>
          <w:p w14:paraId="3BBE3759">
            <w:pPr>
              <w:adjustRightInd w:val="0"/>
              <w:jc w:val="center"/>
              <w:rPr>
                <w:rFonts w:hint="eastAsia" w:ascii="宋体" w:hAnsi="宋体" w:cs="宋体"/>
                <w:szCs w:val="21"/>
                <w:highlight w:val="yellow"/>
              </w:rPr>
            </w:pPr>
            <w:r>
              <w:rPr>
                <w:rFonts w:hint="eastAsia" w:ascii="宋体" w:hAnsi="宋体" w:cs="宋体"/>
                <w:szCs w:val="21"/>
              </w:rPr>
              <w:t>蒸气压</w:t>
            </w:r>
          </w:p>
        </w:tc>
        <w:tc>
          <w:tcPr>
            <w:tcW w:w="2723" w:type="pct"/>
            <w:vAlign w:val="center"/>
          </w:tcPr>
          <w:p w14:paraId="0B5E2D0C">
            <w:pPr>
              <w:jc w:val="center"/>
              <w:rPr>
                <w:rFonts w:hint="eastAsia" w:ascii="宋体" w:hAnsi="宋体" w:cs="宋体"/>
                <w:kern w:val="0"/>
                <w:szCs w:val="21"/>
              </w:rPr>
            </w:pPr>
            <w:r>
              <w:rPr>
                <w:rFonts w:hint="eastAsia" w:ascii="宋体" w:hAnsi="宋体" w:cs="宋体"/>
                <w:kern w:val="0"/>
                <w:szCs w:val="21"/>
              </w:rPr>
              <w:t>GB/T 8017</w:t>
            </w:r>
            <w:r>
              <w:rPr>
                <w:rFonts w:hint="eastAsia" w:ascii="宋体" w:hAnsi="宋体" w:cs="宋体"/>
                <w:color w:val="000000"/>
                <w:szCs w:val="21"/>
                <w:lang w:bidi="ar"/>
              </w:rPr>
              <w:t>—</w:t>
            </w:r>
            <w:r>
              <w:rPr>
                <w:rFonts w:hint="eastAsia" w:ascii="宋体" w:hAnsi="宋体" w:cs="宋体"/>
                <w:kern w:val="0"/>
                <w:szCs w:val="21"/>
              </w:rPr>
              <w:t>2012</w:t>
            </w:r>
          </w:p>
          <w:p w14:paraId="36F2E56D">
            <w:pPr>
              <w:jc w:val="center"/>
              <w:rPr>
                <w:rFonts w:hint="eastAsia" w:ascii="宋体" w:hAnsi="宋体" w:cs="宋体"/>
                <w:kern w:val="0"/>
                <w:szCs w:val="21"/>
                <w:highlight w:val="yellow"/>
              </w:rPr>
            </w:pPr>
            <w:r>
              <w:rPr>
                <w:rFonts w:hint="eastAsia" w:ascii="宋体" w:hAnsi="宋体" w:cs="宋体"/>
                <w:kern w:val="0"/>
                <w:szCs w:val="21"/>
              </w:rPr>
              <w:t>SH/T 0794</w:t>
            </w:r>
            <w:r>
              <w:rPr>
                <w:rFonts w:hint="eastAsia" w:ascii="宋体" w:hAnsi="宋体" w:cs="宋体"/>
                <w:color w:val="000000"/>
                <w:szCs w:val="21"/>
                <w:lang w:bidi="ar"/>
              </w:rPr>
              <w:t>—</w:t>
            </w:r>
            <w:r>
              <w:rPr>
                <w:rFonts w:hint="eastAsia" w:ascii="宋体" w:hAnsi="宋体" w:cs="宋体"/>
                <w:kern w:val="0"/>
                <w:szCs w:val="21"/>
              </w:rPr>
              <w:t>2007</w:t>
            </w:r>
          </w:p>
        </w:tc>
      </w:tr>
    </w:tbl>
    <w:p w14:paraId="18764888">
      <w:pPr>
        <w:pStyle w:val="5"/>
        <w:rPr>
          <w:rFonts w:hint="eastAsia" w:hAnsi="宋体" w:cs="宋体"/>
          <w:szCs w:val="21"/>
        </w:rPr>
      </w:pPr>
    </w:p>
    <w:p w14:paraId="0CC949D9">
      <w:pPr>
        <w:widowControl w:val="0"/>
        <w:adjustRightInd w:val="0"/>
        <w:snapToGrid w:val="0"/>
        <w:spacing w:line="440" w:lineRule="exact"/>
        <w:ind w:firstLine="420" w:firstLineChars="200"/>
        <w:rPr>
          <w:rFonts w:hint="eastAsia"/>
          <w:szCs w:val="21"/>
          <w:lang w:val="en-US" w:eastAsia="zh-CN"/>
        </w:rPr>
      </w:pPr>
      <w:r>
        <w:rPr>
          <w:rFonts w:hint="eastAsia"/>
          <w:szCs w:val="21"/>
          <w:lang w:val="en-US" w:eastAsia="zh-CN"/>
        </w:rPr>
        <w:t>2.2车用柴油</w:t>
      </w:r>
    </w:p>
    <w:tbl>
      <w:tblPr>
        <w:tblStyle w:val="9"/>
        <w:tblW w:w="46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2715"/>
        <w:gridCol w:w="4489"/>
      </w:tblGrid>
      <w:tr w14:paraId="400F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blHeader/>
          <w:jc w:val="center"/>
        </w:trPr>
        <w:tc>
          <w:tcPr>
            <w:tcW w:w="629" w:type="pct"/>
            <w:vAlign w:val="center"/>
          </w:tcPr>
          <w:p w14:paraId="2122C567">
            <w:pPr>
              <w:snapToGrid w:val="0"/>
              <w:spacing w:line="300" w:lineRule="exact"/>
              <w:jc w:val="center"/>
              <w:rPr>
                <w:rFonts w:hint="eastAsia" w:ascii="宋体" w:hAnsi="宋体" w:cs="宋体"/>
                <w:b/>
                <w:bCs/>
              </w:rPr>
            </w:pPr>
            <w:r>
              <w:rPr>
                <w:rFonts w:hint="eastAsia" w:ascii="宋体" w:hAnsi="宋体" w:cs="宋体"/>
                <w:b/>
                <w:bCs/>
              </w:rPr>
              <w:t>序号</w:t>
            </w:r>
          </w:p>
        </w:tc>
        <w:tc>
          <w:tcPr>
            <w:tcW w:w="1647" w:type="pct"/>
            <w:vAlign w:val="center"/>
          </w:tcPr>
          <w:p w14:paraId="4DFBC367">
            <w:pPr>
              <w:snapToGrid w:val="0"/>
              <w:spacing w:line="300" w:lineRule="exact"/>
              <w:jc w:val="center"/>
              <w:rPr>
                <w:rFonts w:hint="eastAsia" w:ascii="宋体" w:hAnsi="宋体" w:cs="宋体"/>
                <w:b/>
                <w:bCs/>
              </w:rPr>
            </w:pPr>
            <w:r>
              <w:rPr>
                <w:rFonts w:hint="eastAsia" w:ascii="宋体" w:hAnsi="宋体" w:cs="宋体"/>
                <w:b/>
                <w:bCs/>
              </w:rPr>
              <w:t>检验项目</w:t>
            </w:r>
          </w:p>
        </w:tc>
        <w:tc>
          <w:tcPr>
            <w:tcW w:w="2723" w:type="pct"/>
            <w:vAlign w:val="center"/>
          </w:tcPr>
          <w:p w14:paraId="4E842F18">
            <w:pPr>
              <w:snapToGrid w:val="0"/>
              <w:spacing w:line="300" w:lineRule="exact"/>
              <w:jc w:val="center"/>
              <w:rPr>
                <w:rFonts w:hint="eastAsia" w:ascii="宋体" w:hAnsi="宋体" w:cs="宋体"/>
                <w:b/>
                <w:bCs/>
              </w:rPr>
            </w:pPr>
            <w:r>
              <w:rPr>
                <w:rFonts w:hint="eastAsia" w:ascii="宋体" w:hAnsi="宋体" w:cs="宋体"/>
                <w:b/>
                <w:bCs/>
              </w:rPr>
              <w:t>检验方法</w:t>
            </w:r>
          </w:p>
        </w:tc>
      </w:tr>
      <w:tr w14:paraId="51DAE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629" w:type="pct"/>
            <w:vAlign w:val="center"/>
          </w:tcPr>
          <w:p w14:paraId="2D16810C">
            <w:pPr>
              <w:snapToGrid w:val="0"/>
              <w:spacing w:line="300" w:lineRule="exact"/>
              <w:jc w:val="center"/>
              <w:rPr>
                <w:rFonts w:hint="eastAsia" w:ascii="宋体" w:hAnsi="宋体" w:cs="宋体"/>
              </w:rPr>
            </w:pPr>
            <w:r>
              <w:rPr>
                <w:rFonts w:hint="eastAsia" w:ascii="宋体" w:hAnsi="宋体" w:cs="宋体"/>
              </w:rPr>
              <w:t>1</w:t>
            </w:r>
          </w:p>
        </w:tc>
        <w:tc>
          <w:tcPr>
            <w:tcW w:w="1647" w:type="pct"/>
            <w:vAlign w:val="center"/>
          </w:tcPr>
          <w:p w14:paraId="53617509">
            <w:pPr>
              <w:snapToGrid w:val="0"/>
              <w:jc w:val="center"/>
              <w:rPr>
                <w:rFonts w:hint="eastAsia" w:ascii="宋体" w:hAnsi="宋体" w:cs="宋体"/>
                <w:szCs w:val="21"/>
              </w:rPr>
            </w:pPr>
            <w:r>
              <w:rPr>
                <w:rFonts w:hint="eastAsia" w:ascii="宋体" w:hAnsi="宋体" w:cs="宋体"/>
                <w:szCs w:val="21"/>
              </w:rPr>
              <w:t>硫含量</w:t>
            </w:r>
          </w:p>
        </w:tc>
        <w:tc>
          <w:tcPr>
            <w:tcW w:w="2723" w:type="pct"/>
            <w:vAlign w:val="center"/>
          </w:tcPr>
          <w:p w14:paraId="5CD3C5A4">
            <w:pPr>
              <w:jc w:val="center"/>
              <w:rPr>
                <w:rFonts w:hint="eastAsia" w:ascii="宋体" w:hAnsi="宋体" w:cs="宋体"/>
                <w:kern w:val="0"/>
                <w:szCs w:val="21"/>
              </w:rPr>
            </w:pPr>
            <w:r>
              <w:rPr>
                <w:rFonts w:hint="eastAsia" w:ascii="宋体" w:hAnsi="宋体" w:cs="宋体"/>
                <w:kern w:val="0"/>
                <w:szCs w:val="21"/>
              </w:rPr>
              <w:t>SH/T 0689</w:t>
            </w:r>
            <w:r>
              <w:rPr>
                <w:rFonts w:hint="eastAsia" w:ascii="宋体" w:hAnsi="宋体" w:cs="宋体"/>
                <w:color w:val="000000"/>
                <w:szCs w:val="21"/>
                <w:lang w:bidi="ar"/>
              </w:rPr>
              <w:t>—</w:t>
            </w:r>
            <w:r>
              <w:rPr>
                <w:rFonts w:hint="eastAsia" w:ascii="宋体" w:hAnsi="宋体" w:cs="宋体"/>
                <w:kern w:val="0"/>
                <w:szCs w:val="21"/>
              </w:rPr>
              <w:t>2000</w:t>
            </w:r>
          </w:p>
          <w:p w14:paraId="3D466D46">
            <w:pPr>
              <w:jc w:val="center"/>
              <w:rPr>
                <w:rFonts w:hint="eastAsia" w:ascii="宋体" w:hAnsi="宋体" w:cs="宋体"/>
                <w:kern w:val="0"/>
                <w:szCs w:val="21"/>
              </w:rPr>
            </w:pPr>
            <w:r>
              <w:rPr>
                <w:rFonts w:hint="eastAsia" w:ascii="宋体" w:hAnsi="宋体" w:cs="宋体"/>
                <w:kern w:val="0"/>
                <w:szCs w:val="21"/>
              </w:rPr>
              <w:t>GB/T 11140</w:t>
            </w:r>
            <w:r>
              <w:rPr>
                <w:rFonts w:hint="eastAsia" w:ascii="宋体" w:hAnsi="宋体" w:cs="宋体"/>
                <w:color w:val="000000"/>
                <w:szCs w:val="21"/>
                <w:lang w:bidi="ar"/>
              </w:rPr>
              <w:t>—</w:t>
            </w:r>
            <w:r>
              <w:rPr>
                <w:rFonts w:hint="eastAsia" w:ascii="宋体" w:hAnsi="宋体" w:cs="宋体"/>
                <w:kern w:val="0"/>
                <w:szCs w:val="21"/>
              </w:rPr>
              <w:t>2008</w:t>
            </w:r>
          </w:p>
        </w:tc>
      </w:tr>
      <w:tr w14:paraId="7236A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9" w:type="pct"/>
            <w:vAlign w:val="center"/>
          </w:tcPr>
          <w:p w14:paraId="572679E7">
            <w:pPr>
              <w:snapToGrid w:val="0"/>
              <w:spacing w:line="300" w:lineRule="exact"/>
              <w:jc w:val="center"/>
              <w:rPr>
                <w:rFonts w:hint="eastAsia" w:ascii="宋体" w:hAnsi="宋体" w:cs="宋体"/>
              </w:rPr>
            </w:pPr>
            <w:r>
              <w:rPr>
                <w:rFonts w:hint="eastAsia" w:ascii="宋体" w:hAnsi="宋体" w:cs="宋体"/>
              </w:rPr>
              <w:t>2</w:t>
            </w:r>
          </w:p>
        </w:tc>
        <w:tc>
          <w:tcPr>
            <w:tcW w:w="1647" w:type="pct"/>
            <w:vAlign w:val="center"/>
          </w:tcPr>
          <w:p w14:paraId="7A1F6B08">
            <w:pPr>
              <w:snapToGrid w:val="0"/>
              <w:jc w:val="center"/>
              <w:rPr>
                <w:rFonts w:hint="eastAsia" w:ascii="宋体" w:hAnsi="宋体" w:cs="宋体"/>
                <w:szCs w:val="21"/>
              </w:rPr>
            </w:pPr>
            <w:r>
              <w:rPr>
                <w:rFonts w:hint="eastAsia" w:ascii="宋体" w:hAnsi="宋体" w:cs="宋体"/>
                <w:szCs w:val="21"/>
              </w:rPr>
              <w:t>闪点（闭口）</w:t>
            </w:r>
          </w:p>
        </w:tc>
        <w:tc>
          <w:tcPr>
            <w:tcW w:w="2723" w:type="pct"/>
            <w:vAlign w:val="center"/>
          </w:tcPr>
          <w:p w14:paraId="225A0320">
            <w:pPr>
              <w:jc w:val="center"/>
              <w:rPr>
                <w:rFonts w:hint="eastAsia" w:ascii="宋体" w:hAnsi="宋体" w:cs="宋体"/>
                <w:kern w:val="0"/>
                <w:szCs w:val="21"/>
              </w:rPr>
            </w:pPr>
            <w:r>
              <w:rPr>
                <w:rFonts w:hint="eastAsia" w:ascii="宋体" w:hAnsi="宋体" w:cs="宋体"/>
                <w:kern w:val="0"/>
                <w:szCs w:val="21"/>
              </w:rPr>
              <w:t>GB/T 261</w:t>
            </w:r>
            <w:r>
              <w:rPr>
                <w:rFonts w:hint="eastAsia" w:ascii="宋体" w:hAnsi="宋体" w:cs="宋体"/>
                <w:color w:val="000000"/>
                <w:szCs w:val="21"/>
                <w:lang w:bidi="ar"/>
              </w:rPr>
              <w:t>—</w:t>
            </w:r>
            <w:r>
              <w:rPr>
                <w:rFonts w:hint="eastAsia" w:ascii="宋体" w:hAnsi="宋体" w:cs="宋体"/>
                <w:kern w:val="0"/>
                <w:szCs w:val="21"/>
              </w:rPr>
              <w:t>2021</w:t>
            </w:r>
          </w:p>
        </w:tc>
      </w:tr>
      <w:tr w14:paraId="418E7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629" w:type="pct"/>
            <w:vAlign w:val="center"/>
          </w:tcPr>
          <w:p w14:paraId="35CF9699">
            <w:pPr>
              <w:snapToGrid w:val="0"/>
              <w:spacing w:line="300" w:lineRule="exact"/>
              <w:jc w:val="center"/>
              <w:rPr>
                <w:rFonts w:hint="eastAsia" w:ascii="宋体" w:hAnsi="宋体" w:cs="宋体"/>
              </w:rPr>
            </w:pPr>
            <w:r>
              <w:rPr>
                <w:rFonts w:hint="eastAsia" w:ascii="宋体" w:hAnsi="宋体" w:cs="宋体"/>
              </w:rPr>
              <w:t>3</w:t>
            </w:r>
          </w:p>
        </w:tc>
        <w:tc>
          <w:tcPr>
            <w:tcW w:w="1647" w:type="pct"/>
            <w:vAlign w:val="center"/>
          </w:tcPr>
          <w:p w14:paraId="77D137A2">
            <w:pPr>
              <w:snapToGrid w:val="0"/>
              <w:jc w:val="center"/>
              <w:rPr>
                <w:rFonts w:hint="eastAsia" w:ascii="宋体" w:hAnsi="宋体" w:cs="宋体"/>
                <w:szCs w:val="21"/>
              </w:rPr>
            </w:pPr>
            <w:r>
              <w:rPr>
                <w:rFonts w:hint="eastAsia" w:ascii="宋体" w:hAnsi="宋体" w:cs="宋体"/>
                <w:szCs w:val="21"/>
              </w:rPr>
              <w:t>密度(20℃)</w:t>
            </w:r>
          </w:p>
        </w:tc>
        <w:tc>
          <w:tcPr>
            <w:tcW w:w="2723" w:type="pct"/>
            <w:vAlign w:val="center"/>
          </w:tcPr>
          <w:p w14:paraId="305029B4">
            <w:pPr>
              <w:jc w:val="center"/>
              <w:rPr>
                <w:rFonts w:hint="eastAsia" w:ascii="宋体" w:hAnsi="宋体" w:cs="宋体"/>
                <w:kern w:val="0"/>
                <w:szCs w:val="21"/>
              </w:rPr>
            </w:pPr>
            <w:r>
              <w:rPr>
                <w:rFonts w:hint="eastAsia" w:ascii="宋体" w:hAnsi="宋体" w:cs="宋体"/>
                <w:kern w:val="0"/>
                <w:szCs w:val="21"/>
              </w:rPr>
              <w:t>GB/T 1884</w:t>
            </w:r>
            <w:r>
              <w:rPr>
                <w:rFonts w:hint="eastAsia" w:ascii="宋体" w:hAnsi="宋体" w:cs="宋体"/>
                <w:color w:val="000000"/>
                <w:szCs w:val="21"/>
                <w:lang w:bidi="ar"/>
              </w:rPr>
              <w:t>—</w:t>
            </w:r>
            <w:r>
              <w:rPr>
                <w:rFonts w:hint="eastAsia" w:ascii="宋体" w:hAnsi="宋体" w:cs="宋体"/>
                <w:kern w:val="0"/>
                <w:szCs w:val="21"/>
              </w:rPr>
              <w:t>2000</w:t>
            </w:r>
          </w:p>
          <w:p w14:paraId="0E5CAEF1">
            <w:pPr>
              <w:jc w:val="center"/>
              <w:rPr>
                <w:rFonts w:hint="eastAsia" w:ascii="宋体" w:hAnsi="宋体" w:cs="宋体"/>
                <w:kern w:val="0"/>
                <w:szCs w:val="21"/>
              </w:rPr>
            </w:pPr>
            <w:r>
              <w:rPr>
                <w:rFonts w:hint="eastAsia" w:ascii="宋体" w:hAnsi="宋体" w:cs="宋体"/>
                <w:kern w:val="0"/>
                <w:szCs w:val="21"/>
              </w:rPr>
              <w:t>GB/T 1885</w:t>
            </w:r>
            <w:r>
              <w:rPr>
                <w:rFonts w:hint="eastAsia" w:ascii="宋体" w:hAnsi="宋体" w:cs="宋体"/>
                <w:color w:val="000000"/>
                <w:szCs w:val="21"/>
                <w:lang w:bidi="ar"/>
              </w:rPr>
              <w:t>—</w:t>
            </w:r>
            <w:r>
              <w:rPr>
                <w:rFonts w:hint="eastAsia" w:ascii="宋体" w:hAnsi="宋体" w:cs="宋体"/>
                <w:kern w:val="0"/>
                <w:szCs w:val="21"/>
              </w:rPr>
              <w:t>1998</w:t>
            </w:r>
          </w:p>
          <w:p w14:paraId="14B01125">
            <w:pPr>
              <w:jc w:val="center"/>
              <w:rPr>
                <w:rFonts w:hint="eastAsia" w:ascii="宋体" w:hAnsi="宋体" w:cs="宋体"/>
                <w:kern w:val="0"/>
                <w:szCs w:val="21"/>
              </w:rPr>
            </w:pPr>
            <w:r>
              <w:rPr>
                <w:rFonts w:hint="eastAsia" w:ascii="宋体" w:hAnsi="宋体" w:cs="宋体"/>
                <w:kern w:val="0"/>
                <w:szCs w:val="21"/>
              </w:rPr>
              <w:t>SH/T 0604</w:t>
            </w:r>
            <w:r>
              <w:rPr>
                <w:rFonts w:hint="eastAsia" w:ascii="宋体" w:hAnsi="宋体" w:cs="宋体"/>
                <w:color w:val="000000"/>
                <w:szCs w:val="21"/>
                <w:lang w:bidi="ar"/>
              </w:rPr>
              <w:t>—</w:t>
            </w:r>
            <w:r>
              <w:rPr>
                <w:rFonts w:hint="eastAsia" w:ascii="宋体" w:hAnsi="宋体" w:cs="宋体"/>
                <w:kern w:val="0"/>
                <w:szCs w:val="21"/>
              </w:rPr>
              <w:t>2000</w:t>
            </w:r>
          </w:p>
        </w:tc>
      </w:tr>
      <w:tr w14:paraId="052AE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629" w:type="pct"/>
            <w:vAlign w:val="center"/>
          </w:tcPr>
          <w:p w14:paraId="1195139D">
            <w:pPr>
              <w:snapToGrid w:val="0"/>
              <w:spacing w:line="300" w:lineRule="exact"/>
              <w:jc w:val="center"/>
              <w:rPr>
                <w:rFonts w:hint="eastAsia" w:ascii="宋体" w:hAnsi="宋体" w:cs="宋体"/>
              </w:rPr>
            </w:pPr>
            <w:r>
              <w:rPr>
                <w:rFonts w:hint="eastAsia" w:ascii="宋体" w:hAnsi="宋体" w:cs="宋体"/>
              </w:rPr>
              <w:t>4</w:t>
            </w:r>
          </w:p>
        </w:tc>
        <w:tc>
          <w:tcPr>
            <w:tcW w:w="1647" w:type="pct"/>
            <w:vAlign w:val="center"/>
          </w:tcPr>
          <w:p w14:paraId="1F1E221D">
            <w:pPr>
              <w:snapToGrid w:val="0"/>
              <w:jc w:val="center"/>
              <w:rPr>
                <w:rFonts w:hint="eastAsia" w:ascii="宋体" w:hAnsi="宋体" w:cs="宋体"/>
                <w:szCs w:val="21"/>
              </w:rPr>
            </w:pPr>
            <w:r>
              <w:rPr>
                <w:rFonts w:hint="eastAsia" w:ascii="宋体" w:hAnsi="宋体" w:cs="宋体"/>
                <w:kern w:val="0"/>
                <w:szCs w:val="21"/>
              </w:rPr>
              <w:t>馏程</w:t>
            </w:r>
          </w:p>
        </w:tc>
        <w:tc>
          <w:tcPr>
            <w:tcW w:w="2723" w:type="pct"/>
            <w:vAlign w:val="center"/>
          </w:tcPr>
          <w:p w14:paraId="620F6F3A">
            <w:pPr>
              <w:jc w:val="center"/>
              <w:rPr>
                <w:rFonts w:hint="eastAsia" w:ascii="宋体" w:hAnsi="宋体" w:cs="宋体"/>
                <w:kern w:val="0"/>
                <w:szCs w:val="21"/>
              </w:rPr>
            </w:pPr>
            <w:r>
              <w:rPr>
                <w:rFonts w:hint="eastAsia" w:ascii="宋体" w:hAnsi="宋体" w:cs="宋体"/>
                <w:kern w:val="0"/>
                <w:szCs w:val="21"/>
              </w:rPr>
              <w:t>GB/T 6536</w:t>
            </w:r>
            <w:r>
              <w:rPr>
                <w:rFonts w:hint="eastAsia" w:ascii="宋体" w:hAnsi="宋体" w:cs="宋体"/>
                <w:color w:val="000000"/>
                <w:szCs w:val="21"/>
                <w:lang w:bidi="ar"/>
              </w:rPr>
              <w:t>—</w:t>
            </w:r>
            <w:r>
              <w:rPr>
                <w:rFonts w:hint="eastAsia" w:ascii="宋体" w:hAnsi="宋体" w:cs="宋体"/>
                <w:kern w:val="0"/>
                <w:szCs w:val="21"/>
              </w:rPr>
              <w:t>2010</w:t>
            </w:r>
          </w:p>
        </w:tc>
      </w:tr>
      <w:tr w14:paraId="48BDC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629" w:type="pct"/>
            <w:vAlign w:val="center"/>
          </w:tcPr>
          <w:p w14:paraId="594DBCC8">
            <w:pPr>
              <w:snapToGrid w:val="0"/>
              <w:spacing w:line="300" w:lineRule="exact"/>
              <w:jc w:val="center"/>
              <w:rPr>
                <w:rFonts w:hint="eastAsia" w:ascii="宋体" w:hAnsi="宋体" w:cs="宋体"/>
              </w:rPr>
            </w:pPr>
            <w:r>
              <w:rPr>
                <w:rFonts w:hint="eastAsia" w:ascii="宋体" w:hAnsi="宋体" w:cs="宋体"/>
              </w:rPr>
              <w:t>5</w:t>
            </w:r>
          </w:p>
        </w:tc>
        <w:tc>
          <w:tcPr>
            <w:tcW w:w="1647" w:type="pct"/>
            <w:vAlign w:val="center"/>
          </w:tcPr>
          <w:p w14:paraId="16501A9A">
            <w:pPr>
              <w:snapToGrid w:val="0"/>
              <w:jc w:val="center"/>
              <w:rPr>
                <w:rFonts w:hint="eastAsia" w:ascii="宋体" w:hAnsi="宋体" w:cs="宋体"/>
                <w:szCs w:val="21"/>
              </w:rPr>
            </w:pPr>
            <w:r>
              <w:rPr>
                <w:rFonts w:hint="eastAsia" w:ascii="宋体" w:hAnsi="宋体" w:cs="宋体"/>
                <w:szCs w:val="21"/>
              </w:rPr>
              <w:t>十六烷指数</w:t>
            </w:r>
          </w:p>
        </w:tc>
        <w:tc>
          <w:tcPr>
            <w:tcW w:w="2723" w:type="pct"/>
            <w:vAlign w:val="center"/>
          </w:tcPr>
          <w:p w14:paraId="1A194689">
            <w:pPr>
              <w:jc w:val="center"/>
              <w:rPr>
                <w:rFonts w:hint="eastAsia" w:ascii="宋体" w:hAnsi="宋体" w:cs="宋体"/>
                <w:kern w:val="0"/>
                <w:szCs w:val="21"/>
              </w:rPr>
            </w:pPr>
            <w:r>
              <w:rPr>
                <w:rFonts w:hint="eastAsia" w:ascii="宋体" w:hAnsi="宋体" w:cs="宋体"/>
                <w:kern w:val="0"/>
                <w:szCs w:val="21"/>
              </w:rPr>
              <w:t>SH/T 0694</w:t>
            </w:r>
            <w:r>
              <w:rPr>
                <w:rFonts w:hint="eastAsia" w:ascii="宋体" w:hAnsi="宋体" w:cs="宋体"/>
                <w:color w:val="000000"/>
                <w:szCs w:val="21"/>
                <w:lang w:bidi="ar"/>
              </w:rPr>
              <w:t>—</w:t>
            </w:r>
            <w:r>
              <w:rPr>
                <w:rFonts w:hint="eastAsia" w:ascii="宋体" w:hAnsi="宋体" w:cs="宋体"/>
                <w:kern w:val="0"/>
                <w:szCs w:val="21"/>
              </w:rPr>
              <w:t>2000</w:t>
            </w:r>
          </w:p>
          <w:p w14:paraId="56B3BF46">
            <w:pPr>
              <w:jc w:val="center"/>
            </w:pPr>
            <w:r>
              <w:rPr>
                <w:rFonts w:hint="eastAsia" w:ascii="宋体" w:hAnsi="宋体" w:cs="宋体"/>
                <w:kern w:val="0"/>
                <w:szCs w:val="21"/>
              </w:rPr>
              <w:t>GB/T 11139</w:t>
            </w:r>
            <w:r>
              <w:rPr>
                <w:rFonts w:hint="eastAsia" w:ascii="宋体" w:hAnsi="宋体" w:cs="宋体"/>
                <w:color w:val="000000"/>
                <w:szCs w:val="21"/>
                <w:lang w:bidi="ar"/>
              </w:rPr>
              <w:t>—</w:t>
            </w:r>
            <w:r>
              <w:rPr>
                <w:rFonts w:hint="eastAsia" w:ascii="宋体" w:hAnsi="宋体" w:cs="宋体"/>
                <w:kern w:val="0"/>
                <w:szCs w:val="21"/>
              </w:rPr>
              <w:t>1989</w:t>
            </w:r>
          </w:p>
        </w:tc>
      </w:tr>
    </w:tbl>
    <w:p w14:paraId="32B68E32">
      <w:pPr>
        <w:widowControl w:val="0"/>
        <w:snapToGrid w:val="0"/>
        <w:spacing w:line="440" w:lineRule="exact"/>
        <w:ind w:firstLine="420" w:firstLineChars="200"/>
        <w:rPr>
          <w:rFonts w:hint="eastAsia"/>
          <w:szCs w:val="21"/>
        </w:rPr>
      </w:pPr>
      <w:r>
        <w:rPr>
          <w:rFonts w:hint="eastAsia"/>
          <w:szCs w:val="21"/>
        </w:rPr>
        <w:t>执行企业标准、团体标准、地方标准的产品，检验项目参照上述内容执行。</w:t>
      </w:r>
    </w:p>
    <w:p w14:paraId="2079DD72">
      <w:pPr>
        <w:widowControl w:val="0"/>
        <w:snapToGrid w:val="0"/>
        <w:spacing w:line="440" w:lineRule="exact"/>
        <w:ind w:firstLine="420" w:firstLineChars="200"/>
        <w:rPr>
          <w:rFonts w:hint="eastAsia"/>
          <w:szCs w:val="21"/>
        </w:rPr>
      </w:pPr>
      <w:r>
        <w:rPr>
          <w:rFonts w:hint="eastAsia"/>
          <w:szCs w:val="21"/>
        </w:rPr>
        <w:t>凡是注日期的文件，其随后所有的修改单（不包括勘误的内容）或修订版不适用于本细则。凡是不注日期的文件，其最新版本适用于本细则。</w:t>
      </w:r>
    </w:p>
    <w:p w14:paraId="7E312A9D">
      <w:pPr>
        <w:spacing w:line="560" w:lineRule="exact"/>
        <w:ind w:firstLine="420" w:firstLineChars="200"/>
        <w:rPr>
          <w:rFonts w:hint="eastAsia" w:ascii="黑体" w:hAnsi="黑体" w:eastAsia="黑体" w:cs="黑体"/>
          <w:color w:val="000000"/>
          <w:szCs w:val="21"/>
        </w:rPr>
      </w:pPr>
      <w:bookmarkStart w:id="0" w:name="_GoBack"/>
      <w:bookmarkEnd w:id="0"/>
    </w:p>
    <w:p w14:paraId="3F3CBED3">
      <w:pPr>
        <w:spacing w:line="590" w:lineRule="exact"/>
        <w:rPr>
          <w:rFonts w:hint="eastAsia" w:ascii="黑体" w:hAnsi="黑体" w:eastAsia="黑体" w:cs="黑体"/>
          <w:sz w:val="24"/>
        </w:rPr>
      </w:pPr>
      <w:r>
        <w:rPr>
          <w:rFonts w:hint="eastAsia" w:ascii="黑体" w:hAnsi="黑体" w:eastAsia="黑体" w:cs="黑体"/>
          <w:sz w:val="24"/>
        </w:rPr>
        <w:t>3 判定规则</w:t>
      </w:r>
    </w:p>
    <w:p w14:paraId="18716CD0">
      <w:pPr>
        <w:widowControl w:val="0"/>
        <w:snapToGrid w:val="0"/>
        <w:spacing w:line="440" w:lineRule="exact"/>
        <w:rPr>
          <w:rFonts w:hint="eastAsia" w:ascii="宋体" w:hAnsi="宋体" w:cs="宋体"/>
          <w:szCs w:val="21"/>
        </w:rPr>
      </w:pPr>
      <w:r>
        <w:rPr>
          <w:rFonts w:hint="eastAsia" w:ascii="宋体" w:hAnsi="宋体" w:cs="宋体"/>
          <w:szCs w:val="21"/>
        </w:rPr>
        <w:t>3.1依据标准</w:t>
      </w:r>
    </w:p>
    <w:p w14:paraId="526817F7">
      <w:pPr>
        <w:widowControl w:val="0"/>
        <w:snapToGrid w:val="0"/>
        <w:spacing w:line="440" w:lineRule="exact"/>
        <w:ind w:firstLine="420" w:firstLineChars="200"/>
        <w:rPr>
          <w:rFonts w:hint="eastAsia"/>
          <w:szCs w:val="21"/>
        </w:rPr>
      </w:pPr>
      <w:r>
        <w:rPr>
          <w:rFonts w:hint="eastAsia"/>
          <w:szCs w:val="21"/>
        </w:rPr>
        <w:t xml:space="preserve">GB 17930—2016 车用汽油 </w:t>
      </w:r>
    </w:p>
    <w:p w14:paraId="7E6C459B">
      <w:pPr>
        <w:widowControl w:val="0"/>
        <w:snapToGrid w:val="0"/>
        <w:spacing w:line="440" w:lineRule="exact"/>
        <w:ind w:firstLine="420" w:firstLineChars="200"/>
        <w:rPr>
          <w:rFonts w:hint="eastAsia"/>
          <w:szCs w:val="21"/>
        </w:rPr>
      </w:pPr>
      <w:r>
        <w:rPr>
          <w:rFonts w:hint="eastAsia"/>
          <w:szCs w:val="21"/>
        </w:rPr>
        <w:t xml:space="preserve">GB 19147—2016 车用柴油 </w:t>
      </w:r>
    </w:p>
    <w:p w14:paraId="1AB73436">
      <w:pPr>
        <w:widowControl w:val="0"/>
        <w:snapToGrid w:val="0"/>
        <w:spacing w:line="440" w:lineRule="exact"/>
        <w:ind w:firstLine="420" w:firstLineChars="200"/>
        <w:rPr>
          <w:rFonts w:hint="eastAsia"/>
          <w:szCs w:val="21"/>
        </w:rPr>
      </w:pPr>
      <w:r>
        <w:rPr>
          <w:rFonts w:hint="eastAsia"/>
          <w:szCs w:val="21"/>
        </w:rPr>
        <w:t>GB 19147—2016 车用柴油 第1号修改单</w:t>
      </w:r>
    </w:p>
    <w:p w14:paraId="6E039E19">
      <w:pPr>
        <w:widowControl w:val="0"/>
        <w:snapToGrid w:val="0"/>
        <w:spacing w:line="440" w:lineRule="exact"/>
        <w:ind w:firstLine="420" w:firstLineChars="200"/>
        <w:rPr>
          <w:rFonts w:hint="eastAsia"/>
          <w:szCs w:val="21"/>
        </w:rPr>
      </w:pPr>
      <w:r>
        <w:rPr>
          <w:rFonts w:hint="eastAsia"/>
          <w:szCs w:val="21"/>
        </w:rPr>
        <w:t>现行有效的企业标准、团体标准、地方标准及产品明示质量要求</w:t>
      </w:r>
    </w:p>
    <w:p w14:paraId="1BD51165">
      <w:pPr>
        <w:widowControl w:val="0"/>
        <w:snapToGrid w:val="0"/>
        <w:spacing w:line="440" w:lineRule="exact"/>
        <w:ind w:firstLine="420" w:firstLineChars="200"/>
        <w:rPr>
          <w:rFonts w:hint="eastAsia"/>
          <w:szCs w:val="21"/>
        </w:rPr>
      </w:pPr>
      <w:r>
        <w:rPr>
          <w:rFonts w:hint="eastAsia"/>
          <w:szCs w:val="21"/>
        </w:rPr>
        <w:t>《广东省人民政府关于全面推广使用国ⅥB车用汽油的通知》（粤府函〔2022〕159号）</w:t>
      </w:r>
    </w:p>
    <w:p w14:paraId="58090590">
      <w:pPr>
        <w:widowControl w:val="0"/>
        <w:snapToGrid w:val="0"/>
        <w:spacing w:line="440" w:lineRule="exact"/>
        <w:ind w:firstLine="420" w:firstLineChars="200"/>
        <w:rPr>
          <w:rFonts w:hint="eastAsia"/>
          <w:szCs w:val="21"/>
        </w:rPr>
      </w:pPr>
      <w:r>
        <w:rPr>
          <w:rFonts w:hint="eastAsia"/>
          <w:szCs w:val="21"/>
        </w:rPr>
        <w:t>3.2判定原则</w:t>
      </w:r>
    </w:p>
    <w:p w14:paraId="6D275627">
      <w:pPr>
        <w:widowControl w:val="0"/>
        <w:snapToGrid w:val="0"/>
        <w:spacing w:line="440" w:lineRule="exact"/>
        <w:ind w:firstLine="420" w:firstLineChars="200"/>
        <w:rPr>
          <w:rFonts w:hint="eastAsia"/>
          <w:szCs w:val="21"/>
        </w:rPr>
      </w:pPr>
      <w:r>
        <w:rPr>
          <w:rFonts w:hint="eastAsia"/>
          <w:szCs w:val="21"/>
        </w:rPr>
        <w:t>经检验，检验项目全部合格，判定为被抽查产品所检项目未发现不合格；检验项目中任一项或一项以上不合格，判定为被抽查产品不合格。</w:t>
      </w:r>
    </w:p>
    <w:p w14:paraId="19210524">
      <w:pPr>
        <w:widowControl w:val="0"/>
        <w:snapToGrid w:val="0"/>
        <w:spacing w:line="440" w:lineRule="exact"/>
        <w:ind w:firstLine="420" w:firstLineChars="200"/>
        <w:rPr>
          <w:rFonts w:hint="eastAsia"/>
          <w:szCs w:val="21"/>
        </w:rPr>
      </w:pPr>
      <w:r>
        <w:rPr>
          <w:rFonts w:hint="eastAsia"/>
          <w:szCs w:val="21"/>
        </w:rPr>
        <w:t>若被检产品明示的质量要求高于本细则中检验项目依据的标准要求时，应按被检产品明示的质量要求判定。</w:t>
      </w:r>
    </w:p>
    <w:p w14:paraId="22CEEA01">
      <w:pPr>
        <w:widowControl w:val="0"/>
        <w:snapToGrid w:val="0"/>
        <w:spacing w:line="440" w:lineRule="exact"/>
        <w:ind w:firstLine="420" w:firstLineChars="200"/>
        <w:rPr>
          <w:rFonts w:hint="eastAsia"/>
          <w:szCs w:val="21"/>
        </w:rPr>
      </w:pPr>
      <w:r>
        <w:rPr>
          <w:rFonts w:hint="eastAsia"/>
          <w:szCs w:val="21"/>
        </w:rPr>
        <w:t>若被检产品明示的质量要求低于本细则中检验项目依据的强制性标准要求时，应按照强制性标准要求判定。</w:t>
      </w:r>
    </w:p>
    <w:p w14:paraId="76F3FD7B">
      <w:pPr>
        <w:widowControl w:val="0"/>
        <w:snapToGrid w:val="0"/>
        <w:spacing w:line="440" w:lineRule="exact"/>
        <w:ind w:firstLine="420" w:firstLineChars="200"/>
        <w:rPr>
          <w:rFonts w:hint="eastAsia"/>
          <w:szCs w:val="21"/>
        </w:rPr>
      </w:pPr>
      <w:r>
        <w:rPr>
          <w:rFonts w:hint="eastAsia"/>
          <w:szCs w:val="21"/>
        </w:rPr>
        <w:t>若被检产品明示的质量要求低于或包含本细则中检验项目依据的推荐性标准要求时，应以被检产品明示的质量要求判定。</w:t>
      </w:r>
    </w:p>
    <w:p w14:paraId="09503EB7">
      <w:pPr>
        <w:widowControl w:val="0"/>
        <w:snapToGrid w:val="0"/>
        <w:spacing w:line="440" w:lineRule="exact"/>
        <w:ind w:firstLine="420" w:firstLineChars="200"/>
        <w:rPr>
          <w:rFonts w:hint="eastAsia"/>
          <w:szCs w:val="21"/>
        </w:rPr>
      </w:pPr>
      <w:r>
        <w:rPr>
          <w:rFonts w:hint="eastAsia"/>
          <w:szCs w:val="21"/>
        </w:rPr>
        <w:t>若被检产品明示的质量要求缺少本细则中检验项目依据的强制性标准要求时，应按照强制性标准要求判定。</w:t>
      </w:r>
    </w:p>
    <w:p w14:paraId="66829CAA">
      <w:pPr>
        <w:widowControl w:val="0"/>
        <w:snapToGrid w:val="0"/>
        <w:spacing w:line="440" w:lineRule="exact"/>
        <w:ind w:firstLine="420" w:firstLineChars="200"/>
        <w:rPr>
          <w:rFonts w:hint="eastAsia"/>
          <w:szCs w:val="21"/>
        </w:rPr>
      </w:pPr>
      <w:r>
        <w:rPr>
          <w:rFonts w:hint="eastAsia"/>
          <w:szCs w:val="21"/>
        </w:rPr>
        <w:t>若被检产品明示的</w:t>
      </w:r>
      <w:r>
        <w:rPr>
          <w:rFonts w:hint="eastAsia"/>
          <w:szCs w:val="21"/>
        </w:rPr>
        <w:t>质量要求缺少本细则中检验项目依据的推荐性标准要求时，该项目不参与判定。</w:t>
      </w:r>
    </w:p>
    <w:p w14:paraId="3BC109B6">
      <w:pPr>
        <w:widowControl w:val="0"/>
        <w:snapToGrid w:val="0"/>
        <w:spacing w:line="440" w:lineRule="exact"/>
        <w:ind w:firstLine="420" w:firstLineChars="200"/>
        <w:rPr>
          <w:rFonts w:hint="eastAsia"/>
          <w:szCs w:val="21"/>
        </w:rPr>
      </w:pPr>
      <w:r>
        <w:rPr>
          <w:rFonts w:hint="eastAsia"/>
          <w:szCs w:val="21"/>
        </w:rPr>
        <w:t xml:space="preserve">           </w:t>
      </w:r>
    </w:p>
    <w:p w14:paraId="779E70CB">
      <w:pPr>
        <w:spacing w:line="560" w:lineRule="exact"/>
        <w:rPr>
          <w:rFonts w:hint="eastAsia" w:ascii="黑体" w:hAnsi="黑体" w:eastAsia="黑体" w:cs="黑体"/>
          <w:color w:val="000000"/>
          <w:szCs w:val="21"/>
        </w:rPr>
      </w:pPr>
    </w:p>
    <w:p w14:paraId="145A083F">
      <w:pPr>
        <w:spacing w:line="560" w:lineRule="exact"/>
        <w:rPr>
          <w:rFonts w:hint="eastAsia" w:ascii="黑体" w:hAnsi="黑体" w:eastAsia="黑体" w:cs="黑体"/>
          <w:color w:val="000000"/>
          <w:szCs w:val="21"/>
        </w:rPr>
      </w:pPr>
    </w:p>
    <w:p w14:paraId="5CFB0CF6">
      <w:pPr>
        <w:spacing w:line="560" w:lineRule="exact"/>
        <w:rPr>
          <w:rFonts w:hint="eastAsia" w:ascii="黑体" w:hAnsi="黑体" w:eastAsia="黑体" w:cs="黑体"/>
          <w:color w:val="000000"/>
          <w:szCs w:val="21"/>
        </w:rPr>
      </w:pPr>
    </w:p>
    <w:p w14:paraId="262D1C6D">
      <w:pPr>
        <w:spacing w:line="560" w:lineRule="exact"/>
        <w:rPr>
          <w:rFonts w:hint="eastAsia" w:ascii="黑体" w:hAnsi="黑体" w:eastAsia="黑体" w:cs="黑体"/>
          <w:color w:val="000000"/>
          <w:szCs w:val="21"/>
        </w:rPr>
      </w:pPr>
    </w:p>
    <w:p w14:paraId="2BA83A05">
      <w:pPr>
        <w:spacing w:line="560" w:lineRule="exact"/>
        <w:rPr>
          <w:rFonts w:hint="eastAsia" w:ascii="黑体" w:hAnsi="黑体" w:eastAsia="黑体" w:cs="黑体"/>
          <w:color w:val="000000"/>
          <w:szCs w:val="21"/>
        </w:rPr>
      </w:pPr>
    </w:p>
    <w:p w14:paraId="6FC6A309">
      <w:pPr>
        <w:spacing w:line="560" w:lineRule="exact"/>
        <w:rPr>
          <w:rFonts w:hint="eastAsia" w:ascii="黑体" w:hAnsi="黑体" w:eastAsia="黑体" w:cs="黑体"/>
          <w:color w:val="000000"/>
          <w:szCs w:val="21"/>
        </w:rPr>
      </w:pPr>
    </w:p>
    <w:p w14:paraId="32698C94">
      <w:pPr>
        <w:spacing w:line="560" w:lineRule="exact"/>
        <w:rPr>
          <w:rFonts w:hint="eastAsia" w:ascii="黑体" w:hAnsi="黑体" w:eastAsia="黑体" w:cs="黑体"/>
          <w:color w:val="000000"/>
          <w:szCs w:val="21"/>
        </w:rPr>
      </w:pPr>
    </w:p>
    <w:p w14:paraId="1642CA6E">
      <w:pPr>
        <w:spacing w:line="560" w:lineRule="exact"/>
        <w:rPr>
          <w:rFonts w:hint="eastAsia" w:ascii="黑体" w:hAnsi="黑体" w:eastAsia="黑体" w:cs="黑体"/>
          <w:color w:val="000000"/>
          <w:szCs w:val="21"/>
        </w:rPr>
      </w:pPr>
    </w:p>
    <w:p w14:paraId="1B5CAE70">
      <w:pPr>
        <w:spacing w:line="560" w:lineRule="exact"/>
        <w:rPr>
          <w:rFonts w:hint="eastAsia" w:ascii="黑体" w:hAnsi="黑体" w:eastAsia="黑体" w:cs="黑体"/>
          <w:color w:val="000000"/>
          <w:szCs w:val="21"/>
        </w:rPr>
      </w:pPr>
    </w:p>
    <w:p w14:paraId="4D9CB54F">
      <w:pPr>
        <w:spacing w:line="560" w:lineRule="exact"/>
        <w:rPr>
          <w:rFonts w:hint="eastAsia" w:ascii="黑体" w:hAnsi="黑体" w:eastAsia="黑体" w:cs="黑体"/>
          <w:color w:val="000000"/>
          <w:szCs w:val="21"/>
        </w:rPr>
      </w:pPr>
    </w:p>
    <w:p w14:paraId="0FE48180">
      <w:pPr>
        <w:spacing w:line="560" w:lineRule="exact"/>
        <w:rPr>
          <w:rFonts w:hint="eastAsia" w:ascii="黑体" w:hAnsi="黑体" w:eastAsia="黑体" w:cs="黑体"/>
          <w:color w:val="000000"/>
          <w:szCs w:val="21"/>
        </w:rPr>
      </w:pPr>
    </w:p>
    <w:sectPr>
      <w:footerReference r:id="rId3" w:type="default"/>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5BA0BB9-A9CF-4E66-9FE2-F0CEC410370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0000000000000000000"/>
    <w:charset w:val="86"/>
    <w:family w:val="auto"/>
    <w:pitch w:val="default"/>
    <w:sig w:usb0="00000000" w:usb1="00000000" w:usb2="00000000" w:usb3="00000000" w:csb0="00040000" w:csb1="00000000"/>
    <w:embedRegular r:id="rId2" w:fontKey="{BEA4A356-5805-4230-9ED2-798ED09EAED2}"/>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10" w:usb3="00000000" w:csb0="00040000" w:csb1="00000000"/>
    <w:embedRegular r:id="rId3" w:fontKey="{D348829B-6B41-4560-B96C-59A1CE3EEFCA}"/>
  </w:font>
  <w:font w:name="仿宋">
    <w:panose1 w:val="02010609060101010101"/>
    <w:charset w:val="86"/>
    <w:family w:val="auto"/>
    <w:pitch w:val="default"/>
    <w:sig w:usb0="800002BF" w:usb1="38CF7CFA" w:usb2="00000016" w:usb3="00000000" w:csb0="00040001" w:csb1="00000000"/>
  </w:font>
  <w:font w:name="KSOF4B1AA1F4">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E6FAB">
    <w:pPr>
      <w:pStyle w:val="4"/>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5802630</wp:posOffset>
              </wp:positionH>
              <wp:positionV relativeFrom="page">
                <wp:posOffset>9726930</wp:posOffset>
              </wp:positionV>
              <wp:extent cx="558165" cy="203835"/>
              <wp:effectExtent l="0" t="0" r="0" b="0"/>
              <wp:wrapNone/>
              <wp:docPr id="2" name="文本框 2"/>
              <wp:cNvGraphicFramePr/>
              <a:graphic xmlns:a="http://schemas.openxmlformats.org/drawingml/2006/main">
                <a:graphicData uri="http://schemas.microsoft.com/office/word/2010/wordprocessingShape">
                  <wps:wsp>
                    <wps:cNvSpPr txBox="1"/>
                    <wps:spPr>
                      <a:xfrm>
                        <a:off x="0" y="0"/>
                        <a:ext cx="558165" cy="203835"/>
                      </a:xfrm>
                      <a:prstGeom prst="rect">
                        <a:avLst/>
                      </a:prstGeom>
                      <a:noFill/>
                      <a:ln>
                        <a:noFill/>
                      </a:ln>
                    </wps:spPr>
                    <wps:txbx>
                      <w:txbxContent>
                        <w:p w14:paraId="569C0CF0">
                          <w:pPr>
                            <w:spacing w:line="321" w:lineRule="exact"/>
                            <w:ind w:left="20"/>
                            <w:rPr>
                              <w:rFonts w:ascii="宋体"/>
                              <w:sz w:val="28"/>
                            </w:rPr>
                          </w:pPr>
                          <w:r>
                            <w:rPr>
                              <w:rFonts w:hint="eastAsia" w:ascii="宋体"/>
                              <w:sz w:val="28"/>
                            </w:rPr>
                            <w:t xml:space="preserve">- </w:t>
                          </w:r>
                          <w:r>
                            <w:rPr>
                              <w:rFonts w:hint="eastAsia" w:ascii="宋体"/>
                              <w:sz w:val="28"/>
                            </w:rPr>
                            <w:fldChar w:fldCharType="begin"/>
                          </w:r>
                          <w:r>
                            <w:rPr>
                              <w:rFonts w:hint="eastAsia" w:ascii="宋体"/>
                              <w:sz w:val="28"/>
                            </w:rPr>
                            <w:instrText xml:space="preserve"> PAGE </w:instrText>
                          </w:r>
                          <w:r>
                            <w:rPr>
                              <w:rFonts w:hint="eastAsia" w:ascii="宋体"/>
                              <w:sz w:val="28"/>
                            </w:rPr>
                            <w:fldChar w:fldCharType="separate"/>
                          </w:r>
                          <w:r>
                            <w:rPr>
                              <w:rFonts w:hint="eastAsia" w:ascii="宋体"/>
                              <w:sz w:val="28"/>
                            </w:rPr>
                            <w:t>12</w:t>
                          </w:r>
                          <w:r>
                            <w:rPr>
                              <w:rFonts w:hint="eastAsia" w:ascii="宋体"/>
                              <w:sz w:val="28"/>
                            </w:rPr>
                            <w:fldChar w:fldCharType="end"/>
                          </w:r>
                          <w:r>
                            <w:rPr>
                              <w:rFonts w:hint="eastAsia" w:ascii="宋体"/>
                              <w:sz w:val="28"/>
                            </w:rPr>
                            <w:t xml:space="preserve"> -</w:t>
                          </w:r>
                        </w:p>
                      </w:txbxContent>
                    </wps:txbx>
                    <wps:bodyPr lIns="0" tIns="0" rIns="0" bIns="0" upright="1"/>
                  </wps:wsp>
                </a:graphicData>
              </a:graphic>
            </wp:anchor>
          </w:drawing>
        </mc:Choice>
        <mc:Fallback>
          <w:pict>
            <v:shape id="_x0000_s1026" o:spid="_x0000_s1026" o:spt="202" type="#_x0000_t202" style="position:absolute;left:0pt;margin-left:456.9pt;margin-top:765.9pt;height:16.05pt;width:43.95pt;mso-position-horizontal-relative:page;mso-position-vertical-relative:page;z-index:-251657216;mso-width-relative:page;mso-height-relative:page;" filled="f" stroked="f" coordsize="21600,21600" o:gfxdata="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zeSdQ2gAAAA4BAAAPAAAAAAAAAAEAIAAAACIAAABkcnMvZG93bnJldi54bWxQSwEC&#10;FAAUAAAACACHTuJAa+L/grkBAABxAwAADgAAAAAAAAABACAAAAApAQAAZHJzL2Uyb0RvYy54bWxQ&#10;SwUGAAAAAAYABgBZAQAAVAUAAAAA&#10;">
              <v:fill on="f" focussize="0,0"/>
              <v:stroke on="f"/>
              <v:imagedata o:title=""/>
              <o:lock v:ext="edit" aspectratio="f"/>
              <v:textbox inset="0mm,0mm,0mm,0mm">
                <w:txbxContent>
                  <w:p w14:paraId="569C0CF0">
                    <w:pPr>
                      <w:spacing w:line="321" w:lineRule="exact"/>
                      <w:ind w:left="20"/>
                      <w:rPr>
                        <w:rFonts w:ascii="宋体"/>
                        <w:sz w:val="28"/>
                      </w:rPr>
                    </w:pPr>
                    <w:r>
                      <w:rPr>
                        <w:rFonts w:hint="eastAsia" w:ascii="宋体"/>
                        <w:sz w:val="28"/>
                      </w:rPr>
                      <w:t xml:space="preserve">- </w:t>
                    </w:r>
                    <w:r>
                      <w:rPr>
                        <w:rFonts w:hint="eastAsia" w:ascii="宋体"/>
                        <w:sz w:val="28"/>
                      </w:rPr>
                      <w:fldChar w:fldCharType="begin"/>
                    </w:r>
                    <w:r>
                      <w:rPr>
                        <w:rFonts w:hint="eastAsia" w:ascii="宋体"/>
                        <w:sz w:val="28"/>
                      </w:rPr>
                      <w:instrText xml:space="preserve"> PAGE </w:instrText>
                    </w:r>
                    <w:r>
                      <w:rPr>
                        <w:rFonts w:hint="eastAsia" w:ascii="宋体"/>
                        <w:sz w:val="28"/>
                      </w:rPr>
                      <w:fldChar w:fldCharType="separate"/>
                    </w:r>
                    <w:r>
                      <w:rPr>
                        <w:rFonts w:hint="eastAsia" w:ascii="宋体"/>
                        <w:sz w:val="28"/>
                      </w:rPr>
                      <w:t>12</w:t>
                    </w:r>
                    <w:r>
                      <w:rPr>
                        <w:rFonts w:hint="eastAsia" w:ascii="宋体"/>
                        <w:sz w:val="28"/>
                      </w:rPr>
                      <w:fldChar w:fldCharType="end"/>
                    </w:r>
                    <w:r>
                      <w:rPr>
                        <w:rFonts w:hint="eastAsia" w:ascii="宋体"/>
                        <w:sz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Q4ZjM1ZGY3OTg4NjMyZDJmYTU2NzljZWY5NDYxMzAifQ=="/>
  </w:docVars>
  <w:rsids>
    <w:rsidRoot w:val="008E0366"/>
    <w:rsid w:val="000737B6"/>
    <w:rsid w:val="002B7CC7"/>
    <w:rsid w:val="00625780"/>
    <w:rsid w:val="0067504A"/>
    <w:rsid w:val="007408FF"/>
    <w:rsid w:val="008E0366"/>
    <w:rsid w:val="009644DB"/>
    <w:rsid w:val="00B6081C"/>
    <w:rsid w:val="00BA01F9"/>
    <w:rsid w:val="00D22728"/>
    <w:rsid w:val="00D774DD"/>
    <w:rsid w:val="00DB4EB0"/>
    <w:rsid w:val="00E4719F"/>
    <w:rsid w:val="00EE0D41"/>
    <w:rsid w:val="016B50A8"/>
    <w:rsid w:val="01B01BF0"/>
    <w:rsid w:val="01ED3491"/>
    <w:rsid w:val="01FB2325"/>
    <w:rsid w:val="02A76009"/>
    <w:rsid w:val="031A4A4E"/>
    <w:rsid w:val="03FD2B28"/>
    <w:rsid w:val="047D5273"/>
    <w:rsid w:val="04854128"/>
    <w:rsid w:val="04C335CE"/>
    <w:rsid w:val="06007F0A"/>
    <w:rsid w:val="068604E5"/>
    <w:rsid w:val="06CE625A"/>
    <w:rsid w:val="06E67100"/>
    <w:rsid w:val="078E1545"/>
    <w:rsid w:val="08403721"/>
    <w:rsid w:val="0935436E"/>
    <w:rsid w:val="099A0675"/>
    <w:rsid w:val="0CA92162"/>
    <w:rsid w:val="0CF2087E"/>
    <w:rsid w:val="0DA82471"/>
    <w:rsid w:val="0F672631"/>
    <w:rsid w:val="0F952D6B"/>
    <w:rsid w:val="0FA1450C"/>
    <w:rsid w:val="121548EA"/>
    <w:rsid w:val="1272218F"/>
    <w:rsid w:val="12DC3AAD"/>
    <w:rsid w:val="135F2F03"/>
    <w:rsid w:val="13FA4D8C"/>
    <w:rsid w:val="149208C7"/>
    <w:rsid w:val="164E6A70"/>
    <w:rsid w:val="16AD0593"/>
    <w:rsid w:val="16CF6A23"/>
    <w:rsid w:val="16D76A65"/>
    <w:rsid w:val="17B668A4"/>
    <w:rsid w:val="18B13D26"/>
    <w:rsid w:val="19237632"/>
    <w:rsid w:val="19D76D7C"/>
    <w:rsid w:val="1A5403CD"/>
    <w:rsid w:val="1AC83294"/>
    <w:rsid w:val="1B6F1962"/>
    <w:rsid w:val="1B961DA9"/>
    <w:rsid w:val="1CF0262F"/>
    <w:rsid w:val="1D216C8C"/>
    <w:rsid w:val="1EB83620"/>
    <w:rsid w:val="1FD863D3"/>
    <w:rsid w:val="1FEA7809"/>
    <w:rsid w:val="2136082C"/>
    <w:rsid w:val="23304EF1"/>
    <w:rsid w:val="23C860B3"/>
    <w:rsid w:val="25C34C54"/>
    <w:rsid w:val="26C07516"/>
    <w:rsid w:val="26D933C3"/>
    <w:rsid w:val="27053614"/>
    <w:rsid w:val="27BE3B1B"/>
    <w:rsid w:val="286B6544"/>
    <w:rsid w:val="289360AA"/>
    <w:rsid w:val="28DC615D"/>
    <w:rsid w:val="28E55011"/>
    <w:rsid w:val="295B52D4"/>
    <w:rsid w:val="29EC23D0"/>
    <w:rsid w:val="2A4268AB"/>
    <w:rsid w:val="2B084FE7"/>
    <w:rsid w:val="2D0A3299"/>
    <w:rsid w:val="2D3D721E"/>
    <w:rsid w:val="2D962D7E"/>
    <w:rsid w:val="2D9C5EBB"/>
    <w:rsid w:val="313C59EB"/>
    <w:rsid w:val="31853836"/>
    <w:rsid w:val="32586854"/>
    <w:rsid w:val="32902492"/>
    <w:rsid w:val="33074740"/>
    <w:rsid w:val="33296443"/>
    <w:rsid w:val="339A41CD"/>
    <w:rsid w:val="35A20FF6"/>
    <w:rsid w:val="371F3DE4"/>
    <w:rsid w:val="375F2433"/>
    <w:rsid w:val="37712166"/>
    <w:rsid w:val="384B7018"/>
    <w:rsid w:val="3986014B"/>
    <w:rsid w:val="3A0D5771"/>
    <w:rsid w:val="3A3069D4"/>
    <w:rsid w:val="3A4F0B96"/>
    <w:rsid w:val="3A83468A"/>
    <w:rsid w:val="3AEF6A0D"/>
    <w:rsid w:val="3BA174BE"/>
    <w:rsid w:val="3C025A83"/>
    <w:rsid w:val="3C432323"/>
    <w:rsid w:val="3C7E0800"/>
    <w:rsid w:val="3CFC0724"/>
    <w:rsid w:val="3D357EE0"/>
    <w:rsid w:val="3E0F4311"/>
    <w:rsid w:val="3E3D2DA2"/>
    <w:rsid w:val="402E32EA"/>
    <w:rsid w:val="403135E9"/>
    <w:rsid w:val="418D4040"/>
    <w:rsid w:val="41F9028E"/>
    <w:rsid w:val="421502BE"/>
    <w:rsid w:val="421B1066"/>
    <w:rsid w:val="43821950"/>
    <w:rsid w:val="43A21908"/>
    <w:rsid w:val="452E61C6"/>
    <w:rsid w:val="458A4B1F"/>
    <w:rsid w:val="45AD4CB1"/>
    <w:rsid w:val="468D122A"/>
    <w:rsid w:val="46D87B0C"/>
    <w:rsid w:val="46F96DC1"/>
    <w:rsid w:val="47046B53"/>
    <w:rsid w:val="48403BBB"/>
    <w:rsid w:val="489B5295"/>
    <w:rsid w:val="48A57EC2"/>
    <w:rsid w:val="48CC050C"/>
    <w:rsid w:val="496F29A9"/>
    <w:rsid w:val="49EA0E56"/>
    <w:rsid w:val="4AD4683C"/>
    <w:rsid w:val="4B0D06CC"/>
    <w:rsid w:val="4BAD5A0B"/>
    <w:rsid w:val="4CE5450F"/>
    <w:rsid w:val="4E3F66C2"/>
    <w:rsid w:val="4E55558A"/>
    <w:rsid w:val="4E7C7675"/>
    <w:rsid w:val="4FD5108C"/>
    <w:rsid w:val="501E715D"/>
    <w:rsid w:val="51750D79"/>
    <w:rsid w:val="51917235"/>
    <w:rsid w:val="528E0C74"/>
    <w:rsid w:val="53AA2830"/>
    <w:rsid w:val="550B72FE"/>
    <w:rsid w:val="5536081F"/>
    <w:rsid w:val="55540CA5"/>
    <w:rsid w:val="55D6790C"/>
    <w:rsid w:val="5627287C"/>
    <w:rsid w:val="56941F5E"/>
    <w:rsid w:val="57B020F8"/>
    <w:rsid w:val="58533496"/>
    <w:rsid w:val="58A261CC"/>
    <w:rsid w:val="58C229CF"/>
    <w:rsid w:val="58C72F50"/>
    <w:rsid w:val="59F6057D"/>
    <w:rsid w:val="5A1A06EB"/>
    <w:rsid w:val="5B1A473F"/>
    <w:rsid w:val="5C653798"/>
    <w:rsid w:val="5DCB1F6D"/>
    <w:rsid w:val="600D21A5"/>
    <w:rsid w:val="606E5E0A"/>
    <w:rsid w:val="607C7302"/>
    <w:rsid w:val="626D784A"/>
    <w:rsid w:val="63140E26"/>
    <w:rsid w:val="63CE3457"/>
    <w:rsid w:val="63ED36D1"/>
    <w:rsid w:val="64EA33D4"/>
    <w:rsid w:val="65030DDA"/>
    <w:rsid w:val="652C7549"/>
    <w:rsid w:val="663C7C5F"/>
    <w:rsid w:val="66F44096"/>
    <w:rsid w:val="66F66060"/>
    <w:rsid w:val="670C7632"/>
    <w:rsid w:val="6748228D"/>
    <w:rsid w:val="67A604B4"/>
    <w:rsid w:val="68224C33"/>
    <w:rsid w:val="6A203385"/>
    <w:rsid w:val="6A5B2C58"/>
    <w:rsid w:val="6A667059"/>
    <w:rsid w:val="6CC24715"/>
    <w:rsid w:val="6CF0139F"/>
    <w:rsid w:val="6D317DF2"/>
    <w:rsid w:val="6F1A6664"/>
    <w:rsid w:val="6FBB1BF5"/>
    <w:rsid w:val="708446DD"/>
    <w:rsid w:val="713D5FA9"/>
    <w:rsid w:val="71CA25C3"/>
    <w:rsid w:val="7277099F"/>
    <w:rsid w:val="728F751C"/>
    <w:rsid w:val="73C44DF0"/>
    <w:rsid w:val="74A05010"/>
    <w:rsid w:val="75383CE8"/>
    <w:rsid w:val="76424E1E"/>
    <w:rsid w:val="765A1E12"/>
    <w:rsid w:val="76CF41D8"/>
    <w:rsid w:val="7769462C"/>
    <w:rsid w:val="77BF249E"/>
    <w:rsid w:val="77FA5285"/>
    <w:rsid w:val="78570929"/>
    <w:rsid w:val="7AC202DC"/>
    <w:rsid w:val="7AD26045"/>
    <w:rsid w:val="7AE024CF"/>
    <w:rsid w:val="7C63164A"/>
    <w:rsid w:val="7D556376"/>
    <w:rsid w:val="7E792294"/>
    <w:rsid w:val="7EC65E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jc w:val="both"/>
    </w:pPr>
    <w:rPr>
      <w:rFonts w:ascii="Times New Roman" w:hAnsi="Times New Roman" w:eastAsia="宋体" w:cs="Times New Roman"/>
      <w:kern w:val="2"/>
      <w:sz w:val="21"/>
      <w:szCs w:val="24"/>
      <w:lang w:val="en-US" w:eastAsia="zh-CN" w:bidi="ar-SA"/>
    </w:rPr>
  </w:style>
  <w:style w:type="paragraph" w:styleId="3">
    <w:name w:val="heading 1"/>
    <w:basedOn w:val="1"/>
    <w:next w:val="1"/>
    <w:unhideWhenUsed/>
    <w:qFormat/>
    <w:uiPriority w:val="9"/>
    <w:pPr>
      <w:ind w:left="143" w:right="898" w:hanging="2475"/>
      <w:outlineLvl w:val="0"/>
    </w:pPr>
    <w:rPr>
      <w:rFonts w:hint="eastAsia" w:ascii="方正小标宋简体" w:hAnsi="方正小标宋简体" w:eastAsia="方正小标宋简体" w:cs="方正小标宋简体"/>
      <w:sz w:val="44"/>
      <w:szCs w:val="44"/>
    </w:rPr>
  </w:style>
  <w:style w:type="character" w:default="1" w:styleId="10">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4">
    <w:name w:val="Body Text"/>
    <w:basedOn w:val="1"/>
    <w:unhideWhenUsed/>
    <w:qFormat/>
    <w:uiPriority w:val="1"/>
    <w:rPr>
      <w:sz w:val="32"/>
    </w:rPr>
  </w:style>
  <w:style w:type="paragraph" w:styleId="5">
    <w:name w:val="Plain Text"/>
    <w:basedOn w:val="1"/>
    <w:qFormat/>
    <w:uiPriority w:val="0"/>
    <w:rPr>
      <w:rFonts w:ascii="宋体" w:hAnsi="Courier New"/>
    </w:rPr>
  </w:style>
  <w:style w:type="paragraph" w:styleId="6">
    <w:name w:val="footer"/>
    <w:basedOn w:val="1"/>
    <w:link w:val="16"/>
    <w:uiPriority w:val="0"/>
    <w:pPr>
      <w:tabs>
        <w:tab w:val="center" w:pos="4153"/>
        <w:tab w:val="right" w:pos="8306"/>
      </w:tabs>
      <w:snapToGrid w:val="0"/>
      <w:jc w:val="left"/>
    </w:pPr>
    <w:rPr>
      <w:sz w:val="18"/>
      <w:szCs w:val="18"/>
    </w:rPr>
  </w:style>
  <w:style w:type="paragraph" w:styleId="7">
    <w:name w:val="header"/>
    <w:basedOn w:val="1"/>
    <w:link w:val="15"/>
    <w:uiPriority w:val="0"/>
    <w:pPr>
      <w:tabs>
        <w:tab w:val="center" w:pos="4153"/>
        <w:tab w:val="right" w:pos="8306"/>
      </w:tabs>
      <w:snapToGrid w:val="0"/>
      <w:jc w:val="center"/>
    </w:pPr>
    <w:rPr>
      <w:sz w:val="18"/>
      <w:szCs w:val="18"/>
    </w:rPr>
  </w:style>
  <w:style w:type="paragraph" w:styleId="8">
    <w:name w:val="Normal (Web)"/>
    <w:basedOn w:val="1"/>
    <w:qFormat/>
    <w:uiPriority w:val="0"/>
    <w:rPr>
      <w:sz w:val="24"/>
    </w:rPr>
  </w:style>
  <w:style w:type="paragraph" w:customStyle="1" w:styleId="11">
    <w:name w:val="Table Paragraph"/>
    <w:basedOn w:val="1"/>
    <w:unhideWhenUsed/>
    <w:qFormat/>
    <w:uiPriority w:val="1"/>
  </w:style>
  <w:style w:type="paragraph" w:customStyle="1" w:styleId="12">
    <w:name w:val="段"/>
    <w:qFormat/>
    <w:uiPriority w:val="0"/>
    <w:pPr>
      <w:tabs>
        <w:tab w:val="center" w:pos="4201"/>
        <w:tab w:val="right" w:leader="dot" w:pos="9298"/>
      </w:tabs>
      <w:autoSpaceDE w:val="0"/>
      <w:autoSpaceDN w:val="0"/>
      <w:ind w:firstLine="420" w:firstLineChars="200"/>
      <w:jc w:val="both"/>
    </w:pPr>
    <w:rPr>
      <w:rFonts w:ascii="宋体" w:hAnsi="Calibri" w:eastAsia="宋体" w:cs="Times New Roman"/>
      <w:sz w:val="21"/>
      <w:szCs w:val="22"/>
      <w:lang w:val="en-US" w:eastAsia="zh-CN" w:bidi="ar-SA"/>
    </w:rPr>
  </w:style>
  <w:style w:type="character" w:customStyle="1" w:styleId="13">
    <w:name w:val="15"/>
    <w:basedOn w:val="10"/>
    <w:qFormat/>
    <w:uiPriority w:val="0"/>
    <w:rPr>
      <w:rFonts w:hint="default" w:ascii="Times New Roman" w:hAnsi="Times New Roman" w:cs="Times New Roman"/>
    </w:rPr>
  </w:style>
  <w:style w:type="character" w:customStyle="1" w:styleId="14">
    <w:name w:val="10"/>
    <w:basedOn w:val="10"/>
    <w:qFormat/>
    <w:uiPriority w:val="0"/>
    <w:rPr>
      <w:rFonts w:hint="default" w:ascii="Times New Roman" w:hAnsi="Times New Roman" w:cs="Times New Roman"/>
    </w:rPr>
  </w:style>
  <w:style w:type="character" w:customStyle="1" w:styleId="15">
    <w:name w:val="页眉 字符"/>
    <w:basedOn w:val="10"/>
    <w:link w:val="7"/>
    <w:uiPriority w:val="0"/>
    <w:rPr>
      <w:kern w:val="2"/>
      <w:sz w:val="18"/>
      <w:szCs w:val="18"/>
    </w:rPr>
  </w:style>
  <w:style w:type="character" w:customStyle="1" w:styleId="16">
    <w:name w:val="页脚 字符"/>
    <w:basedOn w:val="10"/>
    <w:link w:val="6"/>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851</Words>
  <Characters>1096</Characters>
  <Lines>70</Lines>
  <Paragraphs>83</Paragraphs>
  <TotalTime>9</TotalTime>
  <ScaleCrop>false</ScaleCrop>
  <LinksUpToDate>false</LinksUpToDate>
  <CharactersWithSpaces>1142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2022-09-01T02:20:00Z</dcterms:created>
  <dc:creator>001</dc:creator>
  <cp:lastModifiedBy>企业用户_977603779</cp:lastModifiedBy>
  <cp:lastPrinted>2022-09-13T06:19:00Z</cp:lastPrinted>
  <dcterms:modified xsi:type="dcterms:W3CDTF">2026-09-15T13:32:31Z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9D141648CC654E99AE2C7334087706F9_13</vt:lpwstr>
  </property>
  <property fmtid="{D5CDD505-2E9C-101B-9397-08002B2CF9AE}" pid="4" name="KSOTemplateDocerSaveRecord">
    <vt:lpwstr>eyJoZGlkIjoiNGZmN2NmMzE2NDlmMTFkOWQ4MWY4NDFlMDI3YmJjYzkiLCJ1c2VySWQiOiIxNTIzODQyNTAxIn0=</vt:lpwstr>
  </property>
</Properties>
</file>