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85865">
      <w:pPr>
        <w:widowControl w:val="0"/>
        <w:snapToGrid w:val="0"/>
        <w:spacing w:line="594" w:lineRule="exact"/>
        <w:jc w:val="center"/>
        <w:rPr>
          <w:rFonts w:eastAsia="方正小标宋简体"/>
          <w:sz w:val="32"/>
          <w:szCs w:val="32"/>
        </w:rPr>
      </w:pPr>
      <w:r>
        <w:rPr>
          <w:rFonts w:hint="eastAsia" w:eastAsia="方正小标宋简体"/>
          <w:sz w:val="32"/>
          <w:szCs w:val="32"/>
        </w:rPr>
        <w:t>中山市车用尿素水溶液产品质量监督抽查实施细则</w:t>
      </w:r>
    </w:p>
    <w:p w14:paraId="0423F44F">
      <w:pPr>
        <w:spacing w:line="560" w:lineRule="exact"/>
        <w:ind w:firstLine="420" w:firstLineChars="200"/>
        <w:rPr>
          <w:rFonts w:hint="eastAsia" w:ascii="黑体" w:hAnsi="黑体" w:eastAsia="黑体" w:cs="黑体"/>
          <w:color w:val="000000"/>
          <w:szCs w:val="21"/>
        </w:rPr>
      </w:pPr>
    </w:p>
    <w:p w14:paraId="72603777">
      <w:pPr>
        <w:spacing w:line="590" w:lineRule="exact"/>
        <w:rPr>
          <w:rFonts w:hint="eastAsia" w:ascii="黑体" w:hAnsi="黑体" w:eastAsia="黑体" w:cs="黑体"/>
          <w:sz w:val="24"/>
        </w:rPr>
      </w:pPr>
      <w:r>
        <w:rPr>
          <w:rFonts w:hint="eastAsia" w:ascii="黑体" w:hAnsi="黑体" w:eastAsia="黑体" w:cs="黑体"/>
          <w:sz w:val="24"/>
        </w:rPr>
        <w:t>1 抽样方法</w:t>
      </w:r>
    </w:p>
    <w:p w14:paraId="703CB5FB">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以随机抽样的方式在被抽样生产者、销售者的待销产品中抽取。</w:t>
      </w:r>
    </w:p>
    <w:p w14:paraId="641E51CC">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随机数一般可使用随机数表等方法产生。</w:t>
      </w:r>
    </w:p>
    <w:p w14:paraId="7A34E36F">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每批次产品抽取两份独立包装样本，每份不</w:t>
      </w:r>
      <w:bookmarkStart w:id="0" w:name="_Hlk67497541"/>
      <w:r>
        <w:rPr>
          <w:rFonts w:hint="eastAsia" w:ascii="宋体" w:hAnsi="宋体" w:cs="宋体"/>
          <w:color w:val="000000"/>
          <w:szCs w:val="21"/>
          <w:lang w:bidi="ar"/>
        </w:rPr>
        <w:t>少</w:t>
      </w:r>
      <w:bookmarkEnd w:id="0"/>
      <w:r>
        <w:rPr>
          <w:rFonts w:hint="eastAsia" w:ascii="宋体" w:hAnsi="宋体" w:cs="宋体"/>
          <w:color w:val="000000"/>
          <w:szCs w:val="21"/>
          <w:lang w:bidi="ar"/>
        </w:rPr>
        <w:t>于2L。如产品独立包装大于50L，使用符合GB 29518—2013 《柴油发动机氮氧化物还原剂 尿素水溶液（AUS32）》附录I要求的包装物进行分装取样。其中1份作为检验样品，1份作为备用样品。</w:t>
      </w:r>
    </w:p>
    <w:p w14:paraId="5A0621D8">
      <w:pPr>
        <w:spacing w:line="560" w:lineRule="exact"/>
        <w:ind w:firstLine="420" w:firstLineChars="200"/>
        <w:rPr>
          <w:rFonts w:hint="eastAsia" w:ascii="黑体" w:hAnsi="黑体" w:eastAsia="黑体" w:cs="黑体"/>
          <w:color w:val="000000"/>
          <w:szCs w:val="21"/>
        </w:rPr>
      </w:pPr>
    </w:p>
    <w:p w14:paraId="384D3383">
      <w:pPr>
        <w:spacing w:line="590" w:lineRule="exact"/>
        <w:rPr>
          <w:rFonts w:hint="eastAsia" w:ascii="黑体" w:hAnsi="黑体" w:eastAsia="黑体" w:cs="黑体"/>
          <w:sz w:val="24"/>
        </w:rPr>
      </w:pPr>
      <w:r>
        <w:rPr>
          <w:rFonts w:hint="eastAsia" w:ascii="黑体" w:hAnsi="黑体" w:eastAsia="黑体" w:cs="黑体"/>
          <w:sz w:val="24"/>
        </w:rPr>
        <w:t>2 检验依据</w:t>
      </w:r>
    </w:p>
    <w:tbl>
      <w:tblPr>
        <w:tblStyle w:val="9"/>
        <w:tblW w:w="46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2715"/>
        <w:gridCol w:w="4490"/>
      </w:tblGrid>
      <w:tr w14:paraId="421B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628" w:type="pct"/>
            <w:vAlign w:val="center"/>
          </w:tcPr>
          <w:p w14:paraId="04BDEC7B">
            <w:pPr>
              <w:snapToGrid w:val="0"/>
              <w:spacing w:line="300" w:lineRule="exact"/>
              <w:jc w:val="center"/>
              <w:rPr>
                <w:rFonts w:hint="eastAsia" w:ascii="宋体" w:hAnsi="宋体" w:cs="宋体"/>
                <w:b/>
                <w:bCs/>
              </w:rPr>
            </w:pPr>
            <w:r>
              <w:rPr>
                <w:rFonts w:hint="eastAsia" w:ascii="宋体" w:hAnsi="宋体" w:cs="宋体"/>
                <w:b/>
                <w:bCs/>
              </w:rPr>
              <w:t>序号</w:t>
            </w:r>
          </w:p>
        </w:tc>
        <w:tc>
          <w:tcPr>
            <w:tcW w:w="1647" w:type="pct"/>
            <w:vAlign w:val="center"/>
          </w:tcPr>
          <w:p w14:paraId="0525CD87">
            <w:pPr>
              <w:snapToGrid w:val="0"/>
              <w:spacing w:line="300" w:lineRule="exact"/>
              <w:jc w:val="center"/>
              <w:rPr>
                <w:rFonts w:hint="eastAsia" w:ascii="宋体" w:hAnsi="宋体" w:cs="宋体"/>
                <w:b/>
                <w:bCs/>
              </w:rPr>
            </w:pPr>
            <w:r>
              <w:rPr>
                <w:rFonts w:hint="eastAsia" w:ascii="宋体" w:hAnsi="宋体" w:cs="宋体"/>
                <w:b/>
                <w:bCs/>
              </w:rPr>
              <w:t>检验项目</w:t>
            </w:r>
          </w:p>
        </w:tc>
        <w:tc>
          <w:tcPr>
            <w:tcW w:w="2723" w:type="pct"/>
            <w:vAlign w:val="center"/>
          </w:tcPr>
          <w:p w14:paraId="164A7948">
            <w:pPr>
              <w:snapToGrid w:val="0"/>
              <w:spacing w:line="300" w:lineRule="exact"/>
              <w:jc w:val="center"/>
              <w:rPr>
                <w:rFonts w:hint="eastAsia" w:ascii="宋体" w:hAnsi="宋体" w:cs="宋体"/>
                <w:b/>
                <w:bCs/>
              </w:rPr>
            </w:pPr>
            <w:r>
              <w:rPr>
                <w:rFonts w:hint="eastAsia" w:ascii="宋体" w:hAnsi="宋体" w:cs="宋体"/>
                <w:b/>
                <w:bCs/>
              </w:rPr>
              <w:t>检验方法</w:t>
            </w:r>
          </w:p>
        </w:tc>
      </w:tr>
      <w:tr w14:paraId="4C55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8" w:type="pct"/>
            <w:vAlign w:val="center"/>
          </w:tcPr>
          <w:p w14:paraId="31180D63">
            <w:pPr>
              <w:snapToGrid w:val="0"/>
              <w:spacing w:line="300" w:lineRule="exact"/>
              <w:jc w:val="center"/>
              <w:rPr>
                <w:rFonts w:hint="eastAsia" w:ascii="宋体" w:hAnsi="宋体" w:cs="宋体"/>
              </w:rPr>
            </w:pPr>
            <w:r>
              <w:rPr>
                <w:rFonts w:hint="eastAsia" w:ascii="宋体" w:hAnsi="宋体" w:cs="宋体"/>
              </w:rPr>
              <w:t>1</w:t>
            </w:r>
          </w:p>
        </w:tc>
        <w:tc>
          <w:tcPr>
            <w:tcW w:w="1647" w:type="pct"/>
            <w:vAlign w:val="center"/>
          </w:tcPr>
          <w:p w14:paraId="02C66942">
            <w:pPr>
              <w:spacing w:line="280" w:lineRule="exact"/>
              <w:jc w:val="center"/>
              <w:rPr>
                <w:rFonts w:hint="eastAsia" w:ascii="宋体" w:hAnsi="宋体" w:cs="宋体"/>
                <w:szCs w:val="21"/>
              </w:rPr>
            </w:pPr>
            <w:r>
              <w:rPr>
                <w:rFonts w:hint="eastAsia" w:ascii="宋体" w:hAnsi="宋体" w:cs="宋体"/>
                <w:szCs w:val="21"/>
              </w:rPr>
              <w:t>尿素含量</w:t>
            </w:r>
          </w:p>
        </w:tc>
        <w:tc>
          <w:tcPr>
            <w:tcW w:w="2723" w:type="pct"/>
            <w:vAlign w:val="center"/>
          </w:tcPr>
          <w:p w14:paraId="10C0B7BC">
            <w:pPr>
              <w:spacing w:line="280" w:lineRule="exact"/>
              <w:jc w:val="center"/>
              <w:rPr>
                <w:rFonts w:hint="eastAsia" w:ascii="宋体" w:hAnsi="宋体" w:cs="宋体"/>
                <w:kern w:val="0"/>
                <w:szCs w:val="21"/>
              </w:rPr>
            </w:pPr>
            <w:r>
              <w:rPr>
                <w:rFonts w:hint="eastAsia" w:ascii="宋体" w:hAnsi="宋体" w:cs="宋体"/>
                <w:kern w:val="0"/>
                <w:szCs w:val="21"/>
              </w:rPr>
              <w:t>GB 29518</w:t>
            </w:r>
            <w:r>
              <w:rPr>
                <w:rFonts w:hint="eastAsia" w:ascii="宋体" w:hAnsi="宋体" w:cs="宋体"/>
                <w:color w:val="000000"/>
                <w:szCs w:val="21"/>
                <w:lang w:bidi="ar"/>
              </w:rPr>
              <w:t>—</w:t>
            </w:r>
            <w:r>
              <w:rPr>
                <w:rFonts w:hint="eastAsia" w:ascii="宋体" w:hAnsi="宋体" w:cs="宋体"/>
                <w:kern w:val="0"/>
                <w:szCs w:val="21"/>
              </w:rPr>
              <w:t>2013 附录A</w:t>
            </w:r>
          </w:p>
        </w:tc>
      </w:tr>
      <w:tr w14:paraId="1861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8" w:type="pct"/>
            <w:vAlign w:val="center"/>
          </w:tcPr>
          <w:p w14:paraId="03822FD9">
            <w:pPr>
              <w:snapToGrid w:val="0"/>
              <w:spacing w:line="300" w:lineRule="exact"/>
              <w:jc w:val="center"/>
              <w:rPr>
                <w:rFonts w:hint="eastAsia" w:ascii="宋体" w:hAnsi="宋体" w:cs="宋体"/>
              </w:rPr>
            </w:pPr>
            <w:r>
              <w:rPr>
                <w:rFonts w:hint="eastAsia" w:ascii="宋体" w:hAnsi="宋体" w:cs="宋体"/>
              </w:rPr>
              <w:t>2</w:t>
            </w:r>
          </w:p>
        </w:tc>
        <w:tc>
          <w:tcPr>
            <w:tcW w:w="1647" w:type="pct"/>
            <w:vAlign w:val="center"/>
          </w:tcPr>
          <w:p w14:paraId="34724564">
            <w:pPr>
              <w:spacing w:line="280" w:lineRule="exact"/>
              <w:jc w:val="center"/>
              <w:rPr>
                <w:rFonts w:hint="eastAsia" w:ascii="宋体" w:hAnsi="宋体" w:cs="宋体"/>
                <w:szCs w:val="21"/>
              </w:rPr>
            </w:pPr>
            <w:r>
              <w:rPr>
                <w:rFonts w:hint="eastAsia" w:ascii="宋体" w:hAnsi="宋体" w:cs="宋体"/>
                <w:szCs w:val="21"/>
              </w:rPr>
              <w:t>密度(20℃)</w:t>
            </w:r>
          </w:p>
        </w:tc>
        <w:tc>
          <w:tcPr>
            <w:tcW w:w="2723" w:type="pct"/>
            <w:vAlign w:val="center"/>
          </w:tcPr>
          <w:p w14:paraId="1EDCD197">
            <w:pPr>
              <w:spacing w:line="280" w:lineRule="exact"/>
              <w:jc w:val="center"/>
              <w:rPr>
                <w:rFonts w:hint="eastAsia" w:ascii="宋体" w:hAnsi="宋体" w:cs="宋体"/>
                <w:kern w:val="0"/>
                <w:szCs w:val="21"/>
              </w:rPr>
            </w:pPr>
            <w:r>
              <w:rPr>
                <w:rFonts w:hint="eastAsia" w:ascii="宋体" w:hAnsi="宋体" w:cs="宋体"/>
                <w:kern w:val="0"/>
                <w:szCs w:val="21"/>
              </w:rPr>
              <w:t>SH/T 0604</w:t>
            </w:r>
            <w:r>
              <w:rPr>
                <w:rFonts w:hint="eastAsia" w:ascii="宋体" w:hAnsi="宋体" w:cs="宋体"/>
                <w:color w:val="000000"/>
                <w:szCs w:val="21"/>
                <w:lang w:bidi="ar"/>
              </w:rPr>
              <w:t>—</w:t>
            </w:r>
            <w:r>
              <w:rPr>
                <w:rFonts w:hint="eastAsia" w:ascii="宋体" w:hAnsi="宋体" w:cs="宋体"/>
                <w:kern w:val="0"/>
                <w:szCs w:val="21"/>
              </w:rPr>
              <w:t>2000</w:t>
            </w:r>
          </w:p>
        </w:tc>
      </w:tr>
      <w:tr w14:paraId="40D0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8" w:type="pct"/>
            <w:vAlign w:val="center"/>
          </w:tcPr>
          <w:p w14:paraId="68CEAC1F">
            <w:pPr>
              <w:snapToGrid w:val="0"/>
              <w:spacing w:line="300" w:lineRule="exact"/>
              <w:jc w:val="center"/>
              <w:rPr>
                <w:rFonts w:hint="eastAsia" w:ascii="宋体" w:hAnsi="宋体" w:cs="宋体"/>
              </w:rPr>
            </w:pPr>
            <w:r>
              <w:rPr>
                <w:rFonts w:hint="eastAsia" w:ascii="宋体" w:hAnsi="宋体" w:cs="宋体"/>
              </w:rPr>
              <w:t>3</w:t>
            </w:r>
          </w:p>
        </w:tc>
        <w:tc>
          <w:tcPr>
            <w:tcW w:w="1647" w:type="pct"/>
            <w:vAlign w:val="center"/>
          </w:tcPr>
          <w:p w14:paraId="5BAE1D0B">
            <w:pPr>
              <w:spacing w:line="280" w:lineRule="exact"/>
              <w:jc w:val="center"/>
              <w:rPr>
                <w:rFonts w:hint="eastAsia" w:ascii="宋体" w:hAnsi="宋体" w:cs="宋体"/>
                <w:szCs w:val="21"/>
              </w:rPr>
            </w:pPr>
            <w:r>
              <w:rPr>
                <w:rFonts w:hint="eastAsia" w:ascii="宋体" w:hAnsi="宋体" w:cs="宋体"/>
                <w:szCs w:val="21"/>
              </w:rPr>
              <w:t>折光率</w:t>
            </w:r>
          </w:p>
        </w:tc>
        <w:tc>
          <w:tcPr>
            <w:tcW w:w="2723" w:type="pct"/>
            <w:vAlign w:val="center"/>
          </w:tcPr>
          <w:p w14:paraId="419D0B88">
            <w:pPr>
              <w:spacing w:line="280" w:lineRule="exact"/>
              <w:jc w:val="center"/>
              <w:rPr>
                <w:rFonts w:hint="eastAsia" w:ascii="宋体" w:hAnsi="宋体" w:cs="宋体"/>
                <w:kern w:val="0"/>
                <w:szCs w:val="21"/>
              </w:rPr>
            </w:pPr>
            <w:r>
              <w:rPr>
                <w:rFonts w:hint="eastAsia" w:ascii="宋体" w:hAnsi="宋体" w:cs="宋体"/>
                <w:kern w:val="0"/>
                <w:szCs w:val="21"/>
              </w:rPr>
              <w:t>GB/T 614</w:t>
            </w:r>
            <w:r>
              <w:rPr>
                <w:rFonts w:hint="eastAsia" w:ascii="宋体" w:hAnsi="宋体" w:cs="宋体"/>
                <w:color w:val="000000"/>
                <w:szCs w:val="21"/>
                <w:lang w:bidi="ar"/>
              </w:rPr>
              <w:t>—</w:t>
            </w:r>
            <w:r>
              <w:rPr>
                <w:rFonts w:hint="eastAsia" w:ascii="宋体" w:hAnsi="宋体" w:cs="宋体"/>
                <w:kern w:val="0"/>
                <w:szCs w:val="21"/>
              </w:rPr>
              <w:t>2021</w:t>
            </w:r>
          </w:p>
        </w:tc>
      </w:tr>
      <w:tr w14:paraId="740F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8" w:type="pct"/>
            <w:vAlign w:val="center"/>
          </w:tcPr>
          <w:p w14:paraId="11375EF7">
            <w:pPr>
              <w:snapToGrid w:val="0"/>
              <w:spacing w:line="300" w:lineRule="exact"/>
              <w:jc w:val="center"/>
              <w:rPr>
                <w:rFonts w:hint="eastAsia" w:ascii="宋体" w:hAnsi="宋体" w:cs="宋体"/>
              </w:rPr>
            </w:pPr>
            <w:r>
              <w:rPr>
                <w:rFonts w:hint="eastAsia" w:ascii="宋体" w:hAnsi="宋体" w:cs="宋体"/>
              </w:rPr>
              <w:t>4</w:t>
            </w:r>
          </w:p>
        </w:tc>
        <w:tc>
          <w:tcPr>
            <w:tcW w:w="1647" w:type="pct"/>
            <w:vAlign w:val="center"/>
          </w:tcPr>
          <w:p w14:paraId="1442DF15">
            <w:pPr>
              <w:spacing w:line="280" w:lineRule="exact"/>
              <w:jc w:val="center"/>
              <w:rPr>
                <w:rFonts w:hint="eastAsia" w:ascii="宋体" w:hAnsi="宋体" w:cs="宋体"/>
                <w:szCs w:val="21"/>
              </w:rPr>
            </w:pPr>
            <w:r>
              <w:rPr>
                <w:rFonts w:hint="eastAsia" w:ascii="宋体" w:hAnsi="宋体" w:cs="宋体"/>
                <w:szCs w:val="21"/>
              </w:rPr>
              <w:t>缩二脲</w:t>
            </w:r>
          </w:p>
        </w:tc>
        <w:tc>
          <w:tcPr>
            <w:tcW w:w="2723" w:type="pct"/>
            <w:vAlign w:val="center"/>
          </w:tcPr>
          <w:p w14:paraId="6474E8B1">
            <w:pPr>
              <w:spacing w:line="280" w:lineRule="exact"/>
              <w:jc w:val="center"/>
              <w:rPr>
                <w:rFonts w:hint="eastAsia" w:ascii="宋体" w:hAnsi="宋体" w:cs="宋体"/>
                <w:kern w:val="0"/>
                <w:szCs w:val="21"/>
              </w:rPr>
            </w:pPr>
            <w:r>
              <w:rPr>
                <w:rFonts w:hint="eastAsia" w:ascii="宋体" w:hAnsi="宋体" w:cs="宋体"/>
                <w:kern w:val="0"/>
                <w:szCs w:val="21"/>
              </w:rPr>
              <w:t>GB 29518</w:t>
            </w:r>
            <w:r>
              <w:rPr>
                <w:rFonts w:hint="eastAsia" w:ascii="宋体" w:hAnsi="宋体" w:cs="宋体"/>
                <w:color w:val="000000"/>
                <w:szCs w:val="21"/>
                <w:lang w:bidi="ar"/>
              </w:rPr>
              <w:t>—</w:t>
            </w:r>
            <w:r>
              <w:rPr>
                <w:rFonts w:hint="eastAsia" w:ascii="宋体" w:hAnsi="宋体" w:cs="宋体"/>
                <w:kern w:val="0"/>
                <w:szCs w:val="21"/>
              </w:rPr>
              <w:t>2013 附录C</w:t>
            </w:r>
          </w:p>
        </w:tc>
      </w:tr>
      <w:tr w14:paraId="15EB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8" w:type="pct"/>
            <w:vAlign w:val="center"/>
          </w:tcPr>
          <w:p w14:paraId="196FCAB5">
            <w:pPr>
              <w:snapToGrid w:val="0"/>
              <w:spacing w:line="300" w:lineRule="exact"/>
              <w:jc w:val="center"/>
              <w:rPr>
                <w:rFonts w:hint="eastAsia" w:ascii="宋体" w:hAnsi="宋体" w:cs="宋体"/>
              </w:rPr>
            </w:pPr>
            <w:r>
              <w:rPr>
                <w:rFonts w:hint="eastAsia" w:ascii="宋体" w:hAnsi="宋体" w:cs="宋体"/>
              </w:rPr>
              <w:t>5</w:t>
            </w:r>
          </w:p>
        </w:tc>
        <w:tc>
          <w:tcPr>
            <w:tcW w:w="1647" w:type="pct"/>
            <w:vAlign w:val="center"/>
          </w:tcPr>
          <w:p w14:paraId="70C04244">
            <w:pPr>
              <w:spacing w:line="280" w:lineRule="exact"/>
              <w:jc w:val="center"/>
              <w:rPr>
                <w:rFonts w:hint="eastAsia" w:ascii="宋体" w:hAnsi="宋体" w:cs="宋体"/>
                <w:szCs w:val="21"/>
              </w:rPr>
            </w:pPr>
            <w:r>
              <w:rPr>
                <w:rFonts w:hint="eastAsia" w:ascii="宋体" w:hAnsi="宋体" w:cs="宋体"/>
                <w:szCs w:val="21"/>
              </w:rPr>
              <w:t>醛类（以HCHO计）</w:t>
            </w:r>
          </w:p>
        </w:tc>
        <w:tc>
          <w:tcPr>
            <w:tcW w:w="2723" w:type="pct"/>
            <w:vAlign w:val="center"/>
          </w:tcPr>
          <w:p w14:paraId="1ABB139B">
            <w:pPr>
              <w:spacing w:line="280" w:lineRule="exact"/>
              <w:jc w:val="center"/>
              <w:rPr>
                <w:rFonts w:hint="eastAsia" w:ascii="宋体" w:hAnsi="宋体" w:cs="宋体"/>
                <w:kern w:val="0"/>
                <w:szCs w:val="21"/>
              </w:rPr>
            </w:pPr>
            <w:r>
              <w:rPr>
                <w:rFonts w:hint="eastAsia" w:ascii="宋体" w:hAnsi="宋体" w:cs="宋体"/>
                <w:kern w:val="0"/>
                <w:szCs w:val="21"/>
              </w:rPr>
              <w:t>GB 29518</w:t>
            </w:r>
            <w:r>
              <w:rPr>
                <w:rFonts w:hint="eastAsia" w:ascii="宋体" w:hAnsi="宋体" w:cs="宋体"/>
                <w:color w:val="000000"/>
                <w:szCs w:val="21"/>
                <w:lang w:bidi="ar"/>
              </w:rPr>
              <w:t>—</w:t>
            </w:r>
            <w:r>
              <w:rPr>
                <w:rFonts w:hint="eastAsia" w:ascii="宋体" w:hAnsi="宋体" w:cs="宋体"/>
                <w:kern w:val="0"/>
                <w:szCs w:val="21"/>
              </w:rPr>
              <w:t>2013附录D</w:t>
            </w:r>
          </w:p>
        </w:tc>
      </w:tr>
      <w:tr w14:paraId="2D99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8" w:type="pct"/>
            <w:vAlign w:val="center"/>
          </w:tcPr>
          <w:p w14:paraId="1503E109">
            <w:pPr>
              <w:snapToGrid w:val="0"/>
              <w:spacing w:line="300" w:lineRule="exact"/>
              <w:jc w:val="center"/>
              <w:rPr>
                <w:rFonts w:hint="eastAsia" w:ascii="宋体" w:hAnsi="宋体" w:cs="宋体"/>
              </w:rPr>
            </w:pPr>
            <w:r>
              <w:rPr>
                <w:rFonts w:hint="eastAsia" w:ascii="宋体" w:hAnsi="宋体" w:cs="宋体"/>
              </w:rPr>
              <w:t>6</w:t>
            </w:r>
          </w:p>
        </w:tc>
        <w:tc>
          <w:tcPr>
            <w:tcW w:w="1647" w:type="pct"/>
            <w:vAlign w:val="center"/>
          </w:tcPr>
          <w:p w14:paraId="50DCE312">
            <w:pPr>
              <w:spacing w:line="320" w:lineRule="exact"/>
              <w:jc w:val="center"/>
              <w:rPr>
                <w:rFonts w:hint="eastAsia" w:ascii="宋体" w:hAnsi="宋体" w:cs="宋体"/>
                <w:szCs w:val="21"/>
              </w:rPr>
            </w:pPr>
            <w:r>
              <w:rPr>
                <w:rFonts w:hint="eastAsia" w:ascii="宋体" w:hAnsi="宋体" w:cs="宋体"/>
                <w:szCs w:val="21"/>
              </w:rPr>
              <w:t>钠</w:t>
            </w:r>
          </w:p>
        </w:tc>
        <w:tc>
          <w:tcPr>
            <w:tcW w:w="2723" w:type="pct"/>
            <w:vAlign w:val="center"/>
          </w:tcPr>
          <w:p w14:paraId="45000A59">
            <w:pPr>
              <w:spacing w:line="240" w:lineRule="exact"/>
              <w:jc w:val="center"/>
              <w:rPr>
                <w:rFonts w:hint="eastAsia" w:ascii="宋体" w:hAnsi="宋体" w:cs="宋体"/>
                <w:szCs w:val="21"/>
              </w:rPr>
            </w:pPr>
            <w:r>
              <w:rPr>
                <w:rFonts w:hint="eastAsia" w:ascii="宋体" w:hAnsi="宋体" w:cs="宋体"/>
                <w:szCs w:val="21"/>
              </w:rPr>
              <w:t>GB 29518</w:t>
            </w:r>
            <w:r>
              <w:rPr>
                <w:rFonts w:hint="eastAsia" w:ascii="宋体" w:hAnsi="宋体" w:cs="宋体"/>
                <w:color w:val="000000"/>
                <w:szCs w:val="21"/>
                <w:lang w:bidi="ar"/>
              </w:rPr>
              <w:t>—</w:t>
            </w:r>
            <w:r>
              <w:rPr>
                <w:rFonts w:hint="eastAsia" w:ascii="宋体" w:hAnsi="宋体" w:cs="宋体"/>
                <w:szCs w:val="21"/>
              </w:rPr>
              <w:t>2013附录G</w:t>
            </w:r>
          </w:p>
        </w:tc>
      </w:tr>
    </w:tbl>
    <w:p w14:paraId="7F4948DD">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执行企业标准、团体标准、地方标准的产品，检验项目参照上述内容执行。</w:t>
      </w:r>
    </w:p>
    <w:p w14:paraId="397D375A">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凡是注日期的文件，</w:t>
      </w:r>
      <w:bookmarkStart w:id="1" w:name="_GoBack"/>
      <w:bookmarkEnd w:id="1"/>
      <w:r>
        <w:rPr>
          <w:rFonts w:hint="eastAsia" w:ascii="宋体" w:hAnsi="宋体" w:cs="宋体"/>
          <w:color w:val="000000"/>
          <w:szCs w:val="21"/>
          <w:lang w:bidi="ar"/>
        </w:rPr>
        <w:t>其随后所有的修改单（不包括勘误的内容）或修订版不适用于本细则。凡是不注日期的文件，其最新版本适用于本细则。</w:t>
      </w:r>
    </w:p>
    <w:p w14:paraId="13C15549">
      <w:pPr>
        <w:spacing w:line="560" w:lineRule="exact"/>
        <w:ind w:firstLine="420" w:firstLineChars="200"/>
        <w:rPr>
          <w:rFonts w:hint="eastAsia" w:ascii="黑体" w:hAnsi="黑体" w:eastAsia="黑体" w:cs="黑体"/>
          <w:color w:val="000000"/>
          <w:szCs w:val="21"/>
        </w:rPr>
      </w:pPr>
    </w:p>
    <w:p w14:paraId="7AF17FF9">
      <w:pPr>
        <w:spacing w:line="590" w:lineRule="exact"/>
        <w:rPr>
          <w:rFonts w:hint="eastAsia" w:ascii="黑体" w:hAnsi="黑体" w:eastAsia="黑体" w:cs="黑体"/>
          <w:sz w:val="24"/>
        </w:rPr>
      </w:pPr>
      <w:r>
        <w:rPr>
          <w:rFonts w:hint="eastAsia" w:ascii="黑体" w:hAnsi="黑体" w:eastAsia="黑体" w:cs="黑体"/>
          <w:sz w:val="24"/>
        </w:rPr>
        <w:t>3 判定规则</w:t>
      </w:r>
    </w:p>
    <w:p w14:paraId="1DC764FA">
      <w:pPr>
        <w:spacing w:line="590" w:lineRule="exact"/>
        <w:rPr>
          <w:rFonts w:hint="eastAsia" w:ascii="宋体" w:hAnsi="宋体" w:cs="宋体"/>
          <w:szCs w:val="21"/>
        </w:rPr>
      </w:pPr>
      <w:r>
        <w:rPr>
          <w:rFonts w:hint="eastAsia" w:ascii="宋体" w:hAnsi="宋体" w:cs="宋体"/>
          <w:szCs w:val="21"/>
        </w:rPr>
        <w:t>3.1依据标准</w:t>
      </w:r>
    </w:p>
    <w:p w14:paraId="0579857E">
      <w:pPr>
        <w:widowControl w:val="0"/>
        <w:snapToGrid w:val="0"/>
        <w:spacing w:line="440" w:lineRule="exact"/>
        <w:ind w:firstLine="420" w:firstLineChars="200"/>
        <w:rPr>
          <w:rFonts w:hint="eastAsia"/>
          <w:szCs w:val="21"/>
        </w:rPr>
      </w:pPr>
      <w:r>
        <w:rPr>
          <w:rFonts w:hint="eastAsia"/>
          <w:szCs w:val="21"/>
        </w:rPr>
        <w:t>GB 29518—2013 柴油发动机氮氧化物还原剂 尿素水溶液（AUS32）</w:t>
      </w:r>
    </w:p>
    <w:p w14:paraId="2202EEDE">
      <w:pPr>
        <w:widowControl w:val="0"/>
        <w:snapToGrid w:val="0"/>
        <w:spacing w:line="440" w:lineRule="exact"/>
        <w:ind w:firstLine="420" w:firstLineChars="200"/>
        <w:rPr>
          <w:rFonts w:hint="eastAsia"/>
          <w:szCs w:val="21"/>
        </w:rPr>
      </w:pPr>
      <w:r>
        <w:rPr>
          <w:rFonts w:hint="eastAsia"/>
          <w:szCs w:val="21"/>
        </w:rPr>
        <w:t>现行有效的企业标准、团体标准、地方标准及产品明示质量要求</w:t>
      </w:r>
    </w:p>
    <w:p w14:paraId="6592880C">
      <w:pPr>
        <w:spacing w:line="590" w:lineRule="exact"/>
        <w:rPr>
          <w:rFonts w:hint="eastAsia" w:ascii="宋体" w:hAnsi="宋体" w:cs="宋体"/>
          <w:szCs w:val="21"/>
        </w:rPr>
      </w:pPr>
      <w:r>
        <w:rPr>
          <w:rFonts w:hint="eastAsia" w:ascii="宋体" w:hAnsi="宋体" w:cs="宋体"/>
          <w:szCs w:val="21"/>
        </w:rPr>
        <w:t>3.2判定原则</w:t>
      </w:r>
    </w:p>
    <w:p w14:paraId="417A268D">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经检验，检验项目全部合格，判定为被抽查产品所检项目未发现不合格；检验项目中任一项或一项以上不合格，判定为被抽查产品不合格。</w:t>
      </w:r>
    </w:p>
    <w:p w14:paraId="0625C22C">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若被检产品明示的质量要求高于本细则中检验项目依据的标准要求时，应按被检产品明示的质量要求判定。</w:t>
      </w:r>
    </w:p>
    <w:p w14:paraId="7196C861">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若被检产品明示的质量要求低于本细则中检验项目依据的强制性标准要求时，应按照强制性标准要求判定。</w:t>
      </w:r>
    </w:p>
    <w:p w14:paraId="40922C7F">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若被检产品明示的质量要求低于或包含本细则中检验项目依据的推荐性标准要求时，应以被检产品明示的质量要求判定。</w:t>
      </w:r>
    </w:p>
    <w:p w14:paraId="42C1D655">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若被检产品明示的质量要求缺少本细则中检验项目依据的强制性标准要求时，应按照强制性标准要求判定。</w:t>
      </w:r>
    </w:p>
    <w:p w14:paraId="21485EB0">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若被检产品明示的质量要求缺少本细则中检验项目依据的推荐性标准要求时，该项目不参与判定。</w:t>
      </w:r>
    </w:p>
    <w:p w14:paraId="70653750">
      <w:pPr>
        <w:spacing w:line="560" w:lineRule="exact"/>
        <w:ind w:firstLine="640" w:firstLineChars="200"/>
        <w:rPr>
          <w:rFonts w:hint="eastAsia" w:ascii="仿宋_GB2312" w:hAnsi="仿宋_GB2312" w:eastAsia="仿宋_GB2312" w:cs="仿宋_GB2312"/>
          <w:sz w:val="32"/>
          <w:szCs w:val="32"/>
        </w:rPr>
      </w:pPr>
    </w:p>
    <w:p w14:paraId="7607ECCC">
      <w:pPr>
        <w:pStyle w:val="4"/>
        <w:rPr>
          <w:rFonts w:hint="eastAsia" w:ascii="仿宋_GB2312" w:hAnsi="仿宋_GB2312" w:eastAsia="仿宋_GB2312" w:cs="仿宋_GB2312"/>
          <w:szCs w:val="32"/>
        </w:rPr>
      </w:pPr>
    </w:p>
    <w:p w14:paraId="29144E50">
      <w:pPr>
        <w:widowControl w:val="0"/>
        <w:adjustRightInd w:val="0"/>
        <w:snapToGrid w:val="0"/>
        <w:spacing w:line="560" w:lineRule="exact"/>
        <w:jc w:val="center"/>
        <w:rPr>
          <w:rFonts w:hint="eastAsia" w:ascii="黑体" w:hAnsi="黑体" w:eastAsia="黑体" w:cs="黑体"/>
          <w:color w:val="000000"/>
          <w:szCs w:val="21"/>
        </w:rPr>
      </w:pPr>
      <w:r>
        <w:rPr>
          <w:rFonts w:hint="eastAsia" w:ascii="黑体" w:hAnsi="黑体" w:eastAsia="黑体" w:cs="黑体"/>
          <w:color w:val="000000"/>
          <w:szCs w:val="21"/>
        </w:rPr>
        <w:t xml:space="preserve">                                                  </w:t>
      </w:r>
    </w:p>
    <w:p w14:paraId="0B0D24D0">
      <w:pPr>
        <w:widowControl w:val="0"/>
        <w:adjustRightInd w:val="0"/>
        <w:snapToGrid w:val="0"/>
        <w:spacing w:line="560" w:lineRule="exact"/>
        <w:jc w:val="center"/>
        <w:rPr>
          <w:rFonts w:hint="eastAsia" w:ascii="黑体" w:hAnsi="黑体" w:eastAsia="黑体" w:cs="黑体"/>
          <w:color w:val="000000"/>
          <w:szCs w:val="21"/>
        </w:rPr>
      </w:pPr>
    </w:p>
    <w:p w14:paraId="1249F98F">
      <w:pPr>
        <w:widowControl w:val="0"/>
        <w:adjustRightInd w:val="0"/>
        <w:snapToGrid w:val="0"/>
        <w:spacing w:line="560" w:lineRule="exact"/>
        <w:jc w:val="center"/>
        <w:rPr>
          <w:rFonts w:hint="eastAsia" w:ascii="黑体" w:hAnsi="黑体" w:eastAsia="黑体" w:cs="黑体"/>
          <w:color w:val="000000"/>
          <w:szCs w:val="21"/>
        </w:rPr>
      </w:pPr>
    </w:p>
    <w:p w14:paraId="3AF7AD0E">
      <w:pPr>
        <w:pStyle w:val="2"/>
        <w:rPr>
          <w:rFonts w:hint="eastAsia" w:ascii="黑体" w:hAnsi="黑体" w:eastAsia="黑体" w:cs="黑体"/>
          <w:color w:val="000000"/>
          <w:szCs w:val="21"/>
        </w:rPr>
      </w:pPr>
    </w:p>
    <w:p w14:paraId="4AB6BE36">
      <w:pPr>
        <w:pStyle w:val="2"/>
        <w:rPr>
          <w:rFonts w:hint="eastAsia" w:ascii="黑体" w:hAnsi="黑体" w:eastAsia="黑体" w:cs="黑体"/>
          <w:color w:val="000000"/>
          <w:szCs w:val="21"/>
        </w:rPr>
      </w:pPr>
    </w:p>
    <w:p w14:paraId="5FAC0C6F">
      <w:pPr>
        <w:pStyle w:val="2"/>
        <w:rPr>
          <w:rFonts w:hint="eastAsia" w:ascii="黑体" w:hAnsi="黑体" w:eastAsia="黑体" w:cs="黑体"/>
          <w:color w:val="000000"/>
          <w:szCs w:val="21"/>
        </w:rPr>
      </w:pPr>
    </w:p>
    <w:p w14:paraId="6665F0F6">
      <w:pPr>
        <w:spacing w:line="590" w:lineRule="exact"/>
        <w:rPr>
          <w:rFonts w:hint="eastAsia" w:ascii="宋体" w:hAnsi="宋体" w:cs="宋体"/>
          <w:szCs w:val="21"/>
        </w:rPr>
      </w:pPr>
    </w:p>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F0233B-4BD6-410A-ABC6-64F6B842E9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0000000000000000000"/>
    <w:charset w:val="86"/>
    <w:family w:val="auto"/>
    <w:pitch w:val="default"/>
    <w:sig w:usb0="00000000" w:usb1="00000000" w:usb2="00000000" w:usb3="00000000" w:csb0="00040000" w:csb1="00000000"/>
    <w:embedRegular r:id="rId2" w:fontKey="{EBD87C44-8380-471E-B5A6-343C253E7BD6}"/>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embedRegular r:id="rId3" w:fontKey="{20FDE6C4-5E11-49E6-9EB2-C405473031D0}"/>
  </w:font>
  <w:font w:name="仿宋">
    <w:panose1 w:val="02010609060101010101"/>
    <w:charset w:val="86"/>
    <w:family w:val="auto"/>
    <w:pitch w:val="default"/>
    <w:sig w:usb0="800002BF" w:usb1="38CF7CFA" w:usb2="00000016" w:usb3="00000000" w:csb0="00040001" w:csb1="00000000"/>
  </w:font>
  <w:font w:name="KSOFBBF09B1B">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D534F">
    <w:pPr>
      <w:pStyle w:val="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5802630</wp:posOffset>
              </wp:positionH>
              <wp:positionV relativeFrom="page">
                <wp:posOffset>9726930</wp:posOffset>
              </wp:positionV>
              <wp:extent cx="558165"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58165" cy="203835"/>
                      </a:xfrm>
                      <a:prstGeom prst="rect">
                        <a:avLst/>
                      </a:prstGeom>
                      <a:noFill/>
                      <a:ln>
                        <a:noFill/>
                      </a:ln>
                    </wps:spPr>
                    <wps:txbx>
                      <w:txbxContent>
                        <w:p w14:paraId="7774A739">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456.9pt;margin-top:765.9pt;height:16.05pt;width:43.95pt;mso-position-horizontal-relative:page;mso-position-vertical-relative:page;z-index:-251657216;mso-width-relative:page;mso-height-relative:page;" filled="f" stroked="f" coordsize="21600,21600" o:gfxdata="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eSdQ2gAAAA4BAAAPAAAAAAAAAAEAIAAAACIAAABkcnMvZG93bnJldi54bWxQSwEC&#10;FAAUAAAACACHTuJAa+L/grkBAABxAwAADgAAAAAAAAABACAAAAApAQAAZHJzL2Uyb0RvYy54bWxQ&#10;SwUGAAAAAAYABgBZAQAAVAUAAAAA&#10;">
              <v:fill on="f" focussize="0,0"/>
              <v:stroke on="f"/>
              <v:imagedata o:title=""/>
              <o:lock v:ext="edit" aspectratio="f"/>
              <v:textbox inset="0mm,0mm,0mm,0mm">
                <w:txbxContent>
                  <w:p w14:paraId="7774A739">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4ZjM1ZGY3OTg4NjMyZDJmYTU2NzljZWY5NDYxMzAifQ=="/>
  </w:docVars>
  <w:rsids>
    <w:rsidRoot w:val="00B11ADC"/>
    <w:rsid w:val="002B7CC7"/>
    <w:rsid w:val="0054635E"/>
    <w:rsid w:val="00625780"/>
    <w:rsid w:val="008C2F13"/>
    <w:rsid w:val="00910300"/>
    <w:rsid w:val="00A85111"/>
    <w:rsid w:val="00B11ADC"/>
    <w:rsid w:val="00F25514"/>
    <w:rsid w:val="016B50A8"/>
    <w:rsid w:val="01B01BF0"/>
    <w:rsid w:val="01ED3491"/>
    <w:rsid w:val="02A76009"/>
    <w:rsid w:val="02B22454"/>
    <w:rsid w:val="031A4A4E"/>
    <w:rsid w:val="03FD2B28"/>
    <w:rsid w:val="047D5273"/>
    <w:rsid w:val="04854128"/>
    <w:rsid w:val="04C335CE"/>
    <w:rsid w:val="06007F0A"/>
    <w:rsid w:val="068604E5"/>
    <w:rsid w:val="06CE625A"/>
    <w:rsid w:val="06E67100"/>
    <w:rsid w:val="078E1545"/>
    <w:rsid w:val="08403721"/>
    <w:rsid w:val="099A0675"/>
    <w:rsid w:val="0CA92162"/>
    <w:rsid w:val="0CF2087E"/>
    <w:rsid w:val="0DA82471"/>
    <w:rsid w:val="0F672631"/>
    <w:rsid w:val="0F952D6B"/>
    <w:rsid w:val="0FA1450C"/>
    <w:rsid w:val="121548EA"/>
    <w:rsid w:val="1272218F"/>
    <w:rsid w:val="13FA4D8C"/>
    <w:rsid w:val="149208C7"/>
    <w:rsid w:val="164E6A70"/>
    <w:rsid w:val="16AD0593"/>
    <w:rsid w:val="16CF6A23"/>
    <w:rsid w:val="16D76A65"/>
    <w:rsid w:val="17B668A4"/>
    <w:rsid w:val="18B13D26"/>
    <w:rsid w:val="19237632"/>
    <w:rsid w:val="19D76D7C"/>
    <w:rsid w:val="1A5403CD"/>
    <w:rsid w:val="1AC83294"/>
    <w:rsid w:val="1B6F1962"/>
    <w:rsid w:val="1B961DA9"/>
    <w:rsid w:val="1CF0262F"/>
    <w:rsid w:val="1D216C8C"/>
    <w:rsid w:val="1EB83620"/>
    <w:rsid w:val="1FD863D3"/>
    <w:rsid w:val="1FEA7809"/>
    <w:rsid w:val="2136082C"/>
    <w:rsid w:val="23304EF1"/>
    <w:rsid w:val="23C860B3"/>
    <w:rsid w:val="25C34C54"/>
    <w:rsid w:val="26C07516"/>
    <w:rsid w:val="26D933C3"/>
    <w:rsid w:val="27053614"/>
    <w:rsid w:val="27BE3B1B"/>
    <w:rsid w:val="289360AA"/>
    <w:rsid w:val="28DC615D"/>
    <w:rsid w:val="28E55011"/>
    <w:rsid w:val="295B52D4"/>
    <w:rsid w:val="29EC23D0"/>
    <w:rsid w:val="2A4268AB"/>
    <w:rsid w:val="2B084FE7"/>
    <w:rsid w:val="2D0A3299"/>
    <w:rsid w:val="2D3D721E"/>
    <w:rsid w:val="2D9C5EBB"/>
    <w:rsid w:val="313C59EB"/>
    <w:rsid w:val="31853836"/>
    <w:rsid w:val="32586854"/>
    <w:rsid w:val="32902492"/>
    <w:rsid w:val="33074740"/>
    <w:rsid w:val="33296443"/>
    <w:rsid w:val="339A41CD"/>
    <w:rsid w:val="35A20FF6"/>
    <w:rsid w:val="371F3DE4"/>
    <w:rsid w:val="375F2433"/>
    <w:rsid w:val="37712166"/>
    <w:rsid w:val="384B7018"/>
    <w:rsid w:val="3986014B"/>
    <w:rsid w:val="3A0D5771"/>
    <w:rsid w:val="3A3069D4"/>
    <w:rsid w:val="3A4F0B96"/>
    <w:rsid w:val="3A83468A"/>
    <w:rsid w:val="3AEF6A0D"/>
    <w:rsid w:val="3BA174BE"/>
    <w:rsid w:val="3C025A83"/>
    <w:rsid w:val="3C7E0800"/>
    <w:rsid w:val="3CFC0724"/>
    <w:rsid w:val="3D357EE0"/>
    <w:rsid w:val="3E0F4311"/>
    <w:rsid w:val="3E3D2DA2"/>
    <w:rsid w:val="402E32EA"/>
    <w:rsid w:val="403135E9"/>
    <w:rsid w:val="41F9028E"/>
    <w:rsid w:val="421502BE"/>
    <w:rsid w:val="421B1066"/>
    <w:rsid w:val="43821950"/>
    <w:rsid w:val="43A21908"/>
    <w:rsid w:val="452E61C6"/>
    <w:rsid w:val="458A4B1F"/>
    <w:rsid w:val="45AD4CB1"/>
    <w:rsid w:val="468D122A"/>
    <w:rsid w:val="46D87B0C"/>
    <w:rsid w:val="46F96DC1"/>
    <w:rsid w:val="48403BBB"/>
    <w:rsid w:val="48A57EC2"/>
    <w:rsid w:val="48CC050C"/>
    <w:rsid w:val="496F29A9"/>
    <w:rsid w:val="49EA0E56"/>
    <w:rsid w:val="4AD4683C"/>
    <w:rsid w:val="4B0D06CC"/>
    <w:rsid w:val="4BAD5A0B"/>
    <w:rsid w:val="4CE5450F"/>
    <w:rsid w:val="4E3F66C2"/>
    <w:rsid w:val="4E55558A"/>
    <w:rsid w:val="4E7C7675"/>
    <w:rsid w:val="4FD5108C"/>
    <w:rsid w:val="501E715D"/>
    <w:rsid w:val="51750D79"/>
    <w:rsid w:val="51917235"/>
    <w:rsid w:val="521D6D1B"/>
    <w:rsid w:val="528E0C74"/>
    <w:rsid w:val="53AA2830"/>
    <w:rsid w:val="550B72FE"/>
    <w:rsid w:val="5536081F"/>
    <w:rsid w:val="55540CA5"/>
    <w:rsid w:val="55D6790C"/>
    <w:rsid w:val="57B020F8"/>
    <w:rsid w:val="58533496"/>
    <w:rsid w:val="58A261CC"/>
    <w:rsid w:val="58C229CF"/>
    <w:rsid w:val="58C72F50"/>
    <w:rsid w:val="59F6057D"/>
    <w:rsid w:val="5A1A06EB"/>
    <w:rsid w:val="5B1A473F"/>
    <w:rsid w:val="5C653798"/>
    <w:rsid w:val="600D21A5"/>
    <w:rsid w:val="606E5E0A"/>
    <w:rsid w:val="607C7302"/>
    <w:rsid w:val="626D784A"/>
    <w:rsid w:val="63140E26"/>
    <w:rsid w:val="63CE3457"/>
    <w:rsid w:val="63ED36D1"/>
    <w:rsid w:val="64EA33D4"/>
    <w:rsid w:val="65030DDA"/>
    <w:rsid w:val="663C7C5F"/>
    <w:rsid w:val="66F44096"/>
    <w:rsid w:val="66F66060"/>
    <w:rsid w:val="670C7632"/>
    <w:rsid w:val="6748228D"/>
    <w:rsid w:val="67A604B4"/>
    <w:rsid w:val="67CA42A6"/>
    <w:rsid w:val="6A203385"/>
    <w:rsid w:val="6A5B2C58"/>
    <w:rsid w:val="6A667059"/>
    <w:rsid w:val="6CC24715"/>
    <w:rsid w:val="6CF0139F"/>
    <w:rsid w:val="6D317DF2"/>
    <w:rsid w:val="6F1A6664"/>
    <w:rsid w:val="708446DD"/>
    <w:rsid w:val="713D5FA9"/>
    <w:rsid w:val="71CA25C3"/>
    <w:rsid w:val="7277099F"/>
    <w:rsid w:val="728F751C"/>
    <w:rsid w:val="73C44DF0"/>
    <w:rsid w:val="74A05010"/>
    <w:rsid w:val="75383CE8"/>
    <w:rsid w:val="76424E1E"/>
    <w:rsid w:val="765A1E12"/>
    <w:rsid w:val="7769462C"/>
    <w:rsid w:val="77BF249E"/>
    <w:rsid w:val="77FA5285"/>
    <w:rsid w:val="78570929"/>
    <w:rsid w:val="79D96AC8"/>
    <w:rsid w:val="7AC202DC"/>
    <w:rsid w:val="7AD26045"/>
    <w:rsid w:val="7AE024CF"/>
    <w:rsid w:val="7C63164A"/>
    <w:rsid w:val="7D385153"/>
    <w:rsid w:val="7D556376"/>
    <w:rsid w:val="7EC6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jc w:val="both"/>
    </w:pPr>
    <w:rPr>
      <w:rFonts w:ascii="Times New Roman" w:hAnsi="Times New Roman" w:eastAsia="宋体" w:cs="Times New Roman"/>
      <w:kern w:val="2"/>
      <w:sz w:val="21"/>
      <w:szCs w:val="24"/>
      <w:lang w:val="en-US" w:eastAsia="zh-CN" w:bidi="ar-SA"/>
    </w:rPr>
  </w:style>
  <w:style w:type="paragraph" w:styleId="3">
    <w:name w:val="heading 1"/>
    <w:basedOn w:val="1"/>
    <w:next w:val="1"/>
    <w:unhideWhenUsed/>
    <w:qFormat/>
    <w:uiPriority w:val="9"/>
    <w:pPr>
      <w:ind w:left="143" w:right="898" w:hanging="2475"/>
      <w:outlineLvl w:val="0"/>
    </w:pPr>
    <w:rPr>
      <w:rFonts w:hint="eastAsia" w:ascii="方正小标宋简体" w:hAnsi="方正小标宋简体" w:eastAsia="方正小标宋简体" w:cs="方正小标宋简体"/>
      <w:sz w:val="44"/>
      <w:szCs w:val="4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4">
    <w:name w:val="Body Text"/>
    <w:basedOn w:val="1"/>
    <w:unhideWhenUsed/>
    <w:qFormat/>
    <w:uiPriority w:val="1"/>
    <w:rPr>
      <w:sz w:val="32"/>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uiPriority w:val="0"/>
    <w:pP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paragraph" w:styleId="8">
    <w:name w:val="Normal (Web)"/>
    <w:basedOn w:val="1"/>
    <w:qFormat/>
    <w:uiPriority w:val="0"/>
    <w:rPr>
      <w:sz w:val="24"/>
    </w:rPr>
  </w:style>
  <w:style w:type="paragraph" w:customStyle="1" w:styleId="11">
    <w:name w:val="Table Paragraph"/>
    <w:basedOn w:val="1"/>
    <w:unhideWhenUsed/>
    <w:qFormat/>
    <w:uiPriority w:val="1"/>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3">
    <w:name w:val="15"/>
    <w:basedOn w:val="10"/>
    <w:qFormat/>
    <w:uiPriority w:val="0"/>
    <w:rPr>
      <w:rFonts w:hint="default" w:ascii="Times New Roman" w:hAnsi="Times New Roman" w:cs="Times New Roman"/>
    </w:rPr>
  </w:style>
  <w:style w:type="character" w:customStyle="1" w:styleId="14">
    <w:name w:val="10"/>
    <w:basedOn w:val="10"/>
    <w:qFormat/>
    <w:uiPriority w:val="0"/>
    <w:rPr>
      <w:rFonts w:hint="default" w:ascii="Times New Roman" w:hAnsi="Times New Roman" w:cs="Times New Roman"/>
    </w:rPr>
  </w:style>
  <w:style w:type="character" w:customStyle="1" w:styleId="15">
    <w:name w:val="页眉 字符"/>
    <w:basedOn w:val="10"/>
    <w:link w:val="6"/>
    <w:qFormat/>
    <w:uiPriority w:val="0"/>
    <w:rPr>
      <w:kern w:val="2"/>
      <w:sz w:val="18"/>
      <w:szCs w:val="18"/>
    </w:rPr>
  </w:style>
  <w:style w:type="character" w:customStyle="1" w:styleId="16">
    <w:name w:val="页脚 字符"/>
    <w:basedOn w:val="10"/>
    <w:link w:val="5"/>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716</Words>
  <Characters>801</Characters>
  <Lines>37</Lines>
  <Paragraphs>46</Paragraphs>
  <TotalTime>1</TotalTime>
  <ScaleCrop>false</ScaleCrop>
  <LinksUpToDate>false</LinksUpToDate>
  <CharactersWithSpaces>868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2022-09-01T02:20:00Z</dcterms:created>
  <dc:creator>001</dc:creator>
  <cp:lastModifiedBy>企业用户_977603779</cp:lastModifiedBy>
  <cp:lastPrinted>2022-09-13T06:19:00Z</cp:lastPrinted>
  <dcterms:modified xsi:type="dcterms:W3CDTF">2026-09-15T13:34:28Z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9D141648CC654E99AE2C7334087706F9_13</vt:lpwstr>
  </property>
  <property fmtid="{D5CDD505-2E9C-101B-9397-08002B2CF9AE}" pid="4" name="KSOTemplateDocerSaveRecord">
    <vt:lpwstr>eyJoZGlkIjoiNGZmN2NmMzE2NDlmMTFkOWQ4MWY4NDFlMDI3YmJjYzkiLCJ1c2VySWQiOiIxNTIzODQyNTAxIn0=</vt:lpwstr>
  </property>
</Properties>
</file>