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F9D806">
      <w:pPr>
        <w:wordWrap w:val="0"/>
        <w:spacing w:line="600" w:lineRule="exact"/>
        <w:jc w:val="center"/>
        <w:rPr>
          <w:rFonts w:ascii="Times New Roman" w:hAnsi="Times New Roman" w:eastAsia="方正小标宋简体" w:cs="方正小标宋简体"/>
          <w:sz w:val="44"/>
          <w:szCs w:val="36"/>
        </w:rPr>
      </w:pPr>
      <w:r>
        <w:rPr>
          <w:rFonts w:ascii="Times New Roman" w:hAnsi="Times New Roman" w:eastAsia="方正小标宋简体" w:cs="方正小标宋简体"/>
          <w:sz w:val="44"/>
          <w:szCs w:val="36"/>
        </w:rPr>
        <w:t>中山市人民政府南区街道办事处</w:t>
      </w:r>
      <w:r>
        <w:rPr>
          <w:rFonts w:ascii="Times New Roman" w:hAnsi="Times New Roman" w:eastAsia="方正小标宋简体" w:cs="方正小标宋简体"/>
          <w:sz w:val="44"/>
          <w:szCs w:val="36"/>
        </w:rPr>
        <w:cr/>
      </w:r>
      <w:r>
        <w:rPr>
          <w:rFonts w:ascii="Times New Roman" w:hAnsi="Times New Roman" w:eastAsia="方正小标宋简体" w:cs="方正小标宋简体"/>
          <w:sz w:val="44"/>
          <w:szCs w:val="36"/>
        </w:rPr>
        <w:t>行政处罚决定书</w:t>
      </w:r>
    </w:p>
    <w:p w14:paraId="40E12BCE">
      <w:pPr>
        <w:wordWrap w:val="0"/>
        <w:spacing w:line="600" w:lineRule="exact"/>
        <w:jc w:val="center"/>
        <w:rPr>
          <w:rFonts w:ascii="Times New Roman" w:hAnsi="Times New Roman" w:cs="Times New Roman"/>
          <w:szCs w:val="20"/>
        </w:rPr>
      </w:pPr>
      <w:r>
        <w:rPr>
          <w:rFonts w:hint="eastAsia" w:ascii="Times New Roman" w:hAnsi="Times New Roman" w:eastAsia="楷体_GB2312" w:cs="Times New Roman"/>
          <w:szCs w:val="28"/>
        </w:rPr>
        <w:t>粤中南区执城罚字[2026]41号</w:t>
      </w:r>
    </w:p>
    <w:p w14:paraId="5F22E33D">
      <w:pPr>
        <w:pStyle w:val="13"/>
        <w:spacing w:line="600" w:lineRule="exact"/>
        <w:ind w:firstLine="640" w:firstLineChars="200"/>
        <w:rPr>
          <w:rFonts w:ascii="Times New Roman" w:hAnsi="Times New Roman" w:cs="仿宋_GB2312"/>
          <w:szCs w:val="30"/>
        </w:rPr>
      </w:pPr>
      <w:r>
        <w:rPr>
          <w:rFonts w:hint="eastAsia" w:ascii="Times New Roman" w:hAnsi="Times New Roman" w:cs="仿宋_GB2312"/>
          <w:szCs w:val="30"/>
        </w:rPr>
        <w:t>姓名：吴亮</w:t>
      </w:r>
    </w:p>
    <w:p w14:paraId="58748DE0">
      <w:pPr>
        <w:pStyle w:val="13"/>
        <w:spacing w:line="600" w:lineRule="exact"/>
        <w:ind w:firstLine="640" w:firstLineChars="200"/>
        <w:rPr>
          <w:rFonts w:hint="default" w:ascii="Times New Roman" w:hAnsi="Times New Roman" w:eastAsia="仿宋_GB2312" w:cs="仿宋_GB2312"/>
          <w:szCs w:val="30"/>
          <w:lang w:val="en-US" w:eastAsia="zh-CN"/>
        </w:rPr>
      </w:pPr>
      <w:r>
        <w:rPr>
          <w:rFonts w:hint="eastAsia" w:ascii="Times New Roman" w:hAnsi="Times New Roman" w:cs="仿宋_GB2312"/>
          <w:szCs w:val="30"/>
        </w:rPr>
        <w:t>居民身份证：5134231993</w:t>
      </w:r>
      <w:r>
        <w:rPr>
          <w:rFonts w:hint="eastAsia" w:ascii="Times New Roman" w:hAnsi="Times New Roman" w:cs="仿宋_GB2312"/>
          <w:szCs w:val="30"/>
          <w:lang w:val="en-US" w:eastAsia="zh-CN"/>
        </w:rPr>
        <w:t>********</w:t>
      </w:r>
    </w:p>
    <w:p w14:paraId="33AB9509">
      <w:pPr>
        <w:pStyle w:val="13"/>
        <w:spacing w:line="600" w:lineRule="exact"/>
        <w:ind w:firstLine="640" w:firstLineChars="200"/>
        <w:rPr>
          <w:rFonts w:hint="default" w:ascii="Times New Roman" w:hAnsi="Times New Roman" w:eastAsia="仿宋_GB2312" w:cs="仿宋_GB2312"/>
          <w:szCs w:val="30"/>
          <w:lang w:val="en-US" w:eastAsia="zh-CN"/>
        </w:rPr>
      </w:pPr>
      <w:r>
        <w:rPr>
          <w:rStyle w:val="24"/>
          <w:rFonts w:hint="eastAsia" w:ascii="Times New Roman" w:hAnsi="Times New Roman"/>
        </w:rPr>
        <w:t>住址</w:t>
      </w:r>
      <w:r>
        <w:rPr>
          <w:rFonts w:hint="eastAsia" w:ascii="Times New Roman" w:hAnsi="Times New Roman" w:cs="仿宋_GB2312"/>
          <w:szCs w:val="30"/>
        </w:rPr>
        <w:t>：四川省凉山彝族自治州</w:t>
      </w:r>
      <w:r>
        <w:rPr>
          <w:rFonts w:hint="eastAsia" w:ascii="Times New Roman" w:hAnsi="Times New Roman" w:cs="仿宋_GB2312"/>
          <w:szCs w:val="30"/>
          <w:lang w:val="en-US" w:eastAsia="zh-CN"/>
        </w:rPr>
        <w:t>******</w:t>
      </w:r>
    </w:p>
    <w:p w14:paraId="2E37A6B9">
      <w:pPr>
        <w:keepNext w:val="0"/>
        <w:keepLines w:val="0"/>
        <w:pageBreakBefore w:val="0"/>
        <w:widowControl w:val="0"/>
        <w:kinsoku/>
        <w:overflowPunct/>
        <w:topLinePunct w:val="0"/>
        <w:autoSpaceDE/>
        <w:autoSpaceDN/>
        <w:bidi w:val="0"/>
        <w:adjustRightInd/>
        <w:snapToGrid/>
        <w:spacing w:line="600" w:lineRule="exact"/>
        <w:ind w:firstLine="640" w:firstLineChars="200"/>
        <w:jc w:val="both"/>
        <w:textAlignment w:val="auto"/>
        <w:rPr>
          <w:rFonts w:ascii="Times New Roman" w:hAnsi="Times New Roman" w:cs="仿宋_GB2312"/>
          <w:szCs w:val="32"/>
        </w:rPr>
      </w:pPr>
      <w:r>
        <w:rPr>
          <w:rFonts w:ascii="Times New Roman" w:hAnsi="Times New Roman" w:cs="Times New Roman"/>
          <w:szCs w:val="32"/>
        </w:rPr>
        <w:t>本机关（单位）</w:t>
      </w:r>
      <w:r>
        <w:rPr>
          <w:rFonts w:hint="eastAsia" w:ascii="Times New Roman" w:hAnsi="Times New Roman" w:cs="Times New Roman"/>
          <w:szCs w:val="32"/>
        </w:rPr>
        <w:t>于2026年2月9日对</w:t>
      </w:r>
      <w:r>
        <w:rPr>
          <w:rFonts w:hint="eastAsia" w:ascii="Times New Roman" w:hAnsi="Times New Roman" w:cs="Times New Roman"/>
          <w:szCs w:val="32"/>
          <w:lang w:val="en-US" w:eastAsia="zh-CN"/>
        </w:rPr>
        <w:t>当事人</w:t>
      </w:r>
      <w:r>
        <w:rPr>
          <w:rFonts w:hint="eastAsia" w:ascii="Times New Roman" w:hAnsi="Times New Roman" w:cs="Times New Roman"/>
          <w:szCs w:val="32"/>
        </w:rPr>
        <w:t>涉嫌未取得施工劳务资质承揽工程立案调查</w:t>
      </w:r>
      <w:r>
        <w:rPr>
          <w:rFonts w:hint="eastAsia" w:ascii="Times New Roman" w:hAnsi="Times New Roman" w:cs="仿宋_GB2312"/>
          <w:szCs w:val="32"/>
        </w:rPr>
        <w:t>。经调查，</w:t>
      </w:r>
      <w:r>
        <w:rPr>
          <w:rFonts w:ascii="Times New Roman" w:hAnsi="Times New Roman" w:cs="仿宋_GB2312"/>
          <w:szCs w:val="32"/>
        </w:rPr>
        <w:t>中山市看守所扩建项目的发包人为中山市代建项目管理办公室，该办公室将中山市看守所扩建项目发包给中建三局第一建设工程有限责任公司（联合体牵头单位）、恒河建设有限公司（联合成员单位）。2023年，恒河建设有限公司与广东盈润建设有限公司签订《中山市看守所扩建项目消防安装工程施工合同》，由广东盈润建设有限公司对中山市看守所扩建项目消防安装工程采用包工包辅材的形式承包。恒河建设有限公司、广东盈润建设有限公司签订《中山市看守所扩建项目水电安装工程施工合同》（合同编号：</w:t>
      </w:r>
      <w:r>
        <w:rPr>
          <w:rFonts w:hint="eastAsia" w:ascii="Times New Roman" w:hAnsi="Times New Roman" w:cs="仿宋_GB2312"/>
          <w:szCs w:val="32"/>
          <w:lang w:val="en-US" w:eastAsia="zh-CN"/>
        </w:rPr>
        <w:t>***</w:t>
      </w:r>
      <w:r>
        <w:rPr>
          <w:rFonts w:ascii="Times New Roman" w:hAnsi="Times New Roman" w:cs="仿宋_GB2312"/>
          <w:szCs w:val="32"/>
        </w:rPr>
        <w:t>），由广东盈润建设有限公司对中山市看守所扩建项目水电安装工程采用包工包辅材的形式承包。2023年6月1日，广东盈润建设有限公司与中山市蓉昊建筑装饰工程有限公司签订《中山市看守所扩建项目机电安装工程施工合同》（合同编号：</w:t>
      </w:r>
      <w:r>
        <w:rPr>
          <w:rFonts w:hint="eastAsia" w:ascii="Times New Roman" w:hAnsi="Times New Roman" w:cs="仿宋_GB2312"/>
          <w:szCs w:val="32"/>
          <w:lang w:val="en-US" w:eastAsia="zh-CN"/>
        </w:rPr>
        <w:t>***</w:t>
      </w:r>
      <w:r>
        <w:rPr>
          <w:rFonts w:ascii="Times New Roman" w:hAnsi="Times New Roman" w:cs="仿宋_GB2312"/>
          <w:szCs w:val="32"/>
        </w:rPr>
        <w:t>），合同约定由中山市蓉昊建筑装饰工程有限公司采用单包工的形式承包中山市看守所扩建项目给排水、电气、消防安装工程，合同暂定金额为3736089.32元。</w:t>
      </w:r>
    </w:p>
    <w:p w14:paraId="1927C974">
      <w:pPr>
        <w:keepNext w:val="0"/>
        <w:keepLines w:val="0"/>
        <w:pageBreakBefore w:val="0"/>
        <w:widowControl w:val="0"/>
        <w:kinsoku/>
        <w:overflowPunct/>
        <w:topLinePunct w:val="0"/>
        <w:autoSpaceDE/>
        <w:autoSpaceDN/>
        <w:bidi w:val="0"/>
        <w:adjustRightInd/>
        <w:snapToGrid/>
        <w:spacing w:line="600" w:lineRule="exact"/>
        <w:ind w:firstLine="640" w:firstLineChars="200"/>
        <w:jc w:val="both"/>
        <w:textAlignment w:val="auto"/>
        <w:rPr>
          <w:rFonts w:ascii="Times New Roman" w:hAnsi="Times New Roman" w:cs="仿宋_GB2312"/>
          <w:szCs w:val="32"/>
        </w:rPr>
      </w:pPr>
      <w:r>
        <w:rPr>
          <w:rFonts w:ascii="Times New Roman" w:hAnsi="Times New Roman" w:cs="仿宋_GB2312"/>
          <w:szCs w:val="32"/>
        </w:rPr>
        <w:t>经查询广东省建设行业数据开放平台，中山市蓉昊建筑装饰工程有限公司未取得施工劳务资质。</w:t>
      </w:r>
      <w:r>
        <w:rPr>
          <w:rFonts w:hint="eastAsia" w:ascii="Times New Roman" w:hAnsi="Times New Roman" w:cs="仿宋_GB2312"/>
          <w:szCs w:val="32"/>
          <w:lang w:eastAsia="zh-CN"/>
        </w:rPr>
        <w:t>当事人</w:t>
      </w:r>
      <w:r>
        <w:rPr>
          <w:rFonts w:ascii="Times New Roman" w:hAnsi="Times New Roman" w:cs="仿宋_GB2312"/>
          <w:szCs w:val="32"/>
        </w:rPr>
        <w:t>承认广东盈润建设有限公司把中山市看守所扩建项目水电消防安装工程劳务分包给中山市蓉昊建筑装饰工程有限公司，</w:t>
      </w:r>
      <w:r>
        <w:rPr>
          <w:rFonts w:hint="eastAsia" w:ascii="Times New Roman" w:hAnsi="Times New Roman" w:cs="仿宋_GB2312"/>
          <w:szCs w:val="32"/>
          <w:lang w:eastAsia="zh-CN"/>
        </w:rPr>
        <w:t>当事人</w:t>
      </w:r>
      <w:r>
        <w:rPr>
          <w:rFonts w:ascii="Times New Roman" w:hAnsi="Times New Roman" w:cs="仿宋_GB2312"/>
          <w:szCs w:val="32"/>
        </w:rPr>
        <w:t>是上述项目的班组负责人。广东盈润建设有限公司的受托人也表示该公司将涉案项目劳务分包给中山市蓉昊建筑装饰工程有限公司。在广东盈润建设有限公司与中山市蓉昊建筑装饰工程有限公司签订的《中山市看守所扩建项目机电安装工程施工合同》（合同编号：</w:t>
      </w:r>
      <w:r>
        <w:rPr>
          <w:rFonts w:hint="eastAsia" w:ascii="Times New Roman" w:hAnsi="Times New Roman" w:cs="仿宋_GB2312"/>
          <w:szCs w:val="32"/>
          <w:lang w:val="en-US" w:eastAsia="zh-CN"/>
        </w:rPr>
        <w:t>***</w:t>
      </w:r>
      <w:r>
        <w:rPr>
          <w:rFonts w:ascii="Times New Roman" w:hAnsi="Times New Roman" w:cs="仿宋_GB2312"/>
          <w:szCs w:val="32"/>
        </w:rPr>
        <w:t>）中，明确</w:t>
      </w:r>
      <w:r>
        <w:rPr>
          <w:rFonts w:hint="eastAsia" w:ascii="Times New Roman" w:hAnsi="Times New Roman" w:cs="仿宋_GB2312"/>
          <w:szCs w:val="32"/>
          <w:lang w:eastAsia="zh-CN"/>
        </w:rPr>
        <w:t>当事人</w:t>
      </w:r>
      <w:r>
        <w:rPr>
          <w:rFonts w:ascii="Times New Roman" w:hAnsi="Times New Roman" w:cs="仿宋_GB2312"/>
          <w:szCs w:val="32"/>
        </w:rPr>
        <w:t>为全权代表，负责涉案工程劳动力组织、施工、验收、移交等工程事宜及工程结算、收款和处理有关的经济事务等，全权负责与甲方现场协调、签字确认（含工程量的确认）等所有事宜。</w:t>
      </w:r>
    </w:p>
    <w:p w14:paraId="633AB6E0">
      <w:pPr>
        <w:keepNext w:val="0"/>
        <w:keepLines w:val="0"/>
        <w:pageBreakBefore w:val="0"/>
        <w:widowControl w:val="0"/>
        <w:kinsoku/>
        <w:overflowPunct/>
        <w:topLinePunct w:val="0"/>
        <w:autoSpaceDE/>
        <w:autoSpaceDN/>
        <w:bidi w:val="0"/>
        <w:adjustRightInd/>
        <w:snapToGrid/>
        <w:spacing w:line="600" w:lineRule="exact"/>
        <w:ind w:firstLine="640" w:firstLineChars="200"/>
        <w:jc w:val="both"/>
        <w:textAlignment w:val="auto"/>
        <w:rPr>
          <w:rFonts w:ascii="Times New Roman" w:hAnsi="Times New Roman" w:cs="仿宋_GB2312"/>
          <w:szCs w:val="32"/>
        </w:rPr>
      </w:pPr>
      <w:r>
        <w:rPr>
          <w:rFonts w:ascii="Times New Roman" w:hAnsi="Times New Roman" w:cs="仿宋_GB2312"/>
          <w:szCs w:val="32"/>
        </w:rPr>
        <w:t>为查清案件事实，本机关（单位）向中山市蓉昊建筑装饰工程有限公司、</w:t>
      </w:r>
      <w:r>
        <w:rPr>
          <w:rFonts w:hint="eastAsia" w:ascii="Times New Roman" w:hAnsi="Times New Roman" w:cs="仿宋_GB2312"/>
          <w:szCs w:val="32"/>
          <w:lang w:eastAsia="zh-CN"/>
        </w:rPr>
        <w:t>当事人</w:t>
      </w:r>
      <w:r>
        <w:rPr>
          <w:rFonts w:ascii="Times New Roman" w:hAnsi="Times New Roman" w:cs="仿宋_GB2312"/>
          <w:szCs w:val="32"/>
        </w:rPr>
        <w:t>送达了《协助调查通知书》，中山市蓉昊建筑装饰工程有限公司、</w:t>
      </w:r>
      <w:r>
        <w:rPr>
          <w:rFonts w:hint="eastAsia" w:ascii="Times New Roman" w:hAnsi="Times New Roman" w:cs="仿宋_GB2312"/>
          <w:szCs w:val="32"/>
          <w:lang w:eastAsia="zh-CN"/>
        </w:rPr>
        <w:t>当事人</w:t>
      </w:r>
      <w:r>
        <w:rPr>
          <w:rFonts w:ascii="Times New Roman" w:hAnsi="Times New Roman" w:cs="仿宋_GB2312"/>
          <w:szCs w:val="32"/>
        </w:rPr>
        <w:t>未配合案件调查。本机关（单位）向恒河建设有限公司的法定代表人、广东盈润建设有限公司的受托人制作了询问笔录，上述两个公司提供了涉案项目工人工资、材料款等资料接受调查。涉案工程没有完工、结算。现有证据无法证明中山市蓉昊建筑装饰工程有限公司无资质承揽工程获取了利润，违法所得无法认定。</w:t>
      </w:r>
    </w:p>
    <w:p w14:paraId="42F15B5C">
      <w:pPr>
        <w:keepNext w:val="0"/>
        <w:keepLines w:val="0"/>
        <w:pageBreakBefore w:val="0"/>
        <w:widowControl w:val="0"/>
        <w:kinsoku/>
        <w:overflowPunct/>
        <w:topLinePunct w:val="0"/>
        <w:autoSpaceDE/>
        <w:autoSpaceDN/>
        <w:bidi w:val="0"/>
        <w:adjustRightInd/>
        <w:snapToGrid/>
        <w:spacing w:line="600" w:lineRule="exact"/>
        <w:ind w:firstLine="640" w:firstLineChars="200"/>
        <w:jc w:val="both"/>
        <w:textAlignment w:val="auto"/>
        <w:rPr>
          <w:rFonts w:ascii="Times New Roman" w:hAnsi="Times New Roman" w:cs="仿宋_GB2312"/>
          <w:szCs w:val="32"/>
        </w:rPr>
      </w:pPr>
      <w:r>
        <w:rPr>
          <w:rFonts w:ascii="Times New Roman" w:hAnsi="Times New Roman" w:cs="仿宋_GB2312"/>
          <w:szCs w:val="32"/>
        </w:rPr>
        <w:t>以上事实有《建设工程施工合同》（合同编号：</w:t>
      </w:r>
      <w:r>
        <w:rPr>
          <w:rFonts w:hint="eastAsia" w:ascii="Times New Roman" w:hAnsi="Times New Roman" w:cs="仿宋_GB2312"/>
          <w:szCs w:val="32"/>
          <w:lang w:val="en-US" w:eastAsia="zh-CN"/>
        </w:rPr>
        <w:t>***</w:t>
      </w:r>
      <w:r>
        <w:rPr>
          <w:rFonts w:ascii="Times New Roman" w:hAnsi="Times New Roman" w:cs="仿宋_GB2312"/>
          <w:szCs w:val="32"/>
        </w:rPr>
        <w:t>）、《中山市看守所扩建项目消防安装工程施工合同》（2023年签订）、《中山市看守所扩建项目水电安装工程施工合同》（合同编号：</w:t>
      </w:r>
      <w:r>
        <w:rPr>
          <w:rFonts w:hint="eastAsia" w:ascii="Times New Roman" w:hAnsi="Times New Roman" w:cs="仿宋_GB2312"/>
          <w:szCs w:val="32"/>
          <w:lang w:val="en-US" w:eastAsia="zh-CN"/>
        </w:rPr>
        <w:t>***</w:t>
      </w:r>
      <w:r>
        <w:rPr>
          <w:rFonts w:ascii="Times New Roman" w:hAnsi="Times New Roman" w:cs="仿宋_GB2312"/>
          <w:szCs w:val="32"/>
        </w:rPr>
        <w:t>）、《中山市看守所扩建项目机电安装工程施工合同》（合同编号：</w:t>
      </w:r>
      <w:r>
        <w:rPr>
          <w:rFonts w:hint="eastAsia" w:ascii="Times New Roman" w:hAnsi="Times New Roman" w:cs="仿宋_GB2312"/>
          <w:szCs w:val="32"/>
          <w:lang w:val="en-US" w:eastAsia="zh-CN"/>
        </w:rPr>
        <w:t>***</w:t>
      </w:r>
      <w:r>
        <w:rPr>
          <w:rFonts w:ascii="Times New Roman" w:hAnsi="Times New Roman" w:cs="仿宋_GB2312"/>
          <w:szCs w:val="32"/>
        </w:rPr>
        <w:t>）、2025年9月2日中山市人力资源和社会保障局南区分局对</w:t>
      </w:r>
      <w:r>
        <w:rPr>
          <w:rFonts w:hint="eastAsia" w:ascii="Times New Roman" w:hAnsi="Times New Roman" w:cs="仿宋_GB2312"/>
          <w:szCs w:val="32"/>
          <w:lang w:eastAsia="zh-CN"/>
        </w:rPr>
        <w:t>当事人</w:t>
      </w:r>
      <w:r>
        <w:rPr>
          <w:rFonts w:ascii="Times New Roman" w:hAnsi="Times New Roman" w:cs="仿宋_GB2312"/>
          <w:szCs w:val="32"/>
        </w:rPr>
        <w:t>制作的调查笔录、中山市住房和城乡建设局对广东盈润建设有限公司的受托人张坤添制作的询问笔录、2025年10月30日中山市住房和城乡建设局对恒河建设有限公司的法定代表人尤应权制作的询问笔录、2025年12月29日、2026年4月13</w:t>
      </w:r>
      <w:r>
        <w:rPr>
          <w:rFonts w:hint="eastAsia" w:ascii="Times New Roman" w:hAnsi="Times New Roman" w:cs="仿宋_GB2312"/>
          <w:szCs w:val="32"/>
          <w:lang w:eastAsia="zh-CN"/>
        </w:rPr>
        <w:t>日</w:t>
      </w:r>
      <w:r>
        <w:rPr>
          <w:rFonts w:ascii="Times New Roman" w:hAnsi="Times New Roman" w:cs="仿宋_GB2312"/>
          <w:szCs w:val="32"/>
        </w:rPr>
        <w:t>、2026年4月21</w:t>
      </w:r>
      <w:r>
        <w:rPr>
          <w:rFonts w:hint="eastAsia" w:ascii="Times New Roman" w:hAnsi="Times New Roman" w:cs="仿宋_GB2312"/>
          <w:szCs w:val="32"/>
          <w:lang w:eastAsia="zh-CN"/>
        </w:rPr>
        <w:t>日</w:t>
      </w:r>
      <w:bookmarkStart w:id="1" w:name="_GoBack"/>
      <w:bookmarkEnd w:id="1"/>
      <w:r>
        <w:rPr>
          <w:rFonts w:ascii="Times New Roman" w:hAnsi="Times New Roman" w:cs="仿宋_GB2312"/>
          <w:szCs w:val="32"/>
        </w:rPr>
        <w:t>本机关（单位）对广东盈润建设有限公司的受托人张坤添制作的询问笔录、中山市住房和城乡建设局向中山市蓉昊建筑装饰工程有限公司送达的《协助调查通知书》、中山市代建项目管理办公室的《关于提供中山市看守所扩建项目证据材料复函》、中山市住房和城乡建设局的《关于中山市看守所扩建项目建筑违法行为案件的复函》、在广东省建设行业数据开放平台查询的中山市蓉昊建筑装饰工程有限公司取得建筑业企业资质情况截图、本机关（单位）向中山市蓉昊建筑装饰工程有限公司、</w:t>
      </w:r>
      <w:r>
        <w:rPr>
          <w:rFonts w:hint="eastAsia" w:ascii="Times New Roman" w:hAnsi="Times New Roman" w:cs="仿宋_GB2312"/>
          <w:szCs w:val="32"/>
          <w:lang w:eastAsia="zh-CN"/>
        </w:rPr>
        <w:t>当事人</w:t>
      </w:r>
      <w:r>
        <w:rPr>
          <w:rFonts w:ascii="Times New Roman" w:hAnsi="Times New Roman" w:cs="仿宋_GB2312"/>
          <w:szCs w:val="32"/>
        </w:rPr>
        <w:t>送达的《协助调查通知书》（粤中南区执城协调字〔2026〕13号）（粤中南区执城协调字〔2026〕14号）、2026年4月8日本机关（单位）对恒河建设有限公司的法定代表人尤应权制作的询问笔录、2026年4月8日恒河建设有限公司提供的《广东盈润建设有限公司水电班组支付明细》及证明资料、2026年4月8日恒河建设有限公司提供的《广东盈润建设有限公司消防班组支付明细》及证明资料、广东盈润建设有限公司于2026年4月13日确认的《协议书》、广东盈润建设有限公司提供的《看守所项目吴亮班组欠付工人工资表2023.6-2025.8》及支付款项银行回单、广东盈润建设有限公司提供的中国建设银行 企业网上银行交易明细及中国农业银行《网上银行电子回单》、恒河建设有限公司提供的《广东盈润建设有限公司水电班组扣款明细》《广东盈润建设有限公司消防班组扣款明细》及证明资料、广东盈润建设有限公司提供的采购材料明细及支付款项银行回单、本机关（单位）向恒河建设有限公司送达的《协助调查通知书》（粤中南区执城协调字〔2026〕34号）、本机关（单位）向广东盈润建设有限公司送达的《协助调查通知书》（粤中南区执城协调字〔2026〕33号）、中山市住房和城乡建设局的《关于认定中山市看守所扩建项目有关违法行为裁量档次及违法情节和后果的复函》、中山市蓉昊建筑装饰工程有限公司违法次数查询截图、中山市蓉昊建筑装饰工程有限公司的《企业机读档案登记资料》、在国家企业信用信息公示系统查询的中山市蓉昊建筑装饰工程有限公司登记信息、</w:t>
      </w:r>
      <w:r>
        <w:rPr>
          <w:rFonts w:hint="eastAsia" w:ascii="Times New Roman" w:hAnsi="Times New Roman" w:cs="仿宋_GB2312"/>
          <w:szCs w:val="32"/>
          <w:lang w:eastAsia="zh-CN"/>
        </w:rPr>
        <w:t>当事人</w:t>
      </w:r>
      <w:r>
        <w:rPr>
          <w:rFonts w:ascii="Times New Roman" w:hAnsi="Times New Roman" w:cs="仿宋_GB2312"/>
          <w:szCs w:val="32"/>
        </w:rPr>
        <w:t>的身份证复印件、恒河建设有限公司的营业执照复印件、建筑企业资质证书（证书编号：</w:t>
      </w:r>
      <w:r>
        <w:rPr>
          <w:rFonts w:hint="eastAsia" w:ascii="Times New Roman" w:hAnsi="Times New Roman" w:cs="仿宋_GB2312"/>
          <w:szCs w:val="32"/>
          <w:lang w:val="en-US" w:eastAsia="zh-CN"/>
        </w:rPr>
        <w:t>***</w:t>
      </w:r>
      <w:r>
        <w:rPr>
          <w:rFonts w:ascii="Times New Roman" w:hAnsi="Times New Roman" w:cs="仿宋_GB2312"/>
          <w:szCs w:val="32"/>
        </w:rPr>
        <w:t>）、恒河建设有限公司的法定代表人身份证复印件、广东盈润建设有限公司的营业执照复印件、法定代表人覃国祥及受托人张坤添身份证复印件、广东盈润建设有限公司出具的《授权委托书》等证据证实。</w:t>
      </w:r>
    </w:p>
    <w:p w14:paraId="3AEACD9F">
      <w:pPr>
        <w:keepNext w:val="0"/>
        <w:keepLines w:val="0"/>
        <w:pageBreakBefore w:val="0"/>
        <w:widowControl w:val="0"/>
        <w:kinsoku/>
        <w:overflowPunct/>
        <w:topLinePunct w:val="0"/>
        <w:autoSpaceDE/>
        <w:autoSpaceDN/>
        <w:bidi w:val="0"/>
        <w:adjustRightInd/>
        <w:snapToGrid/>
        <w:spacing w:line="600" w:lineRule="exact"/>
        <w:ind w:firstLine="640" w:firstLineChars="200"/>
        <w:jc w:val="both"/>
        <w:textAlignment w:val="auto"/>
        <w:rPr>
          <w:rFonts w:ascii="Times New Roman" w:hAnsi="Times New Roman" w:cs="仿宋_GB2312"/>
          <w:szCs w:val="32"/>
        </w:rPr>
      </w:pPr>
      <w:r>
        <w:rPr>
          <w:rFonts w:hint="default" w:ascii="Times New Roman" w:hAnsi="Times New Roman" w:eastAsia="仿宋_GB2312" w:cs="仿宋_GB2312"/>
          <w:kern w:val="2"/>
          <w:sz w:val="32"/>
          <w:szCs w:val="30"/>
          <w:lang w:val="en-US" w:eastAsia="zh-CN" w:bidi="ar-SA"/>
        </w:rPr>
        <w:t>中山市蓉昊建筑装饰工程有限公司的上述行为违反了《中华人民共和国建筑法》第二十六条第一款“承包建筑工程的单位应当持有依法取得的资质证书，并在其资质等级许可的业务范围内承揽工程”、《建设工程质量管理条例》第二十五条第一款“施工单位应当依法取得相应等级的资质证书，并在其资质等级许可的范围内承揽工程”的规定。</w:t>
      </w:r>
    </w:p>
    <w:p w14:paraId="5CDF2AA5">
      <w:pPr>
        <w:keepNext w:val="0"/>
        <w:keepLines w:val="0"/>
        <w:pageBreakBefore w:val="0"/>
        <w:widowControl w:val="0"/>
        <w:kinsoku/>
        <w:wordWrap w:val="0"/>
        <w:overflowPunct/>
        <w:topLinePunct w:val="0"/>
        <w:autoSpaceDE/>
        <w:autoSpaceDN/>
        <w:bidi w:val="0"/>
        <w:adjustRightInd/>
        <w:snapToGrid/>
        <w:spacing w:line="600" w:lineRule="exact"/>
        <w:ind w:firstLine="640" w:firstLineChars="200"/>
        <w:jc w:val="both"/>
        <w:textAlignment w:val="auto"/>
        <w:rPr>
          <w:rFonts w:ascii="Times New Roman" w:hAnsi="Times New Roman"/>
        </w:rPr>
      </w:pPr>
      <w:r>
        <w:rPr>
          <w:rFonts w:ascii="Times New Roman" w:hAnsi="Times New Roman" w:cs="Times New Roman"/>
          <w:szCs w:val="32"/>
        </w:rPr>
        <w:t>本机关（单位）</w:t>
      </w:r>
      <w:r>
        <w:rPr>
          <w:rFonts w:hint="eastAsia" w:ascii="Times New Roman" w:hAnsi="Times New Roman" w:cs="仿宋_GB2312"/>
          <w:szCs w:val="32"/>
        </w:rPr>
        <w:t>于2026年8月</w:t>
      </w:r>
      <w:r>
        <w:rPr>
          <w:rFonts w:hint="eastAsia" w:ascii="Times New Roman" w:hAnsi="Times New Roman" w:cs="仿宋_GB2312"/>
          <w:szCs w:val="32"/>
          <w:lang w:val="en-US" w:eastAsia="zh-CN"/>
        </w:rPr>
        <w:t>20</w:t>
      </w:r>
      <w:r>
        <w:rPr>
          <w:rFonts w:hint="eastAsia" w:ascii="Times New Roman" w:hAnsi="Times New Roman" w:cs="仿宋_GB2312"/>
          <w:szCs w:val="32"/>
        </w:rPr>
        <w:t>日向</w:t>
      </w:r>
      <w:r>
        <w:rPr>
          <w:rFonts w:hint="eastAsia" w:ascii="Times New Roman" w:hAnsi="Times New Roman" w:cs="仿宋_GB2312"/>
          <w:szCs w:val="32"/>
          <w:lang w:val="en-US" w:eastAsia="zh-CN"/>
        </w:rPr>
        <w:t>当事人</w:t>
      </w:r>
      <w:r>
        <w:rPr>
          <w:rFonts w:hint="eastAsia" w:ascii="Times New Roman" w:hAnsi="Times New Roman" w:cs="仿宋_GB2312"/>
          <w:szCs w:val="32"/>
        </w:rPr>
        <w:t>送达了《行政处罚听证告知书》告知了拟作出的行政处罚内容及事实、理由、依据，告知依法享有的陈述、申辩权利，并告知</w:t>
      </w:r>
      <w:r>
        <w:rPr>
          <w:rFonts w:hint="eastAsia" w:ascii="Times New Roman" w:hAnsi="Times New Roman" w:cs="仿宋_GB2312"/>
          <w:szCs w:val="32"/>
          <w:lang w:val="en-US" w:eastAsia="zh-CN"/>
        </w:rPr>
        <w:t>当事人</w:t>
      </w:r>
      <w:r>
        <w:rPr>
          <w:rFonts w:hint="eastAsia" w:ascii="Times New Roman" w:hAnsi="Times New Roman" w:cs="仿宋_GB2312"/>
          <w:szCs w:val="32"/>
        </w:rPr>
        <w:t>依法享有的要求听证权利，对此，</w:t>
      </w:r>
      <w:r>
        <w:rPr>
          <w:rStyle w:val="7"/>
          <w:rFonts w:hint="eastAsia" w:ascii="Times New Roman" w:hAnsi="Times New Roman"/>
          <w:sz w:val="32"/>
          <w:szCs w:val="22"/>
          <w:lang w:val="en-US" w:eastAsia="zh-CN"/>
        </w:rPr>
        <w:t>当事人</w:t>
      </w:r>
      <w:r>
        <w:rPr>
          <w:rStyle w:val="7"/>
          <w:rFonts w:ascii="Times New Roman" w:hAnsi="Times New Roman"/>
          <w:sz w:val="32"/>
          <w:szCs w:val="22"/>
        </w:rPr>
        <w:t>未作陈述、申辩，且未提出听证申请。</w:t>
      </w:r>
      <w:r>
        <w:rPr>
          <w:rStyle w:val="7"/>
          <w:rFonts w:ascii="Times New Roman" w:hAnsi="Times New Roman"/>
          <w:sz w:val="32"/>
          <w:u w:color="auto"/>
        </w:rPr>
        <w:cr/>
      </w:r>
      <w:r>
        <w:rPr>
          <w:rStyle w:val="7"/>
          <w:rFonts w:ascii="Times New Roman" w:hAnsi="Times New Roman"/>
          <w:sz w:val="32"/>
          <w:u w:color="auto"/>
        </w:rPr>
        <w:t>　　</w:t>
      </w:r>
      <w:r>
        <w:rPr>
          <w:rFonts w:hint="default" w:ascii="Times New Roman" w:hAnsi="Times New Roman" w:eastAsia="仿宋_GB2312" w:cs="仿宋_GB2312"/>
          <w:kern w:val="2"/>
          <w:sz w:val="32"/>
          <w:szCs w:val="30"/>
          <w:lang w:val="en-US" w:eastAsia="zh-CN" w:bidi="ar-SA"/>
        </w:rPr>
        <w:t>根据《中华人民共和国建筑法》第六十五条第三款“未取得资质证书承揽工程的，予以取缔，并处罚款；有违法所得的，予以没收”、《建设工程质量管理条例》第六十条第一款、第二款“违反本条例规定，勘察、设计、施工、工程监理单位超越本单位资质等级承揽工程的，责令停止违法行为，对勘察、设计单位或者工程监理单位处合同约定的勘察费、设计费或者监理酬金1倍以上2倍以下的罚款；对施工单位处工程合同价款2%以上4%以下的罚款，可以责令停业整顿，降低资质等级；情节严重的，吊销资质证书；有违法所得的，予以没收。未取得资质证书承揽工程的，予以取缔，依照前款规定处以罚款；有违法所得的，予以没收”、第七十三条“依照本条例规定，给予单位罚款处罚的，对单位直接负责的主管人员和其他直接责任人员处单位罚款数额百分之五以上百分之十以下的罚款”的规定，按照</w:t>
      </w:r>
      <w:r>
        <w:rPr>
          <w:rFonts w:hint="eastAsia" w:ascii="Times New Roman" w:hAnsi="Times New Roman" w:cs="仿宋_GB2312"/>
          <w:kern w:val="2"/>
          <w:sz w:val="32"/>
          <w:szCs w:val="30"/>
          <w:lang w:val="en-US" w:eastAsia="zh-CN" w:bidi="ar-SA"/>
        </w:rPr>
        <w:t>当事人</w:t>
      </w:r>
      <w:r>
        <w:rPr>
          <w:rFonts w:hint="default" w:ascii="Times New Roman" w:hAnsi="Times New Roman" w:eastAsia="仿宋_GB2312" w:cs="仿宋_GB2312"/>
          <w:kern w:val="2"/>
          <w:sz w:val="32"/>
          <w:szCs w:val="30"/>
          <w:lang w:val="en-US" w:eastAsia="zh-CN" w:bidi="ar-SA"/>
        </w:rPr>
        <w:t>的违法事实、性质、情节和社会危害程度，参照《广东省住房和城乡建设系统行政处罚自由裁量权基准》（工程建设与建筑业类）（2020年版）第三部分工程质量类《建设工程质量管理条例》B301.60.2（序号196），确定</w:t>
      </w:r>
      <w:r>
        <w:rPr>
          <w:rFonts w:hint="eastAsia" w:ascii="Times New Roman" w:hAnsi="Times New Roman" w:cs="仿宋_GB2312"/>
          <w:kern w:val="2"/>
          <w:sz w:val="32"/>
          <w:szCs w:val="30"/>
          <w:lang w:val="en-US" w:eastAsia="zh-CN" w:bidi="ar-SA"/>
        </w:rPr>
        <w:t>当事人</w:t>
      </w:r>
      <w:r>
        <w:rPr>
          <w:rFonts w:hint="default" w:ascii="Times New Roman" w:hAnsi="Times New Roman" w:eastAsia="仿宋_GB2312" w:cs="仿宋_GB2312"/>
          <w:kern w:val="2"/>
          <w:sz w:val="32"/>
          <w:szCs w:val="30"/>
          <w:lang w:val="en-US" w:eastAsia="zh-CN" w:bidi="ar-SA"/>
        </w:rPr>
        <w:t>违法行为适用的行政处罚裁量等次为一般。</w:t>
      </w:r>
      <w:r>
        <w:rPr>
          <w:rStyle w:val="7"/>
          <w:rFonts w:ascii="Times New Roman" w:hAnsi="Times New Roman"/>
          <w:sz w:val="32"/>
          <w:u w:color="auto"/>
        </w:rPr>
        <w:t>本机关（单位）决定对</w:t>
      </w:r>
      <w:r>
        <w:rPr>
          <w:rStyle w:val="7"/>
          <w:rFonts w:hint="eastAsia" w:ascii="Times New Roman" w:hAnsi="Times New Roman"/>
          <w:sz w:val="32"/>
          <w:u w:color="auto"/>
          <w:lang w:val="en-US" w:eastAsia="zh-CN"/>
        </w:rPr>
        <w:t>当事人</w:t>
      </w:r>
      <w:r>
        <w:rPr>
          <w:rStyle w:val="7"/>
          <w:rFonts w:ascii="Times New Roman" w:hAnsi="Times New Roman"/>
          <w:sz w:val="32"/>
          <w:u w:color="auto"/>
        </w:rPr>
        <w:t>作出如下行政处罚：</w:t>
      </w:r>
      <w:r>
        <w:rPr>
          <w:rFonts w:hint="default" w:ascii="Times New Roman" w:hAnsi="Times New Roman" w:eastAsia="仿宋_GB2312" w:cs="仿宋_GB2312"/>
          <w:kern w:val="2"/>
          <w:sz w:val="32"/>
          <w:szCs w:val="30"/>
          <w:lang w:val="en-US" w:eastAsia="zh-CN" w:bidi="ar-SA"/>
        </w:rPr>
        <w:t>处单位（中山市蓉昊建筑装饰工程有限公司）罚款数额（¥104610.5）7%的罚款，即罚款人民币柒仟叁佰贰拾贰元柒角叁分（¥7322.73）</w:t>
      </w:r>
      <w:r>
        <w:rPr>
          <w:rStyle w:val="7"/>
          <w:rFonts w:ascii="Times New Roman" w:hAnsi="Times New Roman"/>
          <w:sz w:val="32"/>
          <w:u w:color="auto"/>
        </w:rPr>
        <w:t>。</w:t>
      </w:r>
    </w:p>
    <w:p w14:paraId="228AD00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ascii="Times New Roman" w:hAnsi="Times New Roman" w:cs="仿宋_GB2312"/>
          <w:szCs w:val="32"/>
        </w:rPr>
      </w:pPr>
      <w:r>
        <w:rPr>
          <w:rFonts w:hint="eastAsia" w:ascii="Times New Roman" w:hAnsi="Times New Roman" w:cs="仿宋_GB2312"/>
          <w:szCs w:val="32"/>
          <w:lang w:val="en-US" w:eastAsia="zh-CN"/>
        </w:rPr>
        <w:t>当事人</w:t>
      </w:r>
      <w:r>
        <w:rPr>
          <w:rFonts w:hint="eastAsia" w:ascii="Times New Roman" w:hAnsi="Times New Roman" w:cs="仿宋_GB2312"/>
          <w:szCs w:val="32"/>
        </w:rPr>
        <w:t>应当自收到本决定书之日起15日内将罚款缴纳至《 广东省非税收入一般缴款书（电子）》缴款须知指定银行（详见 《广东省非税收入一般缴款书（电子）》）</w:t>
      </w:r>
      <w:r>
        <w:rPr>
          <w:rFonts w:hint="eastAsia" w:ascii="Times New Roman" w:hAnsi="Times New Roman" w:cs="仿宋_GB2312"/>
          <w:szCs w:val="32"/>
          <w:lang w:eastAsia="zh-CN"/>
        </w:rPr>
        <w:t>。</w:t>
      </w:r>
      <w:r>
        <w:rPr>
          <w:rFonts w:hint="eastAsia" w:ascii="Times New Roman" w:hAnsi="Times New Roman" w:cs="仿宋_GB2312"/>
          <w:szCs w:val="32"/>
        </w:rPr>
        <w:t>到期不缴纳罚款的，依据《中华人民共和国行政处罚法》第七十二条第一款第一项的规定，每日按罚款数额的3%加处罚款，加处罚款的数额不超出罚款的数额。</w:t>
      </w:r>
    </w:p>
    <w:p w14:paraId="28172F42">
      <w:pPr>
        <w:keepNext w:val="0"/>
        <w:keepLines w:val="0"/>
        <w:pageBreakBefore w:val="0"/>
        <w:widowControl w:val="0"/>
        <w:kinsoku/>
        <w:wordWrap w:val="0"/>
        <w:overflowPunct/>
        <w:topLinePunct w:val="0"/>
        <w:autoSpaceDE/>
        <w:autoSpaceDN/>
        <w:bidi w:val="0"/>
        <w:adjustRightInd/>
        <w:snapToGrid/>
        <w:spacing w:line="600" w:lineRule="exact"/>
        <w:ind w:firstLine="640" w:firstLineChars="200"/>
        <w:jc w:val="both"/>
        <w:textAlignment w:val="auto"/>
        <w:rPr>
          <w:rFonts w:ascii="Times New Roman" w:hAnsi="Times New Roman" w:cs="仿宋_GB2312"/>
          <w:szCs w:val="32"/>
        </w:rPr>
      </w:pPr>
      <w:r>
        <w:rPr>
          <w:rFonts w:hint="eastAsia" w:ascii="Times New Roman" w:hAnsi="Times New Roman" w:cs="仿宋_GB2312"/>
          <w:szCs w:val="32"/>
        </w:rPr>
        <w:t>如不服本行政处罚决定，可以自收到本决定书之日起</w:t>
      </w:r>
      <w:r>
        <w:rPr>
          <w:rFonts w:ascii="Times New Roman" w:hAnsi="Times New Roman" w:cs="仿宋_GB2312"/>
          <w:szCs w:val="32"/>
        </w:rPr>
        <w:t>60</w:t>
      </w:r>
      <w:r>
        <w:rPr>
          <w:rFonts w:hint="eastAsia" w:ascii="Times New Roman" w:hAnsi="Times New Roman" w:cs="仿宋_GB2312"/>
          <w:szCs w:val="32"/>
        </w:rPr>
        <w:t>日内向</w:t>
      </w:r>
      <w:r>
        <w:rPr>
          <w:rFonts w:ascii="Times New Roman" w:hAnsi="Times New Roman" w:cs="仿宋_GB2312"/>
          <w:szCs w:val="32"/>
        </w:rPr>
        <w:t>中山市人民政府行政复议办公室申请行政复议</w:t>
      </w:r>
      <w:r>
        <w:rPr>
          <w:rFonts w:hint="eastAsia" w:ascii="Times New Roman" w:hAnsi="Times New Roman" w:cs="仿宋_GB2312"/>
          <w:szCs w:val="32"/>
        </w:rPr>
        <w:t>，也可以自收到本决定书之日起</w:t>
      </w:r>
      <w:r>
        <w:rPr>
          <w:rFonts w:ascii="Times New Roman" w:hAnsi="Times New Roman" w:cs="仿宋_GB2312"/>
          <w:szCs w:val="32"/>
        </w:rPr>
        <w:t>6个月</w:t>
      </w:r>
      <w:r>
        <w:rPr>
          <w:rFonts w:hint="eastAsia" w:ascii="Times New Roman" w:hAnsi="Times New Roman" w:cs="仿宋_GB2312"/>
          <w:szCs w:val="32"/>
        </w:rPr>
        <w:t>内向</w:t>
      </w:r>
      <w:r>
        <w:rPr>
          <w:rFonts w:ascii="Times New Roman" w:hAnsi="Times New Roman" w:cs="仿宋_GB2312"/>
          <w:szCs w:val="32"/>
        </w:rPr>
        <w:t>中山市第一人民法院</w:t>
      </w:r>
      <w:r>
        <w:rPr>
          <w:rFonts w:hint="eastAsia" w:ascii="Times New Roman" w:hAnsi="Times New Roman" w:cs="仿宋_GB2312"/>
          <w:szCs w:val="32"/>
        </w:rPr>
        <w:t>提起行政诉讼。逾期不申请行政复议，也不提起行政诉讼，又不履行本决定的，</w:t>
      </w:r>
      <w:r>
        <w:rPr>
          <w:rFonts w:ascii="Times New Roman" w:hAnsi="Times New Roman" w:cs="仿宋_GB2312"/>
          <w:szCs w:val="32"/>
        </w:rPr>
        <w:t>本机关（单位）将依法申请人民法院强制执行</w:t>
      </w:r>
      <w:r>
        <w:rPr>
          <w:rFonts w:hint="eastAsia" w:ascii="Times New Roman" w:hAnsi="Times New Roman" w:cs="仿宋_GB2312"/>
          <w:szCs w:val="32"/>
        </w:rPr>
        <w:t xml:space="preserve">。    </w:t>
      </w:r>
    </w:p>
    <w:p w14:paraId="1C7CB744">
      <w:pPr>
        <w:keepNext w:val="0"/>
        <w:keepLines w:val="0"/>
        <w:pageBreakBefore w:val="0"/>
        <w:widowControl w:val="0"/>
        <w:kinsoku/>
        <w:wordWrap w:val="0"/>
        <w:overflowPunct/>
        <w:topLinePunct w:val="0"/>
        <w:autoSpaceDE/>
        <w:autoSpaceDN/>
        <w:bidi w:val="0"/>
        <w:adjustRightInd/>
        <w:snapToGrid/>
        <w:spacing w:line="600" w:lineRule="exact"/>
        <w:ind w:firstLine="640" w:firstLineChars="200"/>
        <w:jc w:val="both"/>
        <w:textAlignment w:val="auto"/>
        <w:rPr>
          <w:rFonts w:ascii="Times New Roman" w:hAnsi="Times New Roman" w:cs="仿宋_GB2312"/>
          <w:szCs w:val="32"/>
        </w:rPr>
      </w:pPr>
    </w:p>
    <w:p w14:paraId="778F7FB2">
      <w:pPr>
        <w:wordWrap w:val="0"/>
        <w:spacing w:line="600" w:lineRule="exact"/>
        <w:ind w:firstLine="6080" w:firstLineChars="1900"/>
        <w:rPr>
          <w:rFonts w:ascii="Times New Roman" w:hAnsi="Times New Roman" w:cs="仿宋_GB2312"/>
          <w:szCs w:val="32"/>
        </w:rPr>
      </w:pPr>
    </w:p>
    <w:p w14:paraId="358A0FAA">
      <w:pPr>
        <w:pStyle w:val="39"/>
        <w:ind w:right="960" w:rightChars="300" w:firstLine="0" w:firstLineChars="0"/>
        <w:jc w:val="right"/>
      </w:pPr>
      <w:r>
        <w:rPr>
          <w:rFonts w:hint="eastAsia"/>
        </w:rPr>
        <w:t>中山市人民政府南区街道办事处</w:t>
      </w:r>
    </w:p>
    <w:p w14:paraId="4D42AB21">
      <w:pPr>
        <w:pStyle w:val="39"/>
        <w:ind w:right="960" w:rightChars="300" w:firstLine="4160" w:firstLineChars="1300"/>
        <w:jc w:val="both"/>
      </w:pPr>
      <w:bookmarkStart w:id="0" w:name="seal_time"/>
      <w:r>
        <w:rPr>
          <w:rFonts w:hint="eastAsia"/>
          <w:lang w:val="en-US" w:eastAsia="zh-CN"/>
        </w:rPr>
        <w:t>2026</w:t>
      </w:r>
      <w:r>
        <w:rPr>
          <w:rFonts w:hint="eastAsia"/>
        </w:rPr>
        <w:t>年</w:t>
      </w:r>
      <w:r>
        <w:rPr>
          <w:rFonts w:hint="eastAsia"/>
          <w:lang w:val="en-US" w:eastAsia="zh-CN"/>
        </w:rPr>
        <w:t>8</w:t>
      </w:r>
      <w:r>
        <w:rPr>
          <w:rFonts w:hint="eastAsia"/>
        </w:rPr>
        <w:t>月</w:t>
      </w:r>
      <w:r>
        <w:rPr>
          <w:rFonts w:hint="eastAsia"/>
          <w:lang w:val="en-US" w:eastAsia="zh-CN"/>
        </w:rPr>
        <w:t>29</w:t>
      </w:r>
      <w:r>
        <w:rPr>
          <w:rFonts w:hint="eastAsia"/>
        </w:rPr>
        <w:t>日</w:t>
      </w:r>
      <w:bookmarkEnd w:id="0"/>
    </w:p>
    <w:sectPr>
      <w:footerReference r:id="rId3" w:type="default"/>
      <w:pgSz w:w="11906" w:h="16838"/>
      <w:pgMar w:top="2098" w:right="1474" w:bottom="1985" w:left="1588" w:header="851" w:footer="1417"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OpenSymbol"/>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OpenSymbol"/>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Noto Sans CJK SC"/>
    <w:panose1 w:val="02010600030101010101"/>
    <w:charset w:val="86"/>
    <w:family w:val="auto"/>
    <w:pitch w:val="default"/>
    <w:sig w:usb0="00000000" w:usb1="00000000" w:usb2="00000016" w:usb3="00000000" w:csb0="0004000F" w:csb1="00000000"/>
  </w:font>
  <w:font w:name="Noto Sans CJK SC">
    <w:panose1 w:val="020B0500000000000000"/>
    <w:charset w:val="86"/>
    <w:family w:val="auto"/>
    <w:pitch w:val="default"/>
    <w:sig w:usb0="30000083" w:usb1="2BDF3C10" w:usb2="00000016" w:usb3="00000000" w:csb0="602E0107" w:csb1="00000000"/>
  </w:font>
  <w:font w:name="等线">
    <w:altName w:val="Noto Sans CJK SC"/>
    <w:panose1 w:val="00000000000000000000"/>
    <w:charset w:val="86"/>
    <w:family w:val="auto"/>
    <w:pitch w:val="default"/>
    <w:sig w:usb0="00000000" w:usb1="00000000" w:usb2="00000000" w:usb3="00000000" w:csb0="00000000" w:csb1="00000000"/>
  </w:font>
  <w:font w:name="等线">
    <w:altName w:val="Noto Sans CJK SC"/>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C41AB">
    <w:pPr>
      <w:tabs>
        <w:tab w:val="right" w:pos="8960"/>
      </w:tabs>
      <w:spacing w:line="600" w:lineRule="exact"/>
      <w:jc w:val="left"/>
      <w:rPr>
        <w:rFonts w:ascii="仿宋_GB2312" w:hAnsi="仿宋_GB2312" w:cs="仿宋_GB2312"/>
        <w:szCs w:val="32"/>
      </w:rPr>
    </w:pPr>
    <w:r>
      <w:rPr>
        <w:rFonts w:hint="eastAsia" w:ascii="仿宋_GB2312" w:hAnsi="仿宋_GB2312" w:cs="仿宋_GB2312"/>
        <w:szCs w:val="32"/>
      </w:rPr>
      <w:t>受送达人：</w:t>
    </w:r>
    <w:r>
      <w:rPr>
        <w:rFonts w:ascii="Times New Roman" w:hAnsi="Times New Roman" w:cs="Times New Roman"/>
        <w:color w:val="FFFFFF" w:themeColor="background1"/>
        <w:sz w:val="10"/>
        <w:szCs w:val="10"/>
        <w14:textFill>
          <w14:solidFill>
            <w14:schemeClr w14:val="bg1"/>
          </w14:solidFill>
        </w14:textFill>
      </w:rPr>
      <w:t xml:space="preserve">   受送达人 1 粤信签                                            </w:t>
    </w:r>
    <w:r>
      <w:rPr>
        <w:rFonts w:hint="eastAsia" w:ascii="仿宋_GB2312" w:hAnsi="仿宋_GB2312" w:cs="仿宋_GB2312"/>
        <w:szCs w:val="32"/>
      </w:rPr>
      <w:tab/>
    </w:r>
    <w:r>
      <w:rPr>
        <w:rFonts w:hint="eastAsia" w:ascii="仿宋_GB2312" w:hAnsi="仿宋_GB2312" w:cs="仿宋_GB2312"/>
        <w:szCs w:val="32"/>
      </w:rPr>
      <w:t xml:space="preserve">年 </w:t>
    </w:r>
    <w:r>
      <w:rPr>
        <w:rFonts w:ascii="仿宋_GB2312" w:hAnsi="仿宋_GB2312" w:cs="仿宋_GB2312"/>
        <w:szCs w:val="32"/>
      </w:rPr>
      <w:t xml:space="preserve">  </w:t>
    </w:r>
    <w:r>
      <w:rPr>
        <w:rFonts w:hint="eastAsia" w:ascii="仿宋_GB2312" w:hAnsi="仿宋_GB2312" w:cs="仿宋_GB2312"/>
        <w:szCs w:val="32"/>
      </w:rPr>
      <w:t xml:space="preserve">月 </w:t>
    </w:r>
    <w:r>
      <w:rPr>
        <w:rFonts w:ascii="仿宋_GB2312" w:hAnsi="仿宋_GB2312" w:cs="仿宋_GB2312"/>
        <w:szCs w:val="32"/>
      </w:rPr>
      <w:t xml:space="preserve">  </w:t>
    </w:r>
    <w:r>
      <w:rPr>
        <w:rFonts w:hint="eastAsia" w:ascii="仿宋_GB2312" w:hAnsi="仿宋_GB2312" w:cs="仿宋_GB2312"/>
        <w:szCs w:val="32"/>
      </w:rPr>
      <w:t>日</w:t>
    </w:r>
  </w:p>
  <w:p w14:paraId="12000189">
    <w:pPr>
      <w:pStyle w:val="18"/>
      <w:rPr>
        <w:sz w:val="32"/>
      </w:rPr>
    </w:pPr>
    <w:r>
      <w:rPr>
        <w:rFonts w:hint="eastAsia"/>
        <w:sz w:val="32"/>
      </w:rPr>
      <w:t xml:space="preserve">第 </w:t>
    </w:r>
    <w:r>
      <w:rPr>
        <w:sz w:val="32"/>
      </w:rPr>
      <w:fldChar w:fldCharType="begin"/>
    </w:r>
    <w:r>
      <w:rPr>
        <w:sz w:val="32"/>
      </w:rPr>
      <w:instrText xml:space="preserve"> PAGE </w:instrText>
    </w:r>
    <w:r>
      <w:rPr>
        <w:sz w:val="32"/>
      </w:rPr>
      <w:fldChar w:fldCharType="separate"/>
    </w:r>
    <w:r>
      <w:rPr>
        <w:sz w:val="32"/>
      </w:rPr>
      <w:t>2</w:t>
    </w:r>
    <w:r>
      <w:rPr>
        <w:sz w:val="32"/>
      </w:rPr>
      <w:fldChar w:fldCharType="end"/>
    </w:r>
    <w:r>
      <w:rPr>
        <w:sz w:val="32"/>
      </w:rPr>
      <w:t xml:space="preserve"> </w:t>
    </w:r>
    <w:r>
      <w:rPr>
        <w:rFonts w:hint="eastAsia"/>
        <w:sz w:val="32"/>
      </w:rPr>
      <w:t xml:space="preserve">页，共 </w:t>
    </w:r>
    <w:r>
      <w:rPr>
        <w:sz w:val="32"/>
      </w:rPr>
      <w:fldChar w:fldCharType="begin"/>
    </w:r>
    <w:r>
      <w:rPr>
        <w:sz w:val="32"/>
      </w:rPr>
      <w:instrText xml:space="preserve"> NUMPAGES </w:instrText>
    </w:r>
    <w:r>
      <w:rPr>
        <w:sz w:val="32"/>
      </w:rPr>
      <w:fldChar w:fldCharType="separate"/>
    </w:r>
    <w:r>
      <w:rPr>
        <w:sz w:val="32"/>
      </w:rPr>
      <w:t>2</w:t>
    </w:r>
    <w:r>
      <w:rPr>
        <w:sz w:val="32"/>
      </w:rPr>
      <w:fldChar w:fldCharType="end"/>
    </w:r>
    <w:r>
      <w:rPr>
        <w:sz w:val="32"/>
      </w:rPr>
      <w:t xml:space="preserve"> 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U3MzBiNjgyMzEwY2U0ZjUyYzFkMWJlOGRiNWY5ODEifQ=="/>
    <w:docVar w:name="KSO_WPS_MARK_KEY" w:val="9686894a-8dfc-47cf-b4a7-9c11dee6ea88"/>
  </w:docVars>
  <w:rsids>
    <w:rsidRoot w:val="00D84071"/>
    <w:rsid w:val="0000102F"/>
    <w:rsid w:val="00020B1D"/>
    <w:rsid w:val="00044DBE"/>
    <w:rsid w:val="00051FB4"/>
    <w:rsid w:val="00090208"/>
    <w:rsid w:val="00092E8B"/>
    <w:rsid w:val="000E1BDD"/>
    <w:rsid w:val="000F41E2"/>
    <w:rsid w:val="001318CE"/>
    <w:rsid w:val="00150E5C"/>
    <w:rsid w:val="00181BFA"/>
    <w:rsid w:val="001970C3"/>
    <w:rsid w:val="00255527"/>
    <w:rsid w:val="00270E12"/>
    <w:rsid w:val="002A49EA"/>
    <w:rsid w:val="002B6D45"/>
    <w:rsid w:val="002D71FD"/>
    <w:rsid w:val="00317BFA"/>
    <w:rsid w:val="003310FA"/>
    <w:rsid w:val="00373E13"/>
    <w:rsid w:val="003E1099"/>
    <w:rsid w:val="003F3B00"/>
    <w:rsid w:val="00452C35"/>
    <w:rsid w:val="00462ABB"/>
    <w:rsid w:val="00463D35"/>
    <w:rsid w:val="00464D8C"/>
    <w:rsid w:val="00466574"/>
    <w:rsid w:val="004846C6"/>
    <w:rsid w:val="00495827"/>
    <w:rsid w:val="004A353B"/>
    <w:rsid w:val="004E4420"/>
    <w:rsid w:val="004F1031"/>
    <w:rsid w:val="00536141"/>
    <w:rsid w:val="00542663"/>
    <w:rsid w:val="005603ED"/>
    <w:rsid w:val="00560908"/>
    <w:rsid w:val="005B1B2E"/>
    <w:rsid w:val="005B1CF2"/>
    <w:rsid w:val="005D6F4C"/>
    <w:rsid w:val="00604304"/>
    <w:rsid w:val="006136B7"/>
    <w:rsid w:val="00616100"/>
    <w:rsid w:val="00663DE6"/>
    <w:rsid w:val="00672095"/>
    <w:rsid w:val="00696556"/>
    <w:rsid w:val="0069735F"/>
    <w:rsid w:val="006F1BBA"/>
    <w:rsid w:val="00707588"/>
    <w:rsid w:val="00717C61"/>
    <w:rsid w:val="007227C3"/>
    <w:rsid w:val="0075306C"/>
    <w:rsid w:val="007D6056"/>
    <w:rsid w:val="0084077F"/>
    <w:rsid w:val="0084767F"/>
    <w:rsid w:val="00851818"/>
    <w:rsid w:val="008545A8"/>
    <w:rsid w:val="0085791F"/>
    <w:rsid w:val="00862375"/>
    <w:rsid w:val="00882B2E"/>
    <w:rsid w:val="00883589"/>
    <w:rsid w:val="008A30AB"/>
    <w:rsid w:val="008A76C0"/>
    <w:rsid w:val="008D63F3"/>
    <w:rsid w:val="00915F78"/>
    <w:rsid w:val="0094606C"/>
    <w:rsid w:val="00985A64"/>
    <w:rsid w:val="00A0787D"/>
    <w:rsid w:val="00A23CCB"/>
    <w:rsid w:val="00A42A2C"/>
    <w:rsid w:val="00A44107"/>
    <w:rsid w:val="00A57B3E"/>
    <w:rsid w:val="00A7168B"/>
    <w:rsid w:val="00B67302"/>
    <w:rsid w:val="00B7772C"/>
    <w:rsid w:val="00B94806"/>
    <w:rsid w:val="00BC5EEB"/>
    <w:rsid w:val="00C032E9"/>
    <w:rsid w:val="00C17499"/>
    <w:rsid w:val="00C23878"/>
    <w:rsid w:val="00C26A5C"/>
    <w:rsid w:val="00C92A3A"/>
    <w:rsid w:val="00CD1CB6"/>
    <w:rsid w:val="00D23C46"/>
    <w:rsid w:val="00D25CC9"/>
    <w:rsid w:val="00D84071"/>
    <w:rsid w:val="00DC5B9B"/>
    <w:rsid w:val="00DD1B6E"/>
    <w:rsid w:val="00E64F85"/>
    <w:rsid w:val="00E83F85"/>
    <w:rsid w:val="00E9169C"/>
    <w:rsid w:val="00ED2807"/>
    <w:rsid w:val="00EE0983"/>
    <w:rsid w:val="00F1136E"/>
    <w:rsid w:val="00F5190A"/>
    <w:rsid w:val="00F674F7"/>
    <w:rsid w:val="00F8113F"/>
    <w:rsid w:val="00FB5725"/>
    <w:rsid w:val="00FC57D0"/>
    <w:rsid w:val="00FD1A52"/>
    <w:rsid w:val="00FE0537"/>
    <w:rsid w:val="00FE1903"/>
    <w:rsid w:val="00FF7212"/>
    <w:rsid w:val="13C12E92"/>
    <w:rsid w:val="17FF7892"/>
    <w:rsid w:val="1F9647B1"/>
    <w:rsid w:val="34867C7C"/>
    <w:rsid w:val="36C5446B"/>
    <w:rsid w:val="3E570712"/>
    <w:rsid w:val="47DE5926"/>
    <w:rsid w:val="516B231F"/>
    <w:rsid w:val="538005AF"/>
    <w:rsid w:val="551D6AD6"/>
    <w:rsid w:val="7EFDA0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HAnsi" w:hAnsiTheme="minorHAnsi" w:cstheme="minorBidi"/>
      <w:kern w:val="2"/>
      <w:sz w:val="32"/>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31"/>
    <w:semiHidden/>
    <w:unhideWhenUsed/>
    <w:qFormat/>
    <w:uiPriority w:val="0"/>
    <w:pPr>
      <w:jc w:val="left"/>
    </w:pPr>
    <w:rPr>
      <w:rFonts w:ascii="Times New Roman" w:hAnsi="Times New Roman" w:cs="Times New Roman"/>
      <w:szCs w:val="20"/>
    </w:rPr>
  </w:style>
  <w:style w:type="paragraph" w:styleId="3">
    <w:name w:val="footer"/>
    <w:basedOn w:val="1"/>
    <w:link w:val="32"/>
    <w:unhideWhenUsed/>
    <w:qFormat/>
    <w:uiPriority w:val="0"/>
    <w:pPr>
      <w:tabs>
        <w:tab w:val="center" w:pos="4153"/>
        <w:tab w:val="right" w:pos="8306"/>
      </w:tabs>
      <w:snapToGrid w:val="0"/>
      <w:jc w:val="left"/>
    </w:pPr>
    <w:rPr>
      <w:rFonts w:eastAsiaTheme="minorEastAsia"/>
      <w:sz w:val="18"/>
      <w:szCs w:val="18"/>
    </w:rPr>
  </w:style>
  <w:style w:type="paragraph" w:styleId="4">
    <w:name w:val="header"/>
    <w:basedOn w:val="1"/>
    <w:link w:val="34"/>
    <w:unhideWhenUsed/>
    <w:qFormat/>
    <w:uiPriority w:val="99"/>
    <w:pPr>
      <w:tabs>
        <w:tab w:val="center" w:pos="4153"/>
        <w:tab w:val="right" w:pos="8306"/>
      </w:tabs>
      <w:snapToGrid w:val="0"/>
      <w:jc w:val="center"/>
    </w:pPr>
    <w:rPr>
      <w:rFonts w:eastAsiaTheme="minorEastAsia"/>
      <w:sz w:val="18"/>
      <w:szCs w:val="18"/>
    </w:rPr>
  </w:style>
  <w:style w:type="character" w:styleId="7">
    <w:name w:val="annotation reference"/>
    <w:basedOn w:val="6"/>
    <w:semiHidden/>
    <w:unhideWhenUsed/>
    <w:qFormat/>
    <w:uiPriority w:val="99"/>
    <w:rPr>
      <w:sz w:val="21"/>
      <w:szCs w:val="21"/>
    </w:rPr>
  </w:style>
  <w:style w:type="character" w:customStyle="1" w:styleId="8">
    <w:name w:val="页眉 字符"/>
    <w:basedOn w:val="6"/>
    <w:link w:val="9"/>
    <w:qFormat/>
    <w:uiPriority w:val="99"/>
    <w:rPr>
      <w:sz w:val="18"/>
      <w:szCs w:val="18"/>
    </w:rPr>
  </w:style>
  <w:style w:type="paragraph" w:customStyle="1" w:styleId="9">
    <w:name w:val="footerc1fa60a2"/>
    <w:basedOn w:val="10"/>
    <w:link w:val="8"/>
    <w:unhideWhenUsed/>
    <w:qFormat/>
    <w:uiPriority w:val="99"/>
    <w:pPr>
      <w:tabs>
        <w:tab w:val="center" w:pos="4153"/>
        <w:tab w:val="right" w:pos="8306"/>
      </w:tabs>
      <w:snapToGrid w:val="0"/>
      <w:jc w:val="left"/>
    </w:pPr>
    <w:rPr>
      <w:sz w:val="18"/>
      <w:szCs w:val="18"/>
    </w:rPr>
  </w:style>
  <w:style w:type="paragraph" w:customStyle="1" w:styleId="10">
    <w:name w:val="Normal0692c0a4"/>
    <w:qFormat/>
    <w:uiPriority w:val="0"/>
    <w:pPr>
      <w:widowControl w:val="0"/>
      <w:jc w:val="both"/>
    </w:pPr>
    <w:rPr>
      <w:rFonts w:eastAsia="仿宋_GB2312" w:asciiTheme="minorHAnsi" w:hAnsiTheme="minorHAnsi" w:cstheme="minorBidi"/>
      <w:kern w:val="2"/>
      <w:sz w:val="32"/>
      <w:szCs w:val="22"/>
      <w:lang w:val="en-US" w:eastAsia="zh-CN" w:bidi="ar-SA"/>
    </w:rPr>
  </w:style>
  <w:style w:type="character" w:customStyle="1" w:styleId="11">
    <w:name w:val="页脚 字符"/>
    <w:basedOn w:val="6"/>
    <w:link w:val="12"/>
    <w:qFormat/>
    <w:uiPriority w:val="99"/>
    <w:rPr>
      <w:sz w:val="18"/>
      <w:szCs w:val="18"/>
    </w:rPr>
  </w:style>
  <w:style w:type="paragraph" w:customStyle="1" w:styleId="12">
    <w:name w:val="footer839c8a01"/>
    <w:basedOn w:val="13"/>
    <w:link w:val="11"/>
    <w:unhideWhenUsed/>
    <w:qFormat/>
    <w:uiPriority w:val="99"/>
    <w:pPr>
      <w:tabs>
        <w:tab w:val="center" w:pos="4153"/>
        <w:tab w:val="right" w:pos="8306"/>
      </w:tabs>
      <w:snapToGrid w:val="0"/>
      <w:jc w:val="left"/>
    </w:pPr>
    <w:rPr>
      <w:rFonts w:eastAsiaTheme="minorEastAsia"/>
      <w:sz w:val="18"/>
      <w:szCs w:val="18"/>
    </w:rPr>
  </w:style>
  <w:style w:type="paragraph" w:customStyle="1" w:styleId="13">
    <w:name w:val="Normal81fe5fbe"/>
    <w:qFormat/>
    <w:uiPriority w:val="0"/>
    <w:pPr>
      <w:widowControl w:val="0"/>
      <w:jc w:val="both"/>
    </w:pPr>
    <w:rPr>
      <w:rFonts w:eastAsia="仿宋_GB2312" w:asciiTheme="minorHAnsi" w:hAnsiTheme="minorHAnsi" w:cstheme="minorBidi"/>
      <w:sz w:val="32"/>
      <w:lang w:val="en-US" w:eastAsia="zh-CN" w:bidi="ar-SA"/>
    </w:rPr>
  </w:style>
  <w:style w:type="paragraph" w:customStyle="1" w:styleId="14">
    <w:name w:val="Balloon Text089dbc41"/>
    <w:basedOn w:val="10"/>
    <w:link w:val="11"/>
    <w:semiHidden/>
    <w:unhideWhenUsed/>
    <w:qFormat/>
    <w:uiPriority w:val="99"/>
    <w:rPr>
      <w:sz w:val="18"/>
      <w:szCs w:val="18"/>
    </w:rPr>
  </w:style>
  <w:style w:type="character" w:customStyle="1" w:styleId="15">
    <w:name w:val="批注文字 字符"/>
    <w:basedOn w:val="6"/>
    <w:link w:val="16"/>
    <w:semiHidden/>
    <w:qFormat/>
    <w:uiPriority w:val="0"/>
    <w:rPr>
      <w:rFonts w:ascii="Times New Roman" w:hAnsi="Times New Roman" w:eastAsia="仿宋_GB2312" w:cs="Times New Roman"/>
      <w:sz w:val="32"/>
      <w:szCs w:val="20"/>
    </w:rPr>
  </w:style>
  <w:style w:type="paragraph" w:customStyle="1" w:styleId="16">
    <w:name w:val="header22a5401a"/>
    <w:basedOn w:val="13"/>
    <w:link w:val="15"/>
    <w:unhideWhenUsed/>
    <w:qFormat/>
    <w:uiPriority w:val="99"/>
    <w:pPr>
      <w:pBdr>
        <w:bottom w:val="single" w:color="auto" w:sz="6" w:space="1"/>
      </w:pBdr>
      <w:tabs>
        <w:tab w:val="center" w:pos="4153"/>
        <w:tab w:val="right" w:pos="8306"/>
      </w:tabs>
      <w:snapToGrid w:val="0"/>
      <w:jc w:val="center"/>
    </w:pPr>
    <w:rPr>
      <w:rFonts w:eastAsiaTheme="minorEastAsia"/>
      <w:sz w:val="18"/>
      <w:szCs w:val="18"/>
    </w:rPr>
  </w:style>
  <w:style w:type="paragraph" w:customStyle="1" w:styleId="17">
    <w:name w:val="annotation text4a2d971f"/>
    <w:basedOn w:val="10"/>
    <w:link w:val="15"/>
    <w:unhideWhenUsed/>
    <w:qFormat/>
    <w:uiPriority w:val="0"/>
    <w:pPr>
      <w:jc w:val="left"/>
    </w:pPr>
    <w:rPr>
      <w:rFonts w:ascii="Times New Roman" w:hAnsi="Times New Roman" w:cs="Times New Roman"/>
      <w:szCs w:val="20"/>
    </w:rPr>
  </w:style>
  <w:style w:type="paragraph" w:customStyle="1" w:styleId="18">
    <w:name w:val="2021文书-页码"/>
    <w:qFormat/>
    <w:uiPriority w:val="0"/>
    <w:pPr>
      <w:spacing w:line="600" w:lineRule="exact"/>
      <w:jc w:val="center"/>
    </w:pPr>
    <w:rPr>
      <w:rFonts w:ascii="Times New Roman" w:hAnsi="Times New Roman" w:eastAsia="仿宋_GB2312" w:cs="仿宋_GB2312"/>
      <w:kern w:val="2"/>
      <w:sz w:val="28"/>
      <w:szCs w:val="22"/>
      <w:lang w:val="en-US" w:eastAsia="zh-CN" w:bidi="ar-SA"/>
    </w:rPr>
  </w:style>
  <w:style w:type="paragraph" w:customStyle="1" w:styleId="19">
    <w:name w:val="2021文书-正文（无缩进）"/>
    <w:qFormat/>
    <w:uiPriority w:val="0"/>
    <w:pPr>
      <w:wordWrap w:val="0"/>
      <w:spacing w:line="600" w:lineRule="exact"/>
      <w:jc w:val="both"/>
    </w:pPr>
    <w:rPr>
      <w:rFonts w:ascii="Times New Roman" w:hAnsi="Times New Roman" w:eastAsia="仿宋_GB2312" w:cs="仿宋_GB2312"/>
      <w:kern w:val="2"/>
      <w:sz w:val="32"/>
      <w:szCs w:val="22"/>
      <w:lang w:val="en-US" w:eastAsia="zh-CN" w:bidi="ar-SA"/>
    </w:rPr>
  </w:style>
  <w:style w:type="character" w:customStyle="1" w:styleId="20">
    <w:name w:val="Default Paragraph Font48aca3b3"/>
    <w:semiHidden/>
    <w:unhideWhenUsed/>
    <w:qFormat/>
    <w:uiPriority w:val="1"/>
  </w:style>
  <w:style w:type="table" w:customStyle="1" w:styleId="21">
    <w:name w:val="Normal Table72a6fa1f"/>
    <w:semiHidden/>
    <w:unhideWhenUsed/>
    <w:qFormat/>
    <w:uiPriority w:val="99"/>
    <w:tblPr>
      <w:tblCellMar>
        <w:top w:w="0" w:type="dxa"/>
        <w:left w:w="108" w:type="dxa"/>
        <w:bottom w:w="0" w:type="dxa"/>
        <w:right w:w="108" w:type="dxa"/>
      </w:tblCellMar>
    </w:tblPr>
  </w:style>
  <w:style w:type="character" w:customStyle="1" w:styleId="22">
    <w:name w:val="页眉 字符2457150a"/>
    <w:basedOn w:val="20"/>
    <w:link w:val="2"/>
    <w:qFormat/>
    <w:uiPriority w:val="99"/>
    <w:rPr>
      <w:sz w:val="18"/>
      <w:szCs w:val="18"/>
    </w:rPr>
  </w:style>
  <w:style w:type="character" w:customStyle="1" w:styleId="23">
    <w:name w:val="页脚 字符c9b83111"/>
    <w:basedOn w:val="20"/>
    <w:link w:val="3"/>
    <w:qFormat/>
    <w:uiPriority w:val="99"/>
    <w:rPr>
      <w:sz w:val="18"/>
      <w:szCs w:val="18"/>
    </w:rPr>
  </w:style>
  <w:style w:type="character" w:customStyle="1" w:styleId="24">
    <w:name w:val="cellcell"/>
    <w:basedOn w:val="20"/>
    <w:qFormat/>
    <w:uiPriority w:val="0"/>
  </w:style>
  <w:style w:type="character" w:customStyle="1" w:styleId="25">
    <w:name w:val="Default Paragraph Font3773a374"/>
    <w:semiHidden/>
    <w:unhideWhenUsed/>
    <w:qFormat/>
    <w:uiPriority w:val="1"/>
  </w:style>
  <w:style w:type="table" w:customStyle="1" w:styleId="26">
    <w:name w:val="Normal Table7925c7ca"/>
    <w:semiHidden/>
    <w:unhideWhenUsed/>
    <w:qFormat/>
    <w:uiPriority w:val="99"/>
    <w:tblPr>
      <w:tblCellMar>
        <w:top w:w="0" w:type="dxa"/>
        <w:left w:w="108" w:type="dxa"/>
        <w:bottom w:w="0" w:type="dxa"/>
        <w:right w:w="108" w:type="dxa"/>
      </w:tblCellMar>
    </w:tblPr>
  </w:style>
  <w:style w:type="paragraph" w:customStyle="1" w:styleId="27">
    <w:name w:val="headerd6532746"/>
    <w:basedOn w:val="10"/>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28">
    <w:name w:val="HTML PreformattedHTML"/>
    <w:basedOn w:val="10"/>
    <w:link w:val="35"/>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table" w:customStyle="1" w:styleId="29">
    <w:name w:val="Table Gridab"/>
    <w:basedOn w:val="26"/>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0">
    <w:name w:val="annotation referenceac"/>
    <w:basedOn w:val="25"/>
    <w:unhideWhenUsed/>
    <w:qFormat/>
    <w:uiPriority w:val="0"/>
    <w:rPr>
      <w:sz w:val="21"/>
      <w:szCs w:val="21"/>
    </w:rPr>
  </w:style>
  <w:style w:type="character" w:customStyle="1" w:styleId="31">
    <w:name w:val="批注文字 字符25bce092"/>
    <w:basedOn w:val="25"/>
    <w:link w:val="2"/>
    <w:qFormat/>
    <w:uiPriority w:val="0"/>
    <w:rPr>
      <w:rFonts w:ascii="Times New Roman" w:hAnsi="Times New Roman" w:eastAsia="仿宋_GB2312" w:cs="Times New Roman"/>
      <w:sz w:val="32"/>
      <w:szCs w:val="20"/>
    </w:rPr>
  </w:style>
  <w:style w:type="character" w:customStyle="1" w:styleId="32">
    <w:name w:val="批注框文本 字符1394dc7c"/>
    <w:basedOn w:val="25"/>
    <w:link w:val="3"/>
    <w:semiHidden/>
    <w:qFormat/>
    <w:uiPriority w:val="99"/>
    <w:rPr>
      <w:rFonts w:eastAsia="仿宋_GB2312"/>
      <w:sz w:val="18"/>
      <w:szCs w:val="18"/>
    </w:rPr>
  </w:style>
  <w:style w:type="character" w:customStyle="1" w:styleId="33">
    <w:name w:val="页眉 字符aa"/>
    <w:basedOn w:val="25"/>
    <w:qFormat/>
    <w:uiPriority w:val="99"/>
    <w:rPr>
      <w:rFonts w:eastAsia="仿宋_GB2312"/>
      <w:sz w:val="18"/>
      <w:szCs w:val="18"/>
    </w:rPr>
  </w:style>
  <w:style w:type="character" w:customStyle="1" w:styleId="34">
    <w:name w:val="页脚 字符330d2857"/>
    <w:basedOn w:val="25"/>
    <w:link w:val="4"/>
    <w:qFormat/>
    <w:uiPriority w:val="99"/>
    <w:rPr>
      <w:rFonts w:eastAsia="仿宋_GB2312"/>
      <w:sz w:val="18"/>
      <w:szCs w:val="18"/>
    </w:rPr>
  </w:style>
  <w:style w:type="character" w:customStyle="1" w:styleId="35">
    <w:name w:val="HTML 预设格式 字符HTML0"/>
    <w:basedOn w:val="25"/>
    <w:link w:val="28"/>
    <w:qFormat/>
    <w:uiPriority w:val="99"/>
    <w:rPr>
      <w:rFonts w:ascii="宋体" w:hAnsi="宋体" w:eastAsia="宋体" w:cs="宋体"/>
      <w:kern w:val="0"/>
      <w:sz w:val="24"/>
      <w:szCs w:val="24"/>
    </w:rPr>
  </w:style>
  <w:style w:type="paragraph" w:customStyle="1" w:styleId="36">
    <w:name w:val="正文11"/>
    <w:qFormat/>
    <w:uiPriority w:val="0"/>
    <w:pPr>
      <w:jc w:val="both"/>
    </w:pPr>
    <w:rPr>
      <w:rFonts w:ascii="Calibri" w:hAnsi="Calibri" w:eastAsia="宋体" w:cs="Calibri"/>
      <w:kern w:val="2"/>
      <w:sz w:val="21"/>
      <w:szCs w:val="21"/>
      <w:lang w:val="en-US" w:eastAsia="zh-CN" w:bidi="ar-SA"/>
    </w:rPr>
  </w:style>
  <w:style w:type="paragraph" w:customStyle="1" w:styleId="37">
    <w:name w:val="2021文书-标题99cf2702"/>
    <w:qFormat/>
    <w:uiPriority w:val="0"/>
    <w:pPr>
      <w:spacing w:line="600" w:lineRule="exact"/>
      <w:jc w:val="center"/>
    </w:pPr>
    <w:rPr>
      <w:rFonts w:ascii="Times New Roman" w:hAnsi="Times New Roman" w:eastAsia="方正小标宋简体" w:cs="仿宋_GB2312"/>
      <w:kern w:val="2"/>
      <w:sz w:val="44"/>
      <w:szCs w:val="22"/>
      <w:lang w:val="en-US" w:eastAsia="zh-CN" w:bidi="ar-SA"/>
    </w:rPr>
  </w:style>
  <w:style w:type="paragraph" w:customStyle="1" w:styleId="38">
    <w:name w:val="2021文书-文号18bba0e6"/>
    <w:qFormat/>
    <w:uiPriority w:val="0"/>
    <w:pPr>
      <w:spacing w:line="600" w:lineRule="exact"/>
      <w:jc w:val="center"/>
    </w:pPr>
    <w:rPr>
      <w:rFonts w:ascii="Times New Roman" w:hAnsi="Times New Roman" w:eastAsia="仿宋_GB2312" w:cs="仿宋_GB2312"/>
      <w:kern w:val="2"/>
      <w:sz w:val="32"/>
      <w:szCs w:val="22"/>
      <w:lang w:val="en-US" w:eastAsia="zh-CN" w:bidi="ar-SA"/>
    </w:rPr>
  </w:style>
  <w:style w:type="paragraph" w:customStyle="1" w:styleId="39">
    <w:name w:val="2021文书-正文2021-1"/>
    <w:qFormat/>
    <w:uiPriority w:val="0"/>
    <w:pPr>
      <w:wordWrap w:val="0"/>
      <w:spacing w:line="600" w:lineRule="exact"/>
      <w:ind w:firstLine="200" w:firstLineChars="200"/>
      <w:jc w:val="both"/>
    </w:pPr>
    <w:rPr>
      <w:rFonts w:ascii="Times New Roman" w:hAnsi="Times New Roman" w:eastAsia="仿宋_GB2312" w:cs="仿宋_GB2312"/>
      <w:kern w:val="2"/>
      <w:sz w:val="32"/>
      <w:szCs w:val="22"/>
      <w:lang w:val="en-US" w:eastAsia="zh-CN" w:bidi="ar-SA"/>
    </w:rPr>
  </w:style>
  <w:style w:type="paragraph" w:customStyle="1" w:styleId="40">
    <w:name w:val="2021文书-页码2021-2"/>
    <w:qFormat/>
    <w:uiPriority w:val="0"/>
    <w:pPr>
      <w:spacing w:line="600" w:lineRule="exact"/>
      <w:jc w:val="center"/>
    </w:pPr>
    <w:rPr>
      <w:rFonts w:ascii="Times New Roman" w:hAnsi="Times New Roman" w:eastAsia="仿宋_GB2312" w:cs="仿宋_GB2312"/>
      <w:kern w:val="2"/>
      <w:sz w:val="28"/>
      <w:szCs w:val="22"/>
      <w:lang w:val="en-US" w:eastAsia="zh-CN" w:bidi="ar-SA"/>
    </w:rPr>
  </w:style>
  <w:style w:type="paragraph" w:customStyle="1" w:styleId="41">
    <w:name w:val="2021文书-正文（无缩进）2021-3"/>
    <w:qFormat/>
    <w:uiPriority w:val="0"/>
    <w:pPr>
      <w:wordWrap w:val="0"/>
      <w:spacing w:line="600" w:lineRule="exact"/>
      <w:jc w:val="both"/>
    </w:pPr>
    <w:rPr>
      <w:rFonts w:ascii="Times New Roman" w:hAnsi="Times New Roman" w:eastAsia="仿宋_GB2312" w:cs="仿宋_GB2312"/>
      <w:kern w:val="2"/>
      <w:sz w:val="32"/>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194</Words>
  <Characters>1110</Characters>
  <Lines>9</Lines>
  <Paragraphs>2</Paragraphs>
  <TotalTime>9</TotalTime>
  <ScaleCrop>false</ScaleCrop>
  <LinksUpToDate>false</LinksUpToDate>
  <CharactersWithSpaces>1302</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2022-07-15T15:40:00Z</dcterms:created>
  <dc:creator>MD_019027</dc:creator>
  <cp:lastModifiedBy>郑海迪</cp:lastModifiedBy>
  <dcterms:modified xsi:type="dcterms:W3CDTF">2026-09-15T17:02:59Z</dcterms:modified>
  <cp:revision>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36298699F02749648F78C86E99EB4ABC</vt:lpwstr>
  </property>
</Properties>
</file>