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Lines="0" w:afterLines="0" w:line="574" w:lineRule="exact"/>
        <w:jc w:val="center"/>
        <w:textAlignment w:val="auto"/>
        <w:rPr>
          <w:rFonts w:hint="eastAsia" w:ascii="方正小标宋简体" w:hAnsi="方正小标宋简体" w:eastAsia="方正小标宋简体" w:cs="方正小标宋简体"/>
          <w:color w:val="auto"/>
          <w:spacing w:val="-6"/>
          <w:sz w:val="44"/>
          <w:szCs w:val="44"/>
          <w:highlight w:val="none"/>
          <w:u w:val="none"/>
          <w:lang w:eastAsia="zh-CN"/>
        </w:rPr>
      </w:pPr>
      <w:r>
        <w:rPr>
          <w:rFonts w:hint="eastAsia" w:ascii="方正小标宋简体" w:hAnsi="方正小标宋简体" w:eastAsia="方正小标宋简体" w:cs="方正小标宋简体"/>
          <w:color w:val="auto"/>
          <w:spacing w:val="-6"/>
          <w:sz w:val="44"/>
          <w:szCs w:val="44"/>
          <w:highlight w:val="none"/>
          <w:u w:val="none"/>
          <w:lang w:val="en-US" w:eastAsia="zh-CN"/>
        </w:rPr>
        <w:t>港口</w:t>
      </w:r>
      <w:r>
        <w:rPr>
          <w:rFonts w:hint="eastAsia" w:ascii="方正小标宋简体" w:hAnsi="方正小标宋简体" w:eastAsia="方正小标宋简体" w:cs="方正小标宋简体"/>
          <w:color w:val="auto"/>
          <w:spacing w:val="-6"/>
          <w:sz w:val="44"/>
          <w:szCs w:val="44"/>
          <w:highlight w:val="none"/>
          <w:u w:val="none"/>
          <w:lang w:eastAsia="zh-CN"/>
        </w:rPr>
        <w:t>镇</w:t>
      </w:r>
      <w:r>
        <w:rPr>
          <w:rFonts w:hint="eastAsia" w:ascii="方正小标宋简体" w:hAnsi="方正小标宋简体" w:eastAsia="方正小标宋简体" w:cs="方正小标宋简体"/>
          <w:color w:val="auto"/>
          <w:spacing w:val="-6"/>
          <w:sz w:val="44"/>
          <w:szCs w:val="44"/>
          <w:highlight w:val="none"/>
          <w:u w:val="none"/>
          <w:lang w:val="en-US" w:eastAsia="zh-CN"/>
        </w:rPr>
        <w:t>中山市路桥建设有限公司</w:t>
      </w:r>
      <w:r>
        <w:rPr>
          <w:rFonts w:hint="eastAsia" w:ascii="方正小标宋简体" w:hAnsi="方正小标宋简体" w:eastAsia="方正小标宋简体" w:cs="方正小标宋简体"/>
          <w:color w:val="auto"/>
          <w:spacing w:val="-6"/>
          <w:sz w:val="44"/>
          <w:szCs w:val="44"/>
          <w:highlight w:val="none"/>
          <w:u w:val="none"/>
          <w:lang w:eastAsia="zh-CN"/>
        </w:rPr>
        <w:t>“工改工”</w:t>
      </w:r>
    </w:p>
    <w:p>
      <w:pPr>
        <w:keepNext w:val="0"/>
        <w:keepLines w:val="0"/>
        <w:pageBreakBefore w:val="0"/>
        <w:widowControl w:val="0"/>
        <w:kinsoku/>
        <w:wordWrap/>
        <w:overflowPunct/>
        <w:topLinePunct w:val="0"/>
        <w:autoSpaceDE/>
        <w:autoSpaceDN/>
        <w:bidi w:val="0"/>
        <w:adjustRightInd w:val="0"/>
        <w:snapToGrid w:val="0"/>
        <w:spacing w:beforeLines="0" w:afterLines="0" w:line="574" w:lineRule="exact"/>
        <w:jc w:val="center"/>
        <w:textAlignment w:val="auto"/>
        <w:rPr>
          <w:rFonts w:ascii="方正小标宋简体" w:hAnsi="方正小标宋简体" w:eastAsia="方正小标宋简体" w:cs="方正小标宋简体"/>
          <w:color w:val="auto"/>
          <w:spacing w:val="-6"/>
          <w:kern w:val="0"/>
          <w:sz w:val="44"/>
          <w:szCs w:val="44"/>
          <w:highlight w:val="none"/>
          <w:u w:val="none"/>
        </w:rPr>
      </w:pPr>
      <w:r>
        <w:rPr>
          <w:rFonts w:hint="eastAsia" w:ascii="方正小标宋简体" w:hAnsi="方正小标宋简体" w:eastAsia="方正小标宋简体" w:cs="方正小标宋简体"/>
          <w:color w:val="auto"/>
          <w:spacing w:val="-6"/>
          <w:sz w:val="44"/>
          <w:szCs w:val="44"/>
          <w:highlight w:val="none"/>
          <w:u w:val="none"/>
          <w:lang w:eastAsia="zh-CN"/>
        </w:rPr>
        <w:t>项目低效用地再开发实施方案</w:t>
      </w:r>
    </w:p>
    <w:p>
      <w:pPr>
        <w:keepNext w:val="0"/>
        <w:keepLines w:val="0"/>
        <w:pageBreakBefore w:val="0"/>
        <w:widowControl w:val="0"/>
        <w:kinsoku/>
        <w:wordWrap/>
        <w:overflowPunct/>
        <w:topLinePunct w:val="0"/>
        <w:autoSpaceDE/>
        <w:autoSpaceDN/>
        <w:bidi w:val="0"/>
        <w:adjustRightInd w:val="0"/>
        <w:snapToGrid w:val="0"/>
        <w:spacing w:beforeLines="0" w:afterLines="0" w:line="574" w:lineRule="exact"/>
        <w:ind w:left="0" w:leftChars="0" w:right="0" w:rightChars="0" w:firstLine="616" w:firstLineChars="200"/>
        <w:jc w:val="both"/>
        <w:textAlignment w:val="auto"/>
        <w:outlineLvl w:val="9"/>
        <w:rPr>
          <w:rFonts w:hint="eastAsia" w:ascii="仿宋_GB2312" w:hAnsi="仿宋_GB2312" w:eastAsia="仿宋_GB2312" w:cs="仿宋_GB2312"/>
          <w:color w:val="auto"/>
          <w:spacing w:val="-6"/>
          <w:kern w:val="0"/>
          <w:sz w:val="32"/>
          <w:szCs w:val="32"/>
          <w:highlight w:val="none"/>
          <w:u w:val="none"/>
        </w:rPr>
      </w:pPr>
    </w:p>
    <w:p>
      <w:pPr>
        <w:keepNext w:val="0"/>
        <w:keepLines w:val="0"/>
        <w:pageBreakBefore w:val="0"/>
        <w:widowControl/>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仿宋_GB2312" w:hAnsi="仿宋_GB2312" w:eastAsia="仿宋_GB2312" w:cs="仿宋_GB2312"/>
          <w:color w:val="auto"/>
          <w:spacing w:val="-6"/>
          <w:kern w:val="0"/>
          <w:sz w:val="32"/>
          <w:szCs w:val="32"/>
          <w:highlight w:val="none"/>
          <w:u w:val="none"/>
        </w:rPr>
      </w:pPr>
      <w:r>
        <w:rPr>
          <w:rFonts w:hint="eastAsia" w:ascii="仿宋_GB2312" w:hAnsi="仿宋_GB2312" w:eastAsia="仿宋_GB2312" w:cs="仿宋_GB2312"/>
          <w:color w:val="auto"/>
          <w:spacing w:val="-6"/>
          <w:kern w:val="0"/>
          <w:sz w:val="32"/>
          <w:szCs w:val="32"/>
          <w:highlight w:val="none"/>
          <w:u w:val="none"/>
        </w:rPr>
        <w:t>根据</w:t>
      </w:r>
      <w:r>
        <w:rPr>
          <w:rFonts w:hint="eastAsia" w:ascii="仿宋_GB2312" w:hAnsi="仿宋_GB2312" w:eastAsia="仿宋_GB2312" w:cs="仿宋_GB2312"/>
          <w:color w:val="auto"/>
          <w:spacing w:val="-6"/>
          <w:kern w:val="0"/>
          <w:sz w:val="32"/>
          <w:szCs w:val="32"/>
          <w:highlight w:val="none"/>
          <w:u w:val="none"/>
          <w:lang w:eastAsia="zh-CN"/>
        </w:rPr>
        <w:t>现行控制性详细规划</w:t>
      </w:r>
      <w:r>
        <w:rPr>
          <w:rFonts w:hint="eastAsia" w:ascii="仿宋_GB2312" w:hAnsi="仿宋_GB2312" w:eastAsia="仿宋_GB2312" w:cs="仿宋_GB2312"/>
          <w:color w:val="auto"/>
          <w:spacing w:val="-6"/>
          <w:kern w:val="0"/>
          <w:sz w:val="32"/>
          <w:szCs w:val="32"/>
          <w:highlight w:val="none"/>
          <w:u w:val="none"/>
        </w:rPr>
        <w:t>，</w:t>
      </w:r>
      <w:r>
        <w:rPr>
          <w:rFonts w:hint="eastAsia" w:ascii="仿宋_GB2312" w:hAnsi="仿宋_GB2312" w:eastAsia="仿宋_GB2312" w:cs="仿宋_GB2312"/>
          <w:color w:val="auto"/>
          <w:spacing w:val="-6"/>
          <w:kern w:val="0"/>
          <w:sz w:val="32"/>
          <w:szCs w:val="32"/>
          <w:highlight w:val="none"/>
          <w:u w:val="none"/>
          <w:lang w:val="en-US" w:eastAsia="zh-CN"/>
        </w:rPr>
        <w:t>港口</w:t>
      </w:r>
      <w:r>
        <w:rPr>
          <w:rFonts w:hint="eastAsia" w:ascii="仿宋_GB2312" w:hAnsi="仿宋_GB2312" w:eastAsia="仿宋_GB2312" w:cs="仿宋_GB2312"/>
          <w:color w:val="auto"/>
          <w:spacing w:val="-6"/>
          <w:kern w:val="0"/>
          <w:sz w:val="32"/>
          <w:szCs w:val="32"/>
          <w:highlight w:val="none"/>
          <w:u w:val="none"/>
        </w:rPr>
        <w:t>镇人民政府拟对位于</w:t>
      </w:r>
      <w:r>
        <w:rPr>
          <w:rFonts w:hint="eastAsia" w:ascii="仿宋_GB2312" w:hAnsi="仿宋_GB2312" w:eastAsia="仿宋_GB2312" w:cs="仿宋_GB2312"/>
          <w:color w:val="auto"/>
          <w:spacing w:val="-6"/>
          <w:kern w:val="0"/>
          <w:sz w:val="32"/>
          <w:szCs w:val="32"/>
          <w:highlight w:val="none"/>
          <w:u w:val="none"/>
          <w:lang w:val="en-US" w:eastAsia="zh-CN"/>
        </w:rPr>
        <w:t>沙港西路151号</w:t>
      </w:r>
      <w:r>
        <w:rPr>
          <w:rFonts w:hint="eastAsia" w:ascii="仿宋_GB2312" w:hAnsi="仿宋_GB2312" w:eastAsia="仿宋_GB2312" w:cs="仿宋_GB2312"/>
          <w:color w:val="auto"/>
          <w:spacing w:val="-6"/>
          <w:kern w:val="0"/>
          <w:sz w:val="32"/>
          <w:szCs w:val="32"/>
          <w:highlight w:val="none"/>
          <w:u w:val="none"/>
          <w:lang w:eastAsia="zh-CN"/>
        </w:rPr>
        <w:t>的中山市路桥建设有限公司</w:t>
      </w:r>
      <w:r>
        <w:rPr>
          <w:rFonts w:hint="eastAsia" w:ascii="仿宋_GB2312" w:hAnsi="仿宋_GB2312" w:eastAsia="仿宋_GB2312" w:cs="仿宋_GB2312"/>
          <w:color w:val="auto"/>
          <w:spacing w:val="-6"/>
          <w:kern w:val="0"/>
          <w:sz w:val="32"/>
          <w:szCs w:val="32"/>
          <w:highlight w:val="none"/>
          <w:u w:val="none"/>
          <w:lang w:val="en-US" w:eastAsia="zh-CN"/>
        </w:rPr>
        <w:t>名下、用途为工业性质的1宗国有建设用</w:t>
      </w:r>
      <w:bookmarkStart w:id="0" w:name="_GoBack"/>
      <w:bookmarkEnd w:id="0"/>
      <w:r>
        <w:rPr>
          <w:rFonts w:hint="eastAsia" w:ascii="仿宋_GB2312" w:hAnsi="仿宋_GB2312" w:eastAsia="仿宋_GB2312" w:cs="仿宋_GB2312"/>
          <w:color w:val="auto"/>
          <w:spacing w:val="-6"/>
          <w:kern w:val="0"/>
          <w:sz w:val="32"/>
          <w:szCs w:val="32"/>
          <w:highlight w:val="none"/>
          <w:u w:val="none"/>
          <w:lang w:val="en-US" w:eastAsia="zh-CN"/>
        </w:rPr>
        <w:t>地</w:t>
      </w:r>
      <w:r>
        <w:rPr>
          <w:rFonts w:hint="eastAsia" w:ascii="仿宋_GB2312" w:hAnsi="仿宋_GB2312" w:eastAsia="仿宋_GB2312" w:cs="仿宋_GB2312"/>
          <w:color w:val="auto"/>
          <w:spacing w:val="-6"/>
          <w:kern w:val="0"/>
          <w:sz w:val="32"/>
          <w:szCs w:val="32"/>
          <w:highlight w:val="none"/>
          <w:u w:val="none"/>
        </w:rPr>
        <w:t>进行</w:t>
      </w:r>
      <w:r>
        <w:rPr>
          <w:rFonts w:hint="eastAsia" w:ascii="仿宋_GB2312" w:hAnsi="仿宋_GB2312" w:eastAsia="仿宋_GB2312" w:cs="仿宋_GB2312"/>
          <w:color w:val="auto"/>
          <w:spacing w:val="-6"/>
          <w:kern w:val="0"/>
          <w:sz w:val="32"/>
          <w:szCs w:val="32"/>
          <w:highlight w:val="none"/>
          <w:u w:val="none"/>
          <w:lang w:val="en-US" w:eastAsia="zh-CN"/>
        </w:rPr>
        <w:t>改造</w:t>
      </w:r>
      <w:r>
        <w:rPr>
          <w:rFonts w:hint="eastAsia" w:ascii="仿宋_GB2312" w:hAnsi="仿宋_GB2312" w:eastAsia="仿宋_GB2312" w:cs="仿宋_GB2312"/>
          <w:color w:val="auto"/>
          <w:spacing w:val="-6"/>
          <w:kern w:val="0"/>
          <w:sz w:val="32"/>
          <w:szCs w:val="32"/>
          <w:highlight w:val="none"/>
          <w:u w:val="none"/>
        </w:rPr>
        <w:t>，由政府整备后公开出让确定的改造主体</w:t>
      </w:r>
      <w:r>
        <w:rPr>
          <w:rFonts w:hint="eastAsia" w:ascii="仿宋_GB2312" w:hAnsi="仿宋_GB2312" w:eastAsia="仿宋_GB2312" w:cs="仿宋_GB2312"/>
          <w:color w:val="auto"/>
          <w:spacing w:val="-6"/>
          <w:kern w:val="0"/>
          <w:sz w:val="32"/>
          <w:szCs w:val="32"/>
          <w:highlight w:val="none"/>
          <w:u w:val="none"/>
          <w:lang w:val="en-US" w:eastAsia="zh-CN"/>
        </w:rPr>
        <w:t>自主改造，采取</w:t>
      </w:r>
      <w:r>
        <w:rPr>
          <w:rFonts w:hint="eastAsia" w:ascii="仿宋_GB2312" w:hAnsi="仿宋_GB2312" w:eastAsia="仿宋_GB2312" w:cs="仿宋_GB2312"/>
          <w:color w:val="auto"/>
          <w:spacing w:val="-6"/>
          <w:kern w:val="0"/>
          <w:sz w:val="32"/>
          <w:szCs w:val="32"/>
          <w:highlight w:val="none"/>
          <w:u w:val="none"/>
        </w:rPr>
        <w:t>全面改造</w:t>
      </w:r>
      <w:r>
        <w:rPr>
          <w:rFonts w:hint="eastAsia" w:ascii="仿宋_GB2312" w:hAnsi="仿宋_GB2312" w:eastAsia="仿宋_GB2312" w:cs="仿宋_GB2312"/>
          <w:color w:val="auto"/>
          <w:spacing w:val="-6"/>
          <w:kern w:val="0"/>
          <w:sz w:val="32"/>
          <w:szCs w:val="32"/>
          <w:highlight w:val="none"/>
          <w:u w:val="none"/>
          <w:lang w:eastAsia="zh-CN"/>
        </w:rPr>
        <w:t>的</w:t>
      </w:r>
      <w:r>
        <w:rPr>
          <w:rFonts w:hint="eastAsia" w:ascii="仿宋_GB2312" w:hAnsi="仿宋_GB2312" w:eastAsia="仿宋_GB2312" w:cs="仿宋_GB2312"/>
          <w:color w:val="auto"/>
          <w:spacing w:val="-6"/>
          <w:kern w:val="0"/>
          <w:sz w:val="32"/>
          <w:szCs w:val="32"/>
          <w:highlight w:val="none"/>
          <w:u w:val="none"/>
          <w:lang w:val="en-US" w:eastAsia="zh-CN"/>
        </w:rPr>
        <w:t>改造方式</w:t>
      </w:r>
      <w:r>
        <w:rPr>
          <w:rFonts w:hint="eastAsia" w:ascii="仿宋_GB2312" w:hAnsi="仿宋_GB2312" w:eastAsia="仿宋_GB2312" w:cs="仿宋_GB2312"/>
          <w:color w:val="auto"/>
          <w:spacing w:val="-6"/>
          <w:kern w:val="0"/>
          <w:sz w:val="32"/>
          <w:szCs w:val="32"/>
          <w:highlight w:val="none"/>
          <w:u w:val="none"/>
        </w:rPr>
        <w:t>。</w:t>
      </w:r>
      <w:r>
        <w:rPr>
          <w:rFonts w:hint="eastAsia" w:ascii="仿宋_GB2312" w:hAnsi="仿宋_GB2312" w:eastAsia="仿宋_GB2312" w:cs="仿宋_GB2312"/>
          <w:color w:val="auto"/>
          <w:spacing w:val="-6"/>
          <w:kern w:val="0"/>
          <w:sz w:val="32"/>
          <w:szCs w:val="32"/>
          <w:highlight w:val="none"/>
          <w:u w:val="none"/>
          <w:lang w:val="en-US" w:eastAsia="zh-CN"/>
        </w:rPr>
        <w:t>具体再开发实施方案如下：</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黑体" w:hAnsi="黑体" w:eastAsia="黑体" w:cs="黑体"/>
          <w:color w:val="auto"/>
          <w:spacing w:val="-6"/>
          <w:kern w:val="0"/>
          <w:sz w:val="32"/>
          <w:szCs w:val="32"/>
          <w:highlight w:val="none"/>
          <w:u w:val="none"/>
        </w:rPr>
      </w:pPr>
      <w:r>
        <w:rPr>
          <w:rFonts w:hint="eastAsia" w:ascii="黑体" w:hAnsi="黑体" w:eastAsia="黑体" w:cs="黑体"/>
          <w:color w:val="auto"/>
          <w:spacing w:val="-6"/>
          <w:kern w:val="0"/>
          <w:sz w:val="32"/>
          <w:szCs w:val="32"/>
          <w:highlight w:val="none"/>
          <w:u w:val="none"/>
        </w:rPr>
        <w:t>一、</w:t>
      </w:r>
      <w:r>
        <w:rPr>
          <w:rFonts w:hint="eastAsia" w:ascii="黑体" w:hAnsi="黑体" w:eastAsia="黑体" w:cs="黑体"/>
          <w:color w:val="auto"/>
          <w:spacing w:val="-6"/>
          <w:kern w:val="0"/>
          <w:sz w:val="32"/>
          <w:szCs w:val="32"/>
          <w:highlight w:val="none"/>
          <w:u w:val="none"/>
          <w:lang w:val="en-US" w:eastAsia="zh-CN"/>
        </w:rPr>
        <w:t>改造</w:t>
      </w:r>
      <w:r>
        <w:rPr>
          <w:rFonts w:hint="eastAsia" w:ascii="黑体" w:hAnsi="黑体" w:eastAsia="黑体" w:cs="黑体"/>
          <w:color w:val="auto"/>
          <w:spacing w:val="-6"/>
          <w:kern w:val="0"/>
          <w:sz w:val="32"/>
          <w:szCs w:val="32"/>
          <w:highlight w:val="none"/>
          <w:u w:val="none"/>
        </w:rPr>
        <w:t>地块基本情况</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楷体_GB2312" w:hAnsi="楷体_GB2312" w:eastAsia="楷体_GB2312" w:cs="楷体_GB2312"/>
          <w:color w:val="auto"/>
          <w:spacing w:val="-6"/>
          <w:sz w:val="32"/>
          <w:szCs w:val="32"/>
          <w:highlight w:val="none"/>
          <w:u w:val="none"/>
          <w:lang w:eastAsia="zh-CN"/>
        </w:rPr>
      </w:pPr>
      <w:r>
        <w:rPr>
          <w:rFonts w:hint="eastAsia" w:ascii="楷体_GB2312" w:hAnsi="楷体_GB2312" w:eastAsia="楷体_GB2312" w:cs="楷体_GB2312"/>
          <w:color w:val="auto"/>
          <w:spacing w:val="-6"/>
          <w:sz w:val="32"/>
          <w:szCs w:val="32"/>
          <w:highlight w:val="none"/>
          <w:u w:val="none"/>
        </w:rPr>
        <w:t>（一）总体情况</w:t>
      </w:r>
    </w:p>
    <w:p>
      <w:pPr>
        <w:keepNext w:val="0"/>
        <w:keepLines w:val="0"/>
        <w:pageBreakBefore w:val="0"/>
        <w:widowControl/>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仿宋_GB2312" w:hAnsi="仿宋_GB2312" w:eastAsia="仿宋_GB2312" w:cs="仿宋_GB2312"/>
          <w:color w:val="auto"/>
          <w:spacing w:val="-6"/>
          <w:kern w:val="0"/>
          <w:sz w:val="32"/>
          <w:szCs w:val="32"/>
          <w:highlight w:val="none"/>
          <w:u w:val="none"/>
        </w:rPr>
      </w:pPr>
      <w:r>
        <w:rPr>
          <w:rFonts w:hint="eastAsia" w:ascii="仿宋_GB2312" w:hAnsi="仿宋_GB2312" w:eastAsia="仿宋_GB2312" w:cs="仿宋_GB2312"/>
          <w:color w:val="auto"/>
          <w:spacing w:val="-6"/>
          <w:kern w:val="0"/>
          <w:sz w:val="32"/>
          <w:szCs w:val="32"/>
          <w:highlight w:val="none"/>
          <w:u w:val="none"/>
          <w:lang w:val="en-US" w:eastAsia="zh-CN"/>
        </w:rPr>
        <w:t>改造</w:t>
      </w:r>
      <w:r>
        <w:rPr>
          <w:rFonts w:hint="eastAsia" w:ascii="仿宋_GB2312" w:hAnsi="仿宋_GB2312" w:eastAsia="仿宋_GB2312" w:cs="仿宋_GB2312"/>
          <w:color w:val="auto"/>
          <w:spacing w:val="-6"/>
          <w:kern w:val="0"/>
          <w:sz w:val="32"/>
          <w:szCs w:val="32"/>
          <w:highlight w:val="none"/>
          <w:u w:val="none"/>
        </w:rPr>
        <w:t>地块位于</w:t>
      </w:r>
      <w:r>
        <w:rPr>
          <w:rFonts w:hint="eastAsia" w:ascii="仿宋_GB2312" w:hAnsi="仿宋_GB2312" w:eastAsia="仿宋_GB2312" w:cs="仿宋_GB2312"/>
          <w:color w:val="auto"/>
          <w:spacing w:val="-6"/>
          <w:kern w:val="0"/>
          <w:sz w:val="32"/>
          <w:szCs w:val="32"/>
          <w:highlight w:val="none"/>
          <w:u w:val="none"/>
          <w:lang w:val="en-US" w:eastAsia="zh-CN"/>
        </w:rPr>
        <w:t>港口镇沙港西路151号</w:t>
      </w:r>
      <w:r>
        <w:rPr>
          <w:rFonts w:hint="eastAsia" w:ascii="仿宋_GB2312" w:hAnsi="仿宋_GB2312" w:eastAsia="仿宋_GB2312" w:cs="仿宋_GB2312"/>
          <w:color w:val="auto"/>
          <w:spacing w:val="-6"/>
          <w:kern w:val="0"/>
          <w:sz w:val="32"/>
          <w:szCs w:val="32"/>
          <w:highlight w:val="none"/>
          <w:u w:val="none"/>
        </w:rPr>
        <w:t>，北至</w:t>
      </w:r>
      <w:r>
        <w:rPr>
          <w:rFonts w:hint="eastAsia" w:ascii="仿宋_GB2312" w:hAnsi="仿宋_GB2312" w:eastAsia="仿宋_GB2312" w:cs="仿宋_GB2312"/>
          <w:color w:val="auto"/>
          <w:spacing w:val="-6"/>
          <w:kern w:val="0"/>
          <w:sz w:val="32"/>
          <w:szCs w:val="32"/>
          <w:highlight w:val="none"/>
          <w:u w:val="none"/>
          <w:lang w:val="en-US" w:eastAsia="zh-CN"/>
        </w:rPr>
        <w:t>沙港西路</w:t>
      </w:r>
      <w:r>
        <w:rPr>
          <w:rFonts w:hint="eastAsia" w:ascii="仿宋_GB2312" w:hAnsi="仿宋_GB2312" w:eastAsia="仿宋_GB2312" w:cs="仿宋_GB2312"/>
          <w:color w:val="auto"/>
          <w:spacing w:val="-6"/>
          <w:kern w:val="0"/>
          <w:sz w:val="32"/>
          <w:szCs w:val="32"/>
          <w:highlight w:val="none"/>
          <w:u w:val="none"/>
        </w:rPr>
        <w:t>，南至</w:t>
      </w:r>
      <w:r>
        <w:rPr>
          <w:rFonts w:hint="eastAsia" w:ascii="仿宋_GB2312" w:hAnsi="仿宋_GB2312" w:eastAsia="仿宋_GB2312" w:cs="仿宋_GB2312"/>
          <w:color w:val="auto"/>
          <w:spacing w:val="-6"/>
          <w:kern w:val="0"/>
          <w:sz w:val="32"/>
          <w:szCs w:val="32"/>
          <w:highlight w:val="none"/>
          <w:u w:val="none"/>
          <w:lang w:val="en-US" w:eastAsia="zh-CN"/>
        </w:rPr>
        <w:t>中村北路</w:t>
      </w:r>
      <w:r>
        <w:rPr>
          <w:rFonts w:hint="eastAsia" w:ascii="仿宋_GB2312" w:hAnsi="仿宋_GB2312" w:eastAsia="仿宋_GB2312" w:cs="仿宋_GB2312"/>
          <w:color w:val="auto"/>
          <w:spacing w:val="-6"/>
          <w:kern w:val="0"/>
          <w:sz w:val="32"/>
          <w:szCs w:val="32"/>
          <w:highlight w:val="none"/>
          <w:u w:val="none"/>
        </w:rPr>
        <w:t>，西至</w:t>
      </w:r>
      <w:r>
        <w:rPr>
          <w:rFonts w:hint="eastAsia" w:ascii="仿宋_GB2312" w:hAnsi="仿宋_GB2312" w:eastAsia="仿宋_GB2312" w:cs="仿宋_GB2312"/>
          <w:color w:val="auto"/>
          <w:spacing w:val="-6"/>
          <w:kern w:val="0"/>
          <w:sz w:val="32"/>
          <w:szCs w:val="32"/>
          <w:highlight w:val="none"/>
          <w:u w:val="none"/>
          <w:lang w:val="en-US" w:eastAsia="zh-CN"/>
        </w:rPr>
        <w:t>石特社区用地</w:t>
      </w:r>
      <w:r>
        <w:rPr>
          <w:rFonts w:hint="eastAsia" w:ascii="仿宋_GB2312" w:hAnsi="仿宋_GB2312" w:eastAsia="仿宋_GB2312" w:cs="仿宋_GB2312"/>
          <w:color w:val="auto"/>
          <w:spacing w:val="-6"/>
          <w:kern w:val="0"/>
          <w:sz w:val="32"/>
          <w:szCs w:val="32"/>
          <w:highlight w:val="none"/>
          <w:u w:val="none"/>
        </w:rPr>
        <w:t>，东至</w:t>
      </w:r>
      <w:r>
        <w:rPr>
          <w:rFonts w:hint="eastAsia" w:ascii="仿宋_GB2312" w:hAnsi="仿宋_GB2312" w:eastAsia="仿宋_GB2312" w:cs="仿宋_GB2312"/>
          <w:color w:val="auto"/>
          <w:spacing w:val="-6"/>
          <w:kern w:val="0"/>
          <w:sz w:val="32"/>
          <w:szCs w:val="32"/>
          <w:highlight w:val="none"/>
          <w:u w:val="none"/>
          <w:lang w:val="en-US" w:eastAsia="zh-CN"/>
        </w:rPr>
        <w:t>现状道路</w:t>
      </w:r>
      <w:r>
        <w:rPr>
          <w:rFonts w:hint="eastAsia" w:ascii="仿宋_GB2312" w:hAnsi="仿宋_GB2312" w:eastAsia="仿宋_GB2312" w:cs="仿宋_GB2312"/>
          <w:color w:val="auto"/>
          <w:spacing w:val="-6"/>
          <w:kern w:val="0"/>
          <w:sz w:val="32"/>
          <w:szCs w:val="32"/>
          <w:highlight w:val="none"/>
          <w:u w:val="none"/>
        </w:rPr>
        <w:t>，用地面积</w:t>
      </w:r>
      <w:r>
        <w:rPr>
          <w:rFonts w:hint="eastAsia" w:ascii="仿宋_GB2312" w:hAnsi="仿宋_GB2312" w:eastAsia="仿宋_GB2312" w:cs="仿宋_GB2312"/>
          <w:color w:val="auto"/>
          <w:spacing w:val="-6"/>
          <w:kern w:val="0"/>
          <w:sz w:val="32"/>
          <w:szCs w:val="32"/>
          <w:highlight w:val="none"/>
          <w:u w:val="none"/>
          <w:lang w:val="en-US" w:eastAsia="zh-CN"/>
        </w:rPr>
        <w:t>1.1008</w:t>
      </w:r>
      <w:r>
        <w:rPr>
          <w:rFonts w:hint="eastAsia" w:ascii="仿宋_GB2312" w:hAnsi="仿宋_GB2312" w:eastAsia="仿宋_GB2312" w:cs="仿宋_GB2312"/>
          <w:color w:val="auto"/>
          <w:spacing w:val="-6"/>
          <w:kern w:val="0"/>
          <w:sz w:val="32"/>
          <w:szCs w:val="32"/>
          <w:highlight w:val="none"/>
          <w:u w:val="none"/>
        </w:rPr>
        <w:t>公顷（</w:t>
      </w:r>
      <w:r>
        <w:rPr>
          <w:rFonts w:hint="eastAsia" w:ascii="仿宋_GB2312" w:hAnsi="仿宋_GB2312" w:eastAsia="仿宋_GB2312" w:cs="仿宋_GB2312"/>
          <w:color w:val="auto"/>
          <w:spacing w:val="-6"/>
          <w:kern w:val="0"/>
          <w:sz w:val="32"/>
          <w:szCs w:val="32"/>
          <w:highlight w:val="none"/>
          <w:u w:val="none"/>
          <w:lang w:val="en-US" w:eastAsia="zh-CN"/>
        </w:rPr>
        <w:t>11008.3</w:t>
      </w:r>
      <w:r>
        <w:rPr>
          <w:rFonts w:hint="eastAsia" w:ascii="仿宋_GB2312" w:hAnsi="仿宋_GB2312" w:eastAsia="仿宋_GB2312" w:cs="仿宋_GB2312"/>
          <w:color w:val="auto"/>
          <w:spacing w:val="-6"/>
          <w:kern w:val="0"/>
          <w:sz w:val="32"/>
          <w:szCs w:val="32"/>
          <w:highlight w:val="none"/>
          <w:u w:val="none"/>
        </w:rPr>
        <w:t>平方米，折合约</w:t>
      </w:r>
      <w:r>
        <w:rPr>
          <w:rFonts w:hint="eastAsia" w:ascii="仿宋_GB2312" w:hAnsi="仿宋_GB2312" w:eastAsia="仿宋_GB2312" w:cs="仿宋_GB2312"/>
          <w:color w:val="auto"/>
          <w:spacing w:val="-6"/>
          <w:kern w:val="0"/>
          <w:sz w:val="32"/>
          <w:szCs w:val="32"/>
          <w:highlight w:val="none"/>
          <w:u w:val="none"/>
          <w:lang w:val="en-US" w:eastAsia="zh-CN"/>
        </w:rPr>
        <w:t>16.51</w:t>
      </w:r>
      <w:r>
        <w:rPr>
          <w:rFonts w:hint="eastAsia" w:ascii="仿宋_GB2312" w:hAnsi="仿宋_GB2312" w:eastAsia="仿宋_GB2312" w:cs="仿宋_GB2312"/>
          <w:color w:val="auto"/>
          <w:spacing w:val="-6"/>
          <w:kern w:val="0"/>
          <w:sz w:val="32"/>
          <w:szCs w:val="32"/>
          <w:highlight w:val="none"/>
          <w:u w:val="none"/>
        </w:rPr>
        <w:t>亩）。</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楷体_GB2312" w:hAnsi="楷体_GB2312" w:eastAsia="楷体_GB2312" w:cs="楷体_GB2312"/>
          <w:color w:val="auto"/>
          <w:spacing w:val="-6"/>
          <w:sz w:val="32"/>
          <w:szCs w:val="32"/>
          <w:highlight w:val="none"/>
          <w:u w:val="none"/>
          <w:lang w:eastAsia="zh-CN"/>
        </w:rPr>
      </w:pPr>
      <w:r>
        <w:rPr>
          <w:rFonts w:hint="eastAsia" w:ascii="楷体_GB2312" w:hAnsi="楷体_GB2312" w:eastAsia="楷体_GB2312" w:cs="楷体_GB2312"/>
          <w:color w:val="auto"/>
          <w:spacing w:val="-6"/>
          <w:sz w:val="32"/>
          <w:szCs w:val="32"/>
          <w:highlight w:val="none"/>
          <w:u w:val="none"/>
        </w:rPr>
        <w:t>（二）</w:t>
      </w:r>
      <w:r>
        <w:rPr>
          <w:rFonts w:hint="eastAsia" w:ascii="楷体_GB2312" w:hAnsi="楷体_GB2312" w:eastAsia="楷体_GB2312" w:cs="楷体_GB2312"/>
          <w:color w:val="auto"/>
          <w:spacing w:val="-6"/>
          <w:sz w:val="32"/>
          <w:szCs w:val="32"/>
          <w:highlight w:val="none"/>
          <w:u w:val="none"/>
          <w:lang w:eastAsia="zh-CN"/>
        </w:rPr>
        <w:t>标图入库情况</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default" w:ascii="仿宋_GB2312" w:hAnsi="仿宋_GB2312" w:eastAsia="仿宋_GB2312" w:cs="仿宋_GB2312"/>
          <w:color w:val="auto"/>
          <w:spacing w:val="-6"/>
          <w:kern w:val="0"/>
          <w:sz w:val="32"/>
          <w:szCs w:val="32"/>
          <w:highlight w:val="yellow"/>
          <w:u w:val="none"/>
          <w:lang w:val="en-US" w:eastAsia="zh-CN"/>
        </w:rPr>
      </w:pPr>
      <w:r>
        <w:rPr>
          <w:rFonts w:hint="eastAsia" w:ascii="仿宋_GB2312" w:hAnsi="仿宋_GB2312" w:eastAsia="仿宋_GB2312" w:cs="仿宋_GB2312"/>
          <w:color w:val="auto"/>
          <w:spacing w:val="-6"/>
          <w:kern w:val="0"/>
          <w:sz w:val="32"/>
          <w:szCs w:val="32"/>
          <w:highlight w:val="none"/>
          <w:u w:val="none"/>
          <w:lang w:val="en-US" w:eastAsia="zh-CN"/>
        </w:rPr>
        <w:t>改造地块1.0369公顷（10369.22平方米，折合约15.55亩）于2024年纳入低效用地数据库，图斑编号为442000108000018。另有0.0639公顷（639.08平方米，折合约0.96亩）未纳入低效用地数据库。</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楷体_GB2312" w:hAnsi="楷体_GB2312" w:eastAsia="楷体_GB2312" w:cs="楷体_GB2312"/>
          <w:color w:val="auto"/>
          <w:spacing w:val="-6"/>
          <w:sz w:val="32"/>
          <w:szCs w:val="32"/>
          <w:highlight w:val="none"/>
          <w:u w:val="none"/>
          <w:lang w:eastAsia="zh-CN"/>
        </w:rPr>
      </w:pPr>
      <w:r>
        <w:rPr>
          <w:rFonts w:hint="eastAsia" w:ascii="楷体_GB2312" w:hAnsi="楷体_GB2312" w:eastAsia="楷体_GB2312" w:cs="楷体_GB2312"/>
          <w:color w:val="auto"/>
          <w:spacing w:val="-6"/>
          <w:sz w:val="32"/>
          <w:szCs w:val="32"/>
          <w:highlight w:val="none"/>
          <w:u w:val="none"/>
        </w:rPr>
        <w:t>（</w:t>
      </w:r>
      <w:r>
        <w:rPr>
          <w:rFonts w:hint="eastAsia" w:ascii="楷体_GB2312" w:hAnsi="楷体_GB2312" w:eastAsia="楷体_GB2312" w:cs="楷体_GB2312"/>
          <w:color w:val="auto"/>
          <w:spacing w:val="-6"/>
          <w:sz w:val="32"/>
          <w:szCs w:val="32"/>
          <w:highlight w:val="none"/>
          <w:u w:val="none"/>
          <w:lang w:val="en-US" w:eastAsia="zh-CN"/>
        </w:rPr>
        <w:t>三</w:t>
      </w:r>
      <w:r>
        <w:rPr>
          <w:rFonts w:hint="eastAsia" w:ascii="楷体_GB2312" w:hAnsi="楷体_GB2312" w:eastAsia="楷体_GB2312" w:cs="楷体_GB2312"/>
          <w:color w:val="auto"/>
          <w:spacing w:val="-6"/>
          <w:sz w:val="32"/>
          <w:szCs w:val="32"/>
          <w:highlight w:val="none"/>
          <w:u w:val="none"/>
        </w:rPr>
        <w:t>）权属情况</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default" w:ascii="仿宋_GB2312" w:hAnsi="仿宋_GB2312" w:eastAsia="仿宋_GB2312" w:cs="仿宋_GB2312"/>
          <w:color w:val="FF0000"/>
          <w:spacing w:val="-6"/>
          <w:kern w:val="0"/>
          <w:sz w:val="32"/>
          <w:szCs w:val="32"/>
          <w:highlight w:val="none"/>
          <w:u w:val="none"/>
          <w:lang w:val="en-US" w:eastAsia="zh-CN"/>
        </w:rPr>
      </w:pPr>
      <w:r>
        <w:rPr>
          <w:rFonts w:hint="eastAsia" w:ascii="仿宋_GB2312" w:hAnsi="仿宋_GB2312" w:eastAsia="仿宋_GB2312" w:cs="仿宋_GB2312"/>
          <w:color w:val="auto"/>
          <w:spacing w:val="-6"/>
          <w:kern w:val="0"/>
          <w:sz w:val="32"/>
          <w:szCs w:val="32"/>
          <w:highlight w:val="none"/>
          <w:u w:val="none"/>
        </w:rPr>
        <w:t>改造</w:t>
      </w:r>
      <w:r>
        <w:rPr>
          <w:rFonts w:hint="eastAsia" w:ascii="仿宋_GB2312" w:hAnsi="仿宋_GB2312" w:eastAsia="仿宋_GB2312" w:cs="仿宋_GB2312"/>
          <w:color w:val="auto"/>
          <w:spacing w:val="-6"/>
          <w:kern w:val="0"/>
          <w:sz w:val="32"/>
          <w:szCs w:val="32"/>
          <w:highlight w:val="none"/>
          <w:u w:val="none"/>
          <w:lang w:eastAsia="zh-CN"/>
        </w:rPr>
        <w:t>地块</w:t>
      </w:r>
      <w:r>
        <w:rPr>
          <w:rFonts w:hint="eastAsia" w:ascii="仿宋_GB2312" w:hAnsi="仿宋_GB2312" w:eastAsia="仿宋_GB2312" w:cs="仿宋_GB2312"/>
          <w:color w:val="auto"/>
          <w:spacing w:val="-6"/>
          <w:kern w:val="0"/>
          <w:sz w:val="32"/>
          <w:szCs w:val="32"/>
          <w:highlight w:val="none"/>
          <w:u w:val="none"/>
        </w:rPr>
        <w:t>属国有建设用地，土地用途为工业，改造涉及的土地已经确权、登记，土地证号为中府国用（2013）第1100208号，</w:t>
      </w:r>
      <w:r>
        <w:rPr>
          <w:rFonts w:hint="eastAsia" w:ascii="仿宋_GB2312" w:hAnsi="仿宋_GB2312" w:eastAsia="仿宋_GB2312" w:cs="仿宋_GB2312"/>
          <w:color w:val="auto"/>
          <w:spacing w:val="-6"/>
          <w:kern w:val="0"/>
          <w:sz w:val="32"/>
          <w:szCs w:val="32"/>
          <w:highlight w:val="none"/>
          <w:u w:val="none"/>
          <w:lang w:eastAsia="zh-CN"/>
        </w:rPr>
        <w:t>为</w:t>
      </w:r>
      <w:r>
        <w:rPr>
          <w:rFonts w:hint="eastAsia" w:ascii="仿宋_GB2312" w:hAnsi="仿宋_GB2312" w:eastAsia="仿宋_GB2312" w:cs="仿宋_GB2312"/>
          <w:color w:val="auto"/>
          <w:spacing w:val="-6"/>
          <w:kern w:val="0"/>
          <w:sz w:val="32"/>
          <w:szCs w:val="32"/>
          <w:highlight w:val="none"/>
          <w:u w:val="none"/>
        </w:rPr>
        <w:t>土地</w:t>
      </w:r>
      <w:r>
        <w:rPr>
          <w:rFonts w:hint="eastAsia" w:ascii="仿宋_GB2312" w:hAnsi="仿宋_GB2312" w:eastAsia="仿宋_GB2312" w:cs="仿宋_GB2312"/>
          <w:color w:val="auto"/>
          <w:spacing w:val="-6"/>
          <w:kern w:val="0"/>
          <w:sz w:val="32"/>
          <w:szCs w:val="32"/>
          <w:highlight w:val="none"/>
          <w:u w:val="none"/>
          <w:lang w:val="en-US" w:eastAsia="zh-CN"/>
        </w:rPr>
        <w:t>使用权</w:t>
      </w:r>
      <w:r>
        <w:rPr>
          <w:rFonts w:hint="eastAsia" w:ascii="仿宋_GB2312" w:hAnsi="仿宋_GB2312" w:eastAsia="仿宋_GB2312" w:cs="仿宋_GB2312"/>
          <w:color w:val="auto"/>
          <w:spacing w:val="-6"/>
          <w:kern w:val="0"/>
          <w:sz w:val="32"/>
          <w:szCs w:val="32"/>
          <w:highlight w:val="none"/>
          <w:u w:val="none"/>
        </w:rPr>
        <w:t>人</w:t>
      </w:r>
      <w:r>
        <w:rPr>
          <w:rFonts w:hint="eastAsia" w:ascii="仿宋_GB2312" w:hAnsi="仿宋_GB2312" w:eastAsia="仿宋_GB2312" w:cs="仿宋_GB2312"/>
          <w:color w:val="auto"/>
          <w:spacing w:val="-6"/>
          <w:kern w:val="0"/>
          <w:sz w:val="32"/>
          <w:szCs w:val="32"/>
          <w:highlight w:val="none"/>
          <w:u w:val="none"/>
          <w:lang w:eastAsia="zh-CN"/>
        </w:rPr>
        <w:t>中山市路桥建设有限公司</w:t>
      </w:r>
      <w:r>
        <w:rPr>
          <w:rFonts w:hint="eastAsia" w:ascii="仿宋_GB2312" w:hAnsi="仿宋_GB2312" w:eastAsia="仿宋_GB2312" w:cs="仿宋_GB2312"/>
          <w:color w:val="auto"/>
          <w:spacing w:val="-6"/>
          <w:kern w:val="0"/>
          <w:sz w:val="32"/>
          <w:szCs w:val="32"/>
          <w:highlight w:val="none"/>
          <w:u w:val="none"/>
        </w:rPr>
        <w:t>自</w:t>
      </w:r>
      <w:r>
        <w:rPr>
          <w:rFonts w:hint="eastAsia" w:ascii="仿宋_GB2312" w:hAnsi="仿宋_GB2312" w:eastAsia="仿宋_GB2312" w:cs="仿宋_GB2312"/>
          <w:color w:val="auto"/>
          <w:spacing w:val="-6"/>
          <w:kern w:val="0"/>
          <w:sz w:val="32"/>
          <w:szCs w:val="32"/>
          <w:highlight w:val="none"/>
          <w:u w:val="none"/>
          <w:lang w:val="en-US" w:eastAsia="zh-CN"/>
        </w:rPr>
        <w:t>2013年3月开始</w:t>
      </w:r>
      <w:r>
        <w:rPr>
          <w:rFonts w:hint="eastAsia" w:ascii="仿宋_GB2312" w:hAnsi="仿宋_GB2312" w:eastAsia="仿宋_GB2312" w:cs="仿宋_GB2312"/>
          <w:color w:val="auto"/>
          <w:spacing w:val="-6"/>
          <w:kern w:val="0"/>
          <w:sz w:val="32"/>
          <w:szCs w:val="32"/>
          <w:highlight w:val="none"/>
          <w:u w:val="none"/>
        </w:rPr>
        <w:t>使用。</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楷体_GB2312" w:hAnsi="楷体_GB2312" w:eastAsia="楷体_GB2312" w:cs="楷体_GB2312"/>
          <w:color w:val="auto"/>
          <w:spacing w:val="-6"/>
          <w:sz w:val="32"/>
          <w:szCs w:val="32"/>
          <w:highlight w:val="none"/>
          <w:u w:val="none"/>
          <w:lang w:eastAsia="zh-CN"/>
        </w:rPr>
      </w:pPr>
      <w:r>
        <w:rPr>
          <w:rFonts w:hint="eastAsia" w:ascii="楷体_GB2312" w:hAnsi="楷体_GB2312" w:eastAsia="楷体_GB2312" w:cs="楷体_GB2312"/>
          <w:color w:val="auto"/>
          <w:spacing w:val="-6"/>
          <w:sz w:val="32"/>
          <w:szCs w:val="32"/>
          <w:highlight w:val="none"/>
          <w:u w:val="none"/>
        </w:rPr>
        <w:t>（</w:t>
      </w:r>
      <w:r>
        <w:rPr>
          <w:rFonts w:hint="eastAsia" w:ascii="楷体_GB2312" w:hAnsi="楷体_GB2312" w:eastAsia="楷体_GB2312" w:cs="楷体_GB2312"/>
          <w:color w:val="auto"/>
          <w:spacing w:val="-6"/>
          <w:sz w:val="32"/>
          <w:szCs w:val="32"/>
          <w:highlight w:val="none"/>
          <w:u w:val="none"/>
          <w:lang w:val="en-US" w:eastAsia="zh-CN"/>
        </w:rPr>
        <w:t>四</w:t>
      </w:r>
      <w:r>
        <w:rPr>
          <w:rFonts w:hint="eastAsia" w:ascii="楷体_GB2312" w:hAnsi="楷体_GB2312" w:eastAsia="楷体_GB2312" w:cs="楷体_GB2312"/>
          <w:color w:val="auto"/>
          <w:spacing w:val="-6"/>
          <w:sz w:val="32"/>
          <w:szCs w:val="32"/>
          <w:highlight w:val="none"/>
          <w:u w:val="none"/>
        </w:rPr>
        <w:t>）土地利用现状情况</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仿宋_GB2312" w:hAnsi="仿宋_GB2312" w:eastAsia="仿宋_GB2312" w:cs="仿宋_GB2312"/>
          <w:color w:val="auto"/>
          <w:spacing w:val="-6"/>
          <w:kern w:val="0"/>
          <w:sz w:val="32"/>
          <w:szCs w:val="32"/>
          <w:highlight w:val="none"/>
          <w:u w:val="none"/>
        </w:rPr>
      </w:pPr>
      <w:r>
        <w:rPr>
          <w:rFonts w:hint="eastAsia" w:ascii="仿宋_GB2312" w:hAnsi="仿宋_GB2312" w:eastAsia="仿宋_GB2312" w:cs="仿宋_GB2312"/>
          <w:color w:val="auto"/>
          <w:spacing w:val="-6"/>
          <w:kern w:val="0"/>
          <w:sz w:val="32"/>
          <w:szCs w:val="32"/>
          <w:highlight w:val="none"/>
          <w:u w:val="none"/>
          <w:lang w:val="en-US" w:eastAsia="zh-CN"/>
        </w:rPr>
        <w:t>改造地块“三调”及最新土地利用现状均为建设用地。</w:t>
      </w:r>
      <w:r>
        <w:rPr>
          <w:rFonts w:hint="eastAsia" w:ascii="仿宋_GB2312" w:hAnsi="仿宋_GB2312" w:eastAsia="仿宋_GB2312" w:cs="仿宋_GB2312"/>
          <w:color w:val="auto"/>
          <w:spacing w:val="-6"/>
          <w:kern w:val="0"/>
          <w:sz w:val="32"/>
          <w:szCs w:val="32"/>
          <w:highlight w:val="none"/>
          <w:u w:val="none"/>
        </w:rPr>
        <w:t>改造</w:t>
      </w:r>
      <w:r>
        <w:rPr>
          <w:rFonts w:hint="eastAsia" w:ascii="仿宋_GB2312" w:hAnsi="仿宋_GB2312" w:eastAsia="仿宋_GB2312" w:cs="仿宋_GB2312"/>
          <w:color w:val="auto"/>
          <w:spacing w:val="-6"/>
          <w:kern w:val="0"/>
          <w:sz w:val="32"/>
          <w:szCs w:val="32"/>
          <w:highlight w:val="none"/>
          <w:u w:val="none"/>
          <w:lang w:eastAsia="zh-CN"/>
        </w:rPr>
        <w:t>范围内</w:t>
      </w:r>
      <w:r>
        <w:rPr>
          <w:rFonts w:hint="eastAsia" w:ascii="仿宋_GB2312" w:hAnsi="仿宋_GB2312" w:eastAsia="仿宋_GB2312" w:cs="仿宋_GB2312"/>
          <w:color w:val="auto"/>
          <w:spacing w:val="-6"/>
          <w:kern w:val="0"/>
          <w:sz w:val="32"/>
          <w:szCs w:val="32"/>
          <w:highlight w:val="none"/>
          <w:u w:val="none"/>
        </w:rPr>
        <w:t>现有</w:t>
      </w:r>
      <w:r>
        <w:rPr>
          <w:rFonts w:hint="eastAsia" w:ascii="仿宋_GB2312" w:hAnsi="仿宋_GB2312" w:eastAsia="仿宋_GB2312" w:cs="仿宋_GB2312"/>
          <w:color w:val="auto"/>
          <w:spacing w:val="-6"/>
          <w:kern w:val="0"/>
          <w:sz w:val="32"/>
          <w:szCs w:val="32"/>
          <w:highlight w:val="none"/>
          <w:u w:val="none"/>
          <w:lang w:val="en-US" w:eastAsia="zh-CN"/>
        </w:rPr>
        <w:t>3</w:t>
      </w:r>
      <w:r>
        <w:rPr>
          <w:rFonts w:hint="eastAsia" w:ascii="仿宋_GB2312" w:hAnsi="仿宋_GB2312" w:eastAsia="仿宋_GB2312" w:cs="仿宋_GB2312"/>
          <w:color w:val="auto"/>
          <w:spacing w:val="-6"/>
          <w:kern w:val="0"/>
          <w:sz w:val="32"/>
          <w:szCs w:val="32"/>
          <w:highlight w:val="none"/>
          <w:u w:val="none"/>
        </w:rPr>
        <w:t>栋建筑物，为</w:t>
      </w:r>
      <w:r>
        <w:rPr>
          <w:rFonts w:hint="eastAsia" w:ascii="仿宋_GB2312" w:hAnsi="仿宋_GB2312" w:eastAsia="仿宋_GB2312" w:cs="仿宋_GB2312"/>
          <w:color w:val="auto"/>
          <w:spacing w:val="-6"/>
          <w:kern w:val="0"/>
          <w:sz w:val="32"/>
          <w:szCs w:val="32"/>
          <w:highlight w:val="none"/>
          <w:u w:val="none"/>
          <w:lang w:eastAsia="zh-CN"/>
        </w:rPr>
        <w:t>中山市路桥建设有限公司</w:t>
      </w:r>
      <w:r>
        <w:rPr>
          <w:rFonts w:hint="eastAsia" w:ascii="仿宋_GB2312" w:hAnsi="仿宋_GB2312" w:eastAsia="仿宋_GB2312" w:cs="仿宋_GB2312"/>
          <w:color w:val="auto"/>
          <w:spacing w:val="-6"/>
          <w:kern w:val="0"/>
          <w:sz w:val="32"/>
          <w:szCs w:val="32"/>
          <w:highlight w:val="none"/>
          <w:u w:val="none"/>
        </w:rPr>
        <w:t>自</w:t>
      </w:r>
      <w:r>
        <w:rPr>
          <w:rFonts w:hint="eastAsia" w:ascii="仿宋_GB2312" w:hAnsi="仿宋_GB2312" w:eastAsia="仿宋_GB2312" w:cs="仿宋_GB2312"/>
          <w:color w:val="auto"/>
          <w:spacing w:val="-6"/>
          <w:kern w:val="0"/>
          <w:sz w:val="32"/>
          <w:szCs w:val="32"/>
          <w:highlight w:val="none"/>
          <w:u w:val="none"/>
          <w:lang w:val="en-US" w:eastAsia="zh-CN"/>
        </w:rPr>
        <w:t>2013</w:t>
      </w:r>
      <w:r>
        <w:rPr>
          <w:rFonts w:hint="eastAsia" w:ascii="仿宋_GB2312" w:hAnsi="仿宋_GB2312" w:eastAsia="仿宋_GB2312" w:cs="仿宋_GB2312"/>
          <w:color w:val="auto"/>
          <w:spacing w:val="-6"/>
          <w:kern w:val="0"/>
          <w:sz w:val="32"/>
          <w:szCs w:val="32"/>
          <w:highlight w:val="none"/>
          <w:u w:val="none"/>
        </w:rPr>
        <w:t>年</w:t>
      </w:r>
      <w:r>
        <w:rPr>
          <w:rFonts w:hint="eastAsia" w:ascii="仿宋_GB2312" w:hAnsi="仿宋_GB2312" w:eastAsia="仿宋_GB2312" w:cs="仿宋_GB2312"/>
          <w:color w:val="auto"/>
          <w:spacing w:val="-6"/>
          <w:kern w:val="0"/>
          <w:sz w:val="32"/>
          <w:szCs w:val="32"/>
          <w:highlight w:val="none"/>
          <w:u w:val="none"/>
          <w:lang w:val="en-US" w:eastAsia="zh-CN"/>
        </w:rPr>
        <w:t>7</w:t>
      </w:r>
      <w:r>
        <w:rPr>
          <w:rFonts w:hint="eastAsia" w:ascii="仿宋_GB2312" w:hAnsi="仿宋_GB2312" w:eastAsia="仿宋_GB2312" w:cs="仿宋_GB2312"/>
          <w:color w:val="auto"/>
          <w:spacing w:val="-6"/>
          <w:kern w:val="0"/>
          <w:sz w:val="32"/>
          <w:szCs w:val="32"/>
          <w:highlight w:val="none"/>
          <w:u w:val="none"/>
        </w:rPr>
        <w:t>月开始使用。</w:t>
      </w:r>
      <w:r>
        <w:rPr>
          <w:rFonts w:hint="eastAsia" w:ascii="仿宋_GB2312" w:hAnsi="仿宋_GB2312" w:eastAsia="仿宋_GB2312" w:cs="仿宋_GB2312"/>
          <w:color w:val="auto"/>
          <w:spacing w:val="-6"/>
          <w:kern w:val="0"/>
          <w:sz w:val="32"/>
          <w:szCs w:val="32"/>
          <w:highlight w:val="none"/>
          <w:u w:val="none"/>
          <w:lang w:eastAsia="zh-CN"/>
        </w:rPr>
        <w:t>现有建筑</w:t>
      </w:r>
      <w:r>
        <w:rPr>
          <w:rFonts w:hint="eastAsia" w:ascii="仿宋_GB2312" w:hAnsi="仿宋_GB2312" w:eastAsia="仿宋_GB2312" w:cs="仿宋_GB2312"/>
          <w:color w:val="auto"/>
          <w:spacing w:val="-6"/>
          <w:kern w:val="0"/>
          <w:sz w:val="32"/>
          <w:szCs w:val="32"/>
          <w:highlight w:val="none"/>
          <w:u w:val="none"/>
          <w:lang w:val="en-US" w:eastAsia="zh-CN"/>
        </w:rPr>
        <w:t>为临时建筑，</w:t>
      </w:r>
      <w:r>
        <w:rPr>
          <w:rFonts w:hint="eastAsia" w:ascii="仿宋_GB2312" w:hAnsi="仿宋_GB2312" w:eastAsia="仿宋_GB2312" w:cs="仿宋_GB2312"/>
          <w:color w:val="auto"/>
          <w:spacing w:val="-6"/>
          <w:kern w:val="0"/>
          <w:sz w:val="32"/>
          <w:szCs w:val="32"/>
          <w:highlight w:val="none"/>
          <w:u w:val="none"/>
          <w:lang w:eastAsia="zh-CN"/>
        </w:rPr>
        <w:t>未办理规划报建手续，建筑面积</w:t>
      </w:r>
      <w:r>
        <w:rPr>
          <w:rFonts w:hint="eastAsia" w:ascii="仿宋_GB2312" w:hAnsi="仿宋_GB2312" w:eastAsia="仿宋_GB2312" w:cs="仿宋_GB2312"/>
          <w:color w:val="auto"/>
          <w:spacing w:val="-6"/>
          <w:kern w:val="0"/>
          <w:sz w:val="32"/>
          <w:szCs w:val="32"/>
          <w:highlight w:val="none"/>
          <w:u w:val="none"/>
          <w:lang w:val="en-US" w:eastAsia="zh-CN"/>
        </w:rPr>
        <w:t>6962</w:t>
      </w:r>
      <w:r>
        <w:rPr>
          <w:rFonts w:hint="eastAsia" w:ascii="仿宋_GB2312" w:hAnsi="仿宋_GB2312" w:eastAsia="仿宋_GB2312" w:cs="仿宋_GB2312"/>
          <w:color w:val="auto"/>
          <w:spacing w:val="-6"/>
          <w:kern w:val="0"/>
          <w:sz w:val="32"/>
          <w:szCs w:val="32"/>
          <w:highlight w:val="none"/>
          <w:u w:val="none"/>
          <w:lang w:eastAsia="zh-CN"/>
        </w:rPr>
        <w:t>平方米，现状容积率0.6</w:t>
      </w:r>
      <w:r>
        <w:rPr>
          <w:rFonts w:hint="eastAsia" w:ascii="仿宋_GB2312" w:hAnsi="仿宋_GB2312" w:eastAsia="仿宋_GB2312" w:cs="仿宋_GB2312"/>
          <w:color w:val="auto"/>
          <w:spacing w:val="-6"/>
          <w:kern w:val="0"/>
          <w:sz w:val="32"/>
          <w:szCs w:val="32"/>
          <w:highlight w:val="none"/>
          <w:u w:val="none"/>
          <w:lang w:val="en-US" w:eastAsia="zh-CN"/>
        </w:rPr>
        <w:t>3</w:t>
      </w:r>
      <w:r>
        <w:rPr>
          <w:rFonts w:hint="eastAsia" w:ascii="仿宋_GB2312" w:hAnsi="仿宋_GB2312" w:eastAsia="仿宋_GB2312" w:cs="仿宋_GB2312"/>
          <w:color w:val="auto"/>
          <w:spacing w:val="-6"/>
          <w:kern w:val="0"/>
          <w:sz w:val="32"/>
          <w:szCs w:val="32"/>
          <w:highlight w:val="none"/>
          <w:u w:val="none"/>
          <w:lang w:eastAsia="zh-CN"/>
        </w:rPr>
        <w:t>，作工业厂房所用。该地块目前已拆除建筑面积</w:t>
      </w:r>
      <w:r>
        <w:rPr>
          <w:rFonts w:hint="eastAsia" w:ascii="仿宋_GB2312" w:hAnsi="仿宋_GB2312" w:eastAsia="仿宋_GB2312" w:cs="仿宋_GB2312"/>
          <w:color w:val="auto"/>
          <w:spacing w:val="-6"/>
          <w:kern w:val="0"/>
          <w:sz w:val="32"/>
          <w:szCs w:val="32"/>
          <w:highlight w:val="none"/>
          <w:u w:val="none"/>
          <w:lang w:val="en-US" w:eastAsia="zh-CN"/>
        </w:rPr>
        <w:t>6562</w:t>
      </w:r>
      <w:r>
        <w:rPr>
          <w:rFonts w:hint="eastAsia" w:ascii="仿宋_GB2312" w:hAnsi="仿宋_GB2312" w:eastAsia="仿宋_GB2312" w:cs="仿宋_GB2312"/>
          <w:color w:val="auto"/>
          <w:spacing w:val="-6"/>
          <w:kern w:val="0"/>
          <w:sz w:val="32"/>
          <w:szCs w:val="32"/>
          <w:highlight w:val="none"/>
          <w:u w:val="none"/>
          <w:lang w:eastAsia="zh-CN"/>
        </w:rPr>
        <w:t>平方米，改造前年产值为</w:t>
      </w:r>
      <w:r>
        <w:rPr>
          <w:rFonts w:hint="eastAsia" w:ascii="仿宋_GB2312" w:hAnsi="仿宋_GB2312" w:eastAsia="仿宋_GB2312" w:cs="仿宋_GB2312"/>
          <w:color w:val="auto"/>
          <w:spacing w:val="-6"/>
          <w:kern w:val="0"/>
          <w:sz w:val="32"/>
          <w:szCs w:val="32"/>
          <w:highlight w:val="none"/>
          <w:u w:val="none"/>
          <w:lang w:val="en-US" w:eastAsia="zh-CN"/>
        </w:rPr>
        <w:t>0</w:t>
      </w:r>
      <w:r>
        <w:rPr>
          <w:rFonts w:hint="eastAsia" w:ascii="仿宋_GB2312" w:hAnsi="仿宋_GB2312" w:eastAsia="仿宋_GB2312" w:cs="仿宋_GB2312"/>
          <w:color w:val="auto"/>
          <w:spacing w:val="-6"/>
          <w:kern w:val="0"/>
          <w:sz w:val="32"/>
          <w:szCs w:val="32"/>
          <w:highlight w:val="none"/>
          <w:u w:val="none"/>
          <w:lang w:eastAsia="zh-CN"/>
        </w:rPr>
        <w:t>万元，年税收为</w:t>
      </w:r>
      <w:r>
        <w:rPr>
          <w:rFonts w:hint="eastAsia" w:ascii="仿宋_GB2312" w:hAnsi="仿宋_GB2312" w:eastAsia="仿宋_GB2312" w:cs="仿宋_GB2312"/>
          <w:color w:val="auto"/>
          <w:spacing w:val="-6"/>
          <w:kern w:val="0"/>
          <w:sz w:val="32"/>
          <w:szCs w:val="32"/>
          <w:highlight w:val="none"/>
          <w:u w:val="none"/>
          <w:lang w:val="en-US" w:eastAsia="zh-CN"/>
        </w:rPr>
        <w:t>0</w:t>
      </w:r>
      <w:r>
        <w:rPr>
          <w:rFonts w:hint="eastAsia" w:ascii="仿宋_GB2312" w:hAnsi="仿宋_GB2312" w:eastAsia="仿宋_GB2312" w:cs="仿宋_GB2312"/>
          <w:color w:val="auto"/>
          <w:spacing w:val="-6"/>
          <w:kern w:val="0"/>
          <w:sz w:val="32"/>
          <w:szCs w:val="32"/>
          <w:highlight w:val="none"/>
          <w:u w:val="none"/>
          <w:lang w:eastAsia="zh-CN"/>
        </w:rPr>
        <w:t>万元</w:t>
      </w:r>
      <w:r>
        <w:rPr>
          <w:rFonts w:hint="eastAsia" w:ascii="仿宋_GB2312" w:hAnsi="仿宋_GB2312" w:eastAsia="仿宋_GB2312" w:cs="仿宋_GB2312"/>
          <w:color w:val="auto"/>
          <w:kern w:val="0"/>
          <w:sz w:val="32"/>
          <w:szCs w:val="32"/>
          <w:highlight w:val="none"/>
          <w:u w:val="none"/>
        </w:rPr>
        <w:t>。</w:t>
      </w:r>
    </w:p>
    <w:p>
      <w:pPr>
        <w:keepNext w:val="0"/>
        <w:keepLines w:val="0"/>
        <w:pageBreakBefore w:val="0"/>
        <w:widowControl/>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仿宋_GB2312" w:hAnsi="仿宋_GB2312" w:eastAsia="仿宋_GB2312" w:cs="仿宋_GB2312"/>
          <w:color w:val="auto"/>
          <w:spacing w:val="-6"/>
          <w:kern w:val="0"/>
          <w:sz w:val="32"/>
          <w:szCs w:val="32"/>
          <w:highlight w:val="none"/>
          <w:u w:val="none"/>
        </w:rPr>
      </w:pPr>
      <w:r>
        <w:rPr>
          <w:rFonts w:hint="eastAsia" w:ascii="仿宋_GB2312" w:hAnsi="仿宋_GB2312" w:eastAsia="仿宋_GB2312" w:cs="仿宋_GB2312"/>
          <w:color w:val="auto"/>
          <w:spacing w:val="-6"/>
          <w:kern w:val="0"/>
          <w:sz w:val="32"/>
          <w:szCs w:val="32"/>
          <w:highlight w:val="none"/>
          <w:u w:val="none"/>
          <w:lang w:val="en-US" w:eastAsia="zh-CN"/>
        </w:rPr>
        <w:t>改造地块不涉及土壤环境潜在监管地块、抵押、查封及历史文化资源要素等情况；属于闲置土地，正在办理闲置土地处置手续</w:t>
      </w:r>
      <w:r>
        <w:rPr>
          <w:rFonts w:hint="eastAsia" w:ascii="仿宋_GB2312" w:hAnsi="仿宋_GB2312" w:eastAsia="仿宋_GB2312" w:cs="仿宋_GB2312"/>
          <w:color w:val="auto"/>
          <w:spacing w:val="-6"/>
          <w:kern w:val="0"/>
          <w:sz w:val="32"/>
          <w:szCs w:val="32"/>
          <w:highlight w:val="none"/>
          <w:u w:val="none"/>
        </w:rPr>
        <w:t>。</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楷体_GB2312" w:hAnsi="楷体_GB2312" w:eastAsia="楷体_GB2312" w:cs="楷体_GB2312"/>
          <w:color w:val="auto"/>
          <w:spacing w:val="-6"/>
          <w:sz w:val="32"/>
          <w:szCs w:val="32"/>
          <w:highlight w:val="none"/>
          <w:u w:val="none"/>
          <w:lang w:eastAsia="zh-CN"/>
        </w:rPr>
      </w:pPr>
      <w:r>
        <w:rPr>
          <w:rFonts w:hint="eastAsia" w:ascii="楷体_GB2312" w:hAnsi="楷体_GB2312" w:eastAsia="楷体_GB2312" w:cs="楷体_GB2312"/>
          <w:color w:val="auto"/>
          <w:spacing w:val="-6"/>
          <w:sz w:val="32"/>
          <w:szCs w:val="32"/>
          <w:highlight w:val="none"/>
          <w:u w:val="none"/>
        </w:rPr>
        <w:t>（</w:t>
      </w:r>
      <w:r>
        <w:rPr>
          <w:rFonts w:hint="eastAsia" w:ascii="楷体_GB2312" w:hAnsi="楷体_GB2312" w:eastAsia="楷体_GB2312" w:cs="楷体_GB2312"/>
          <w:color w:val="auto"/>
          <w:spacing w:val="-6"/>
          <w:sz w:val="32"/>
          <w:szCs w:val="32"/>
          <w:highlight w:val="none"/>
          <w:u w:val="none"/>
          <w:lang w:val="en-US" w:eastAsia="zh-CN"/>
        </w:rPr>
        <w:t>五</w:t>
      </w:r>
      <w:r>
        <w:rPr>
          <w:rFonts w:hint="eastAsia" w:ascii="楷体_GB2312" w:hAnsi="楷体_GB2312" w:eastAsia="楷体_GB2312" w:cs="楷体_GB2312"/>
          <w:color w:val="auto"/>
          <w:spacing w:val="-6"/>
          <w:sz w:val="32"/>
          <w:szCs w:val="32"/>
          <w:highlight w:val="none"/>
          <w:u w:val="none"/>
        </w:rPr>
        <w:t>）规划情况</w:t>
      </w:r>
    </w:p>
    <w:p>
      <w:pPr>
        <w:keepNext w:val="0"/>
        <w:keepLines w:val="0"/>
        <w:pageBreakBefore w:val="0"/>
        <w:widowControl/>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仿宋_GB2312" w:hAnsi="仿宋_GB2312" w:eastAsia="仿宋_GB2312" w:cs="仿宋_GB2312"/>
          <w:color w:val="auto"/>
          <w:spacing w:val="-6"/>
          <w:kern w:val="0"/>
          <w:sz w:val="32"/>
          <w:szCs w:val="32"/>
          <w:highlight w:val="none"/>
          <w:u w:val="none"/>
          <w:lang w:eastAsia="zh-CN"/>
        </w:rPr>
      </w:pPr>
      <w:r>
        <w:rPr>
          <w:rFonts w:hint="eastAsia" w:ascii="仿宋_GB2312" w:hAnsi="仿宋_GB2312" w:eastAsia="仿宋_GB2312" w:cs="仿宋_GB2312"/>
          <w:color w:val="auto"/>
          <w:spacing w:val="-6"/>
          <w:kern w:val="0"/>
          <w:sz w:val="32"/>
          <w:szCs w:val="32"/>
          <w:highlight w:val="none"/>
          <w:u w:val="none"/>
        </w:rPr>
        <w:t>改造地块符合国土空间总体规划及现行控制性详细规划。其中，在国土空间总体规划中，</w:t>
      </w:r>
      <w:r>
        <w:rPr>
          <w:rFonts w:hint="eastAsia" w:ascii="仿宋_GB2312" w:hAnsi="仿宋_GB2312" w:eastAsia="仿宋_GB2312" w:cs="仿宋_GB2312"/>
          <w:color w:val="auto"/>
          <w:spacing w:val="-6"/>
          <w:kern w:val="0"/>
          <w:sz w:val="32"/>
          <w:szCs w:val="32"/>
          <w:highlight w:val="none"/>
          <w:u w:val="none"/>
          <w:lang w:val="en-US" w:eastAsia="zh-CN"/>
        </w:rPr>
        <w:t>均规划为</w:t>
      </w:r>
      <w:r>
        <w:rPr>
          <w:rFonts w:hint="eastAsia" w:ascii="仿宋_GB2312" w:hAnsi="仿宋_GB2312" w:eastAsia="仿宋_GB2312" w:cs="仿宋_GB2312"/>
          <w:color w:val="auto"/>
          <w:spacing w:val="-6"/>
          <w:kern w:val="0"/>
          <w:sz w:val="32"/>
          <w:szCs w:val="32"/>
          <w:highlight w:val="none"/>
          <w:u w:val="none"/>
        </w:rPr>
        <w:t>城乡建设用地。</w:t>
      </w:r>
      <w:r>
        <w:rPr>
          <w:rFonts w:hint="eastAsia" w:ascii="仿宋_GB2312" w:hAnsi="仿宋_GB2312" w:eastAsia="仿宋_GB2312" w:cs="仿宋_GB2312"/>
          <w:color w:val="auto"/>
          <w:spacing w:val="-6"/>
          <w:kern w:val="0"/>
          <w:sz w:val="32"/>
          <w:szCs w:val="32"/>
          <w:highlight w:val="none"/>
          <w:u w:val="none"/>
          <w:lang w:eastAsia="zh-CN"/>
        </w:rPr>
        <w:t>在《中山市港口镇石特工业园片区（0801单元）控制性详细规划一般修改（2025）》（中府函〔2025〕8 号）中，</w:t>
      </w:r>
      <w:r>
        <w:rPr>
          <w:rFonts w:hint="eastAsia" w:ascii="仿宋_GB2312" w:hAnsi="仿宋_GB2312" w:eastAsia="仿宋_GB2312" w:cs="仿宋_GB2312"/>
          <w:color w:val="auto"/>
          <w:spacing w:val="-6"/>
          <w:kern w:val="0"/>
          <w:sz w:val="32"/>
          <w:szCs w:val="32"/>
          <w:highlight w:val="none"/>
          <w:u w:val="none"/>
          <w:lang w:val="en-US" w:eastAsia="zh-CN"/>
        </w:rPr>
        <w:t>改造地块均规划为一类工业用地</w:t>
      </w:r>
      <w:r>
        <w:rPr>
          <w:rFonts w:hint="eastAsia" w:ascii="仿宋_GB2312" w:hAnsi="仿宋_GB2312" w:eastAsia="仿宋_GB2312" w:cs="仿宋_GB2312"/>
          <w:color w:val="auto"/>
          <w:spacing w:val="-6"/>
          <w:kern w:val="0"/>
          <w:sz w:val="32"/>
          <w:szCs w:val="32"/>
          <w:highlight w:val="none"/>
          <w:u w:val="none"/>
          <w:lang w:eastAsia="zh-CN"/>
        </w:rPr>
        <w:t>，容积率1.0-3.5，建筑密度35-60%，绿地率10-15%，生产性建筑高度≤50m，配套设施建筑高度≤100m。</w:t>
      </w:r>
    </w:p>
    <w:p>
      <w:pPr>
        <w:keepNext w:val="0"/>
        <w:keepLines w:val="0"/>
        <w:pageBreakBefore w:val="0"/>
        <w:widowControl/>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仿宋_GB2312" w:hAnsi="仿宋_GB2312" w:eastAsia="仿宋_GB2312" w:cs="仿宋_GB2312"/>
          <w:color w:val="auto"/>
          <w:spacing w:val="-6"/>
          <w:kern w:val="0"/>
          <w:sz w:val="32"/>
          <w:szCs w:val="32"/>
          <w:highlight w:val="none"/>
          <w:u w:val="none"/>
        </w:rPr>
      </w:pPr>
      <w:r>
        <w:rPr>
          <w:rFonts w:hint="eastAsia" w:ascii="仿宋_GB2312" w:hAnsi="仿宋_GB2312" w:eastAsia="仿宋_GB2312" w:cs="仿宋_GB2312"/>
          <w:color w:val="auto"/>
          <w:spacing w:val="-6"/>
          <w:kern w:val="0"/>
          <w:sz w:val="32"/>
          <w:szCs w:val="32"/>
          <w:highlight w:val="none"/>
          <w:u w:val="none"/>
          <w:lang w:eastAsia="zh-CN"/>
        </w:rPr>
        <w:t>改造地块全部位于“三区三线”城镇开发边界内，且不涉及永久基本农田和生态保护红线、森林资源等管控要求。</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黑体" w:hAnsi="黑体" w:eastAsia="黑体" w:cs="黑体"/>
          <w:color w:val="auto"/>
          <w:spacing w:val="-6"/>
          <w:kern w:val="0"/>
          <w:sz w:val="32"/>
          <w:szCs w:val="32"/>
          <w:highlight w:val="none"/>
          <w:u w:val="none"/>
        </w:rPr>
      </w:pPr>
      <w:r>
        <w:rPr>
          <w:rFonts w:hint="eastAsia" w:ascii="黑体" w:hAnsi="黑体" w:eastAsia="黑体" w:cs="黑体"/>
          <w:color w:val="auto"/>
          <w:spacing w:val="-6"/>
          <w:kern w:val="0"/>
          <w:sz w:val="32"/>
          <w:szCs w:val="32"/>
          <w:highlight w:val="none"/>
          <w:u w:val="none"/>
        </w:rPr>
        <w:t>二、改造意愿及安置补偿情况</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楷体_GB2312" w:hAnsi="楷体_GB2312" w:eastAsia="楷体_GB2312" w:cs="楷体_GB2312"/>
          <w:color w:val="auto"/>
          <w:spacing w:val="-6"/>
          <w:sz w:val="32"/>
          <w:szCs w:val="32"/>
          <w:highlight w:val="none"/>
          <w:u w:val="none"/>
          <w:lang w:val="en-US" w:eastAsia="zh-CN"/>
        </w:rPr>
      </w:pPr>
      <w:r>
        <w:rPr>
          <w:rFonts w:hint="eastAsia" w:ascii="楷体_GB2312" w:hAnsi="楷体_GB2312" w:eastAsia="楷体_GB2312" w:cs="楷体_GB2312"/>
          <w:color w:val="auto"/>
          <w:spacing w:val="-6"/>
          <w:sz w:val="32"/>
          <w:szCs w:val="32"/>
          <w:highlight w:val="none"/>
          <w:u w:val="none"/>
        </w:rPr>
        <w:t>（一）改造意愿情况</w:t>
      </w:r>
    </w:p>
    <w:p>
      <w:pPr>
        <w:keepNext w:val="0"/>
        <w:keepLines w:val="0"/>
        <w:pageBreakBefore w:val="0"/>
        <w:widowControl/>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仿宋_GB2312" w:hAnsi="仿宋_GB2312" w:eastAsia="仿宋_GB2312" w:cs="仿宋_GB2312"/>
          <w:color w:val="auto"/>
          <w:spacing w:val="-6"/>
          <w:kern w:val="0"/>
          <w:sz w:val="32"/>
          <w:szCs w:val="32"/>
          <w:highlight w:val="none"/>
          <w:u w:val="none"/>
        </w:rPr>
      </w:pPr>
      <w:r>
        <w:rPr>
          <w:rFonts w:hint="eastAsia" w:ascii="仿宋_GB2312" w:hAnsi="仿宋_GB2312" w:eastAsia="仿宋_GB2312" w:cs="仿宋_GB2312"/>
          <w:color w:val="auto"/>
          <w:spacing w:val="-6"/>
          <w:kern w:val="0"/>
          <w:sz w:val="32"/>
          <w:szCs w:val="32"/>
          <w:highlight w:val="none"/>
          <w:u w:val="none"/>
        </w:rPr>
        <w:t>改造范围涉及</w:t>
      </w:r>
      <w:r>
        <w:rPr>
          <w:rFonts w:hint="eastAsia" w:ascii="仿宋_GB2312" w:hAnsi="仿宋_GB2312" w:eastAsia="仿宋_GB2312" w:cs="仿宋_GB2312"/>
          <w:color w:val="auto"/>
          <w:spacing w:val="-6"/>
          <w:kern w:val="0"/>
          <w:sz w:val="32"/>
          <w:szCs w:val="32"/>
          <w:highlight w:val="none"/>
          <w:u w:val="none"/>
          <w:lang w:eastAsia="zh-CN"/>
        </w:rPr>
        <w:t>中山市路桥建设有限公司</w:t>
      </w:r>
      <w:r>
        <w:rPr>
          <w:rFonts w:hint="eastAsia" w:ascii="仿宋_GB2312" w:hAnsi="仿宋_GB2312" w:eastAsia="仿宋_GB2312" w:cs="仿宋_GB2312"/>
          <w:color w:val="auto"/>
          <w:spacing w:val="-6"/>
          <w:kern w:val="0"/>
          <w:sz w:val="32"/>
          <w:szCs w:val="32"/>
          <w:highlight w:val="none"/>
          <w:u w:val="none"/>
          <w:lang w:val="en-US" w:eastAsia="zh-CN"/>
        </w:rPr>
        <w:t>1</w:t>
      </w:r>
      <w:r>
        <w:rPr>
          <w:rFonts w:hint="eastAsia" w:ascii="仿宋_GB2312" w:hAnsi="仿宋_GB2312" w:eastAsia="仿宋_GB2312" w:cs="仿宋_GB2312"/>
          <w:color w:val="auto"/>
          <w:spacing w:val="-6"/>
          <w:kern w:val="0"/>
          <w:sz w:val="32"/>
          <w:szCs w:val="32"/>
          <w:highlight w:val="none"/>
          <w:u w:val="none"/>
        </w:rPr>
        <w:t>个权利主体，</w:t>
      </w:r>
      <w:r>
        <w:rPr>
          <w:rFonts w:hint="eastAsia" w:ascii="仿宋_GB2312" w:hAnsi="仿宋_GB2312" w:eastAsia="仿宋_GB2312" w:cs="仿宋_GB2312"/>
          <w:color w:val="auto"/>
          <w:spacing w:val="-6"/>
          <w:kern w:val="0"/>
          <w:sz w:val="32"/>
          <w:szCs w:val="32"/>
          <w:highlight w:val="none"/>
          <w:u w:val="none"/>
          <w:lang w:val="en-US" w:eastAsia="zh-CN"/>
        </w:rPr>
        <w:t>港口</w:t>
      </w:r>
      <w:r>
        <w:rPr>
          <w:rFonts w:hint="eastAsia" w:ascii="仿宋_GB2312" w:hAnsi="仿宋_GB2312" w:eastAsia="仿宋_GB2312" w:cs="仿宋_GB2312"/>
          <w:color w:val="auto"/>
          <w:spacing w:val="-6"/>
          <w:kern w:val="0"/>
          <w:sz w:val="32"/>
          <w:szCs w:val="32"/>
          <w:highlight w:val="none"/>
          <w:u w:val="none"/>
          <w:lang w:eastAsia="zh-CN"/>
        </w:rPr>
        <w:t>镇人民政府</w:t>
      </w:r>
      <w:r>
        <w:rPr>
          <w:rFonts w:hint="eastAsia" w:ascii="仿宋_GB2312" w:hAnsi="仿宋_GB2312" w:eastAsia="仿宋_GB2312" w:cs="仿宋_GB2312"/>
          <w:color w:val="auto"/>
          <w:spacing w:val="-6"/>
          <w:kern w:val="0"/>
          <w:sz w:val="32"/>
          <w:szCs w:val="32"/>
          <w:highlight w:val="none"/>
          <w:u w:val="none"/>
        </w:rPr>
        <w:t>已按照法律法规，就改造范围、土地现状、改造主体及拟改造情况、补偿安置方式及标准等事项征询</w:t>
      </w:r>
      <w:r>
        <w:rPr>
          <w:rFonts w:hint="eastAsia" w:ascii="仿宋_GB2312" w:hAnsi="仿宋_GB2312" w:eastAsia="仿宋_GB2312" w:cs="仿宋_GB2312"/>
          <w:color w:val="auto"/>
          <w:spacing w:val="-6"/>
          <w:kern w:val="0"/>
          <w:sz w:val="32"/>
          <w:szCs w:val="32"/>
          <w:highlight w:val="none"/>
          <w:u w:val="none"/>
          <w:lang w:val="en-US" w:eastAsia="zh-CN"/>
        </w:rPr>
        <w:t>其</w:t>
      </w:r>
      <w:r>
        <w:rPr>
          <w:rFonts w:hint="eastAsia" w:ascii="仿宋_GB2312" w:hAnsi="仿宋_GB2312" w:eastAsia="仿宋_GB2312" w:cs="仿宋_GB2312"/>
          <w:color w:val="auto"/>
          <w:spacing w:val="-6"/>
          <w:kern w:val="0"/>
          <w:sz w:val="32"/>
          <w:szCs w:val="32"/>
          <w:highlight w:val="none"/>
          <w:u w:val="none"/>
        </w:rPr>
        <w:t>改造意愿，同意将涉及</w:t>
      </w:r>
      <w:r>
        <w:rPr>
          <w:rFonts w:hint="eastAsia" w:ascii="仿宋_GB2312" w:hAnsi="仿宋_GB2312" w:eastAsia="仿宋_GB2312" w:cs="仿宋_GB2312"/>
          <w:color w:val="auto"/>
          <w:spacing w:val="-6"/>
          <w:kern w:val="0"/>
          <w:sz w:val="32"/>
          <w:szCs w:val="32"/>
          <w:highlight w:val="none"/>
          <w:u w:val="none"/>
          <w:lang w:val="en-US" w:eastAsia="zh-CN"/>
        </w:rPr>
        <w:t>的</w:t>
      </w:r>
      <w:r>
        <w:rPr>
          <w:rFonts w:hint="eastAsia" w:ascii="仿宋_GB2312" w:hAnsi="仿宋_GB2312" w:eastAsia="仿宋_GB2312" w:cs="仿宋_GB2312"/>
          <w:color w:val="auto"/>
          <w:spacing w:val="-6"/>
          <w:kern w:val="0"/>
          <w:sz w:val="32"/>
          <w:szCs w:val="32"/>
          <w:highlight w:val="none"/>
          <w:u w:val="none"/>
        </w:rPr>
        <w:t>土地</w:t>
      </w:r>
      <w:r>
        <w:rPr>
          <w:rFonts w:hint="eastAsia" w:ascii="仿宋_GB2312" w:hAnsi="仿宋_GB2312" w:eastAsia="仿宋_GB2312" w:cs="仿宋_GB2312"/>
          <w:color w:val="auto"/>
          <w:spacing w:val="-6"/>
          <w:kern w:val="0"/>
          <w:sz w:val="32"/>
          <w:szCs w:val="32"/>
          <w:highlight w:val="none"/>
          <w:u w:val="none"/>
          <w:lang w:val="en-US" w:eastAsia="zh-CN"/>
        </w:rPr>
        <w:t>、房屋</w:t>
      </w:r>
      <w:r>
        <w:rPr>
          <w:rFonts w:hint="eastAsia" w:ascii="仿宋_GB2312" w:hAnsi="仿宋_GB2312" w:eastAsia="仿宋_GB2312" w:cs="仿宋_GB2312"/>
          <w:color w:val="auto"/>
          <w:spacing w:val="-6"/>
          <w:kern w:val="0"/>
          <w:sz w:val="32"/>
          <w:szCs w:val="32"/>
          <w:highlight w:val="none"/>
          <w:u w:val="none"/>
        </w:rPr>
        <w:t>纳入改造范围</w:t>
      </w:r>
      <w:r>
        <w:rPr>
          <w:rFonts w:hint="eastAsia" w:ascii="仿宋_GB2312" w:hAnsi="仿宋_GB2312" w:eastAsia="仿宋_GB2312" w:cs="仿宋_GB2312"/>
          <w:color w:val="auto"/>
          <w:spacing w:val="-6"/>
          <w:kern w:val="0"/>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楷体_GB2312" w:hAnsi="楷体_GB2312" w:eastAsia="楷体_GB2312" w:cs="楷体_GB2312"/>
          <w:color w:val="auto"/>
          <w:spacing w:val="-6"/>
          <w:sz w:val="32"/>
          <w:szCs w:val="32"/>
          <w:highlight w:val="none"/>
          <w:u w:val="none"/>
        </w:rPr>
      </w:pPr>
      <w:r>
        <w:rPr>
          <w:rFonts w:hint="eastAsia" w:ascii="楷体_GB2312" w:hAnsi="楷体_GB2312" w:eastAsia="楷体_GB2312" w:cs="楷体_GB2312"/>
          <w:color w:val="auto"/>
          <w:spacing w:val="-6"/>
          <w:sz w:val="32"/>
          <w:szCs w:val="32"/>
          <w:highlight w:val="none"/>
          <w:u w:val="none"/>
          <w:lang w:eastAsia="zh-CN"/>
        </w:rPr>
        <w:t>（</w:t>
      </w:r>
      <w:r>
        <w:rPr>
          <w:rFonts w:hint="eastAsia" w:ascii="楷体_GB2312" w:hAnsi="楷体_GB2312" w:eastAsia="楷体_GB2312" w:cs="楷体_GB2312"/>
          <w:color w:val="auto"/>
          <w:spacing w:val="-6"/>
          <w:sz w:val="32"/>
          <w:szCs w:val="32"/>
          <w:highlight w:val="none"/>
          <w:u w:val="none"/>
          <w:lang w:val="en-US" w:eastAsia="zh-CN"/>
        </w:rPr>
        <w:t>二</w:t>
      </w:r>
      <w:r>
        <w:rPr>
          <w:rFonts w:hint="eastAsia" w:ascii="楷体_GB2312" w:hAnsi="楷体_GB2312" w:eastAsia="楷体_GB2312" w:cs="楷体_GB2312"/>
          <w:color w:val="auto"/>
          <w:spacing w:val="-6"/>
          <w:sz w:val="32"/>
          <w:szCs w:val="32"/>
          <w:highlight w:val="none"/>
          <w:u w:val="none"/>
          <w:lang w:eastAsia="zh-CN"/>
        </w:rPr>
        <w:t>）</w:t>
      </w:r>
      <w:r>
        <w:rPr>
          <w:rFonts w:hint="eastAsia" w:ascii="楷体_GB2312" w:hAnsi="楷体_GB2312" w:eastAsia="楷体_GB2312" w:cs="楷体_GB2312"/>
          <w:color w:val="auto"/>
          <w:spacing w:val="-6"/>
          <w:sz w:val="32"/>
          <w:szCs w:val="32"/>
          <w:highlight w:val="none"/>
          <w:u w:val="none"/>
        </w:rPr>
        <w:t>补偿安置情况</w:t>
      </w:r>
    </w:p>
    <w:p>
      <w:pPr>
        <w:keepNext w:val="0"/>
        <w:keepLines w:val="0"/>
        <w:pageBreakBefore w:val="0"/>
        <w:kinsoku/>
        <w:wordWrap/>
        <w:topLinePunct w:val="0"/>
        <w:autoSpaceDN/>
        <w:bidi w:val="0"/>
        <w:spacing w:line="520" w:lineRule="atLeast"/>
        <w:ind w:firstLine="616" w:firstLineChars="200"/>
        <w:textAlignment w:val="auto"/>
        <w:rPr>
          <w:rFonts w:hint="eastAsia" w:ascii="仿宋_GB2312" w:hAnsi="仿宋_GB2312" w:eastAsia="仿宋_GB2312" w:cs="仿宋_GB2312"/>
          <w:color w:val="auto"/>
          <w:spacing w:val="-6"/>
          <w:kern w:val="0"/>
          <w:sz w:val="32"/>
          <w:szCs w:val="32"/>
          <w:highlight w:val="none"/>
          <w:u w:val="none"/>
          <w:lang w:val="en-US" w:eastAsia="zh-CN"/>
        </w:rPr>
      </w:pPr>
      <w:r>
        <w:rPr>
          <w:rFonts w:hint="eastAsia" w:ascii="Times New Roman" w:hAnsi="Times New Roman" w:eastAsia="仿宋_GB2312" w:cs="Times New Roman"/>
          <w:color w:val="auto"/>
          <w:spacing w:val="-6"/>
          <w:kern w:val="0"/>
          <w:sz w:val="32"/>
          <w:szCs w:val="32"/>
          <w:lang w:eastAsia="zh-CN"/>
        </w:rPr>
        <w:t>改造地块明确采取货币补偿的方式补偿，由市土地储备中心按程序进行挂账收储。项目用地公开出让价款，按规定计提农业土地开发资金后，按</w:t>
      </w:r>
      <w:r>
        <w:rPr>
          <w:rFonts w:hint="eastAsia" w:ascii="Times New Roman" w:hAnsi="Times New Roman" w:eastAsia="仿宋_GB2312" w:cs="Times New Roman"/>
          <w:color w:val="auto"/>
          <w:spacing w:val="-6"/>
          <w:kern w:val="0"/>
          <w:sz w:val="32"/>
          <w:szCs w:val="32"/>
          <w:lang w:val="en-US" w:eastAsia="zh-CN"/>
        </w:rPr>
        <w:t>一定</w:t>
      </w:r>
      <w:r>
        <w:rPr>
          <w:rFonts w:hint="eastAsia" w:ascii="Times New Roman" w:hAnsi="Times New Roman" w:eastAsia="仿宋_GB2312" w:cs="Times New Roman"/>
          <w:color w:val="auto"/>
          <w:spacing w:val="-6"/>
          <w:kern w:val="0"/>
          <w:sz w:val="32"/>
          <w:szCs w:val="32"/>
          <w:lang w:eastAsia="zh-CN"/>
        </w:rPr>
        <w:t>比例补偿至原权利人</w:t>
      </w:r>
      <w:r>
        <w:rPr>
          <w:rFonts w:hint="default" w:ascii="Times New Roman" w:hAnsi="Times New Roman" w:eastAsia="仿宋_GB2312" w:cs="Times New Roman"/>
          <w:color w:val="auto"/>
          <w:spacing w:val="-6"/>
          <w:sz w:val="32"/>
        </w:rPr>
        <w:t>，</w:t>
      </w:r>
      <w:r>
        <w:rPr>
          <w:rFonts w:hint="eastAsia" w:ascii="Times New Roman" w:hAnsi="Times New Roman" w:eastAsia="仿宋_GB2312" w:cs="Times New Roman"/>
          <w:color w:val="auto"/>
          <w:spacing w:val="-6"/>
          <w:sz w:val="32"/>
          <w:lang w:val="en-US" w:eastAsia="zh-CN"/>
        </w:rPr>
        <w:t>具体补偿标准以市土地管理工作会议审议通过的收储方案为准</w:t>
      </w:r>
      <w:r>
        <w:rPr>
          <w:rFonts w:ascii="Times New Roman" w:hAnsi="Times New Roman" w:eastAsia="仿宋_GB2312" w:cs="Times New Roman"/>
          <w:color w:val="auto"/>
          <w:spacing w:val="-6"/>
          <w:kern w:val="0"/>
          <w:sz w:val="32"/>
          <w:szCs w:val="32"/>
        </w:rPr>
        <w:t>。</w:t>
      </w:r>
    </w:p>
    <w:p>
      <w:pPr>
        <w:keepNext w:val="0"/>
        <w:keepLines w:val="0"/>
        <w:pageBreakBefore w:val="0"/>
        <w:widowControl/>
        <w:kinsoku/>
        <w:wordWrap/>
        <w:topLinePunct w:val="0"/>
        <w:autoSpaceDN/>
        <w:bidi w:val="0"/>
        <w:adjustRightInd w:val="0"/>
        <w:snapToGrid w:val="0"/>
        <w:spacing w:beforeLines="0" w:afterLines="0" w:line="520" w:lineRule="atLeast"/>
        <w:ind w:firstLine="616" w:firstLineChars="200"/>
        <w:textAlignment w:val="auto"/>
        <w:outlineLvl w:val="9"/>
        <w:rPr>
          <w:rFonts w:hint="eastAsia" w:ascii="黑体" w:hAnsi="黑体" w:eastAsia="黑体" w:cs="黑体"/>
          <w:color w:val="auto"/>
          <w:spacing w:val="-6"/>
          <w:kern w:val="0"/>
          <w:sz w:val="32"/>
          <w:szCs w:val="32"/>
          <w:highlight w:val="none"/>
          <w:u w:val="none"/>
        </w:rPr>
      </w:pPr>
      <w:r>
        <w:rPr>
          <w:rFonts w:hint="eastAsia" w:ascii="黑体" w:hAnsi="黑体" w:eastAsia="黑体" w:cs="黑体"/>
          <w:color w:val="auto"/>
          <w:spacing w:val="-6"/>
          <w:kern w:val="0"/>
          <w:sz w:val="32"/>
          <w:szCs w:val="32"/>
          <w:highlight w:val="none"/>
          <w:u w:val="none"/>
        </w:rPr>
        <w:t>三、改造主体及拟改造情况</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仿宋_GB2312" w:hAnsi="仿宋_GB2312" w:eastAsia="仿宋_GB2312" w:cs="仿宋_GB2312"/>
          <w:color w:val="auto"/>
          <w:spacing w:val="-6"/>
          <w:sz w:val="32"/>
          <w:highlight w:val="none"/>
          <w:u w:val="none"/>
          <w:lang w:val="en-US" w:eastAsia="zh-CN"/>
        </w:rPr>
      </w:pPr>
      <w:r>
        <w:rPr>
          <w:rFonts w:hint="eastAsia" w:ascii="仿宋_GB2312" w:hAnsi="仿宋_GB2312" w:eastAsia="仿宋_GB2312" w:cs="仿宋_GB2312"/>
          <w:color w:val="auto"/>
          <w:spacing w:val="-6"/>
          <w:kern w:val="0"/>
          <w:sz w:val="32"/>
          <w:szCs w:val="32"/>
          <w:highlight w:val="none"/>
          <w:u w:val="none"/>
        </w:rPr>
        <w:t>根据有关规划要求，改造项目严格按照国土空间总体规划、</w:t>
      </w:r>
      <w:r>
        <w:rPr>
          <w:rFonts w:hint="eastAsia" w:ascii="仿宋_GB2312" w:hAnsi="仿宋_GB2312" w:eastAsia="仿宋_GB2312" w:cs="仿宋_GB2312"/>
          <w:color w:val="auto"/>
          <w:spacing w:val="-6"/>
          <w:kern w:val="0"/>
          <w:sz w:val="32"/>
          <w:szCs w:val="32"/>
          <w:highlight w:val="none"/>
          <w:u w:val="none"/>
          <w:lang w:eastAsia="zh-CN"/>
        </w:rPr>
        <w:t>控制性详细规划等</w:t>
      </w:r>
      <w:r>
        <w:rPr>
          <w:rFonts w:hint="eastAsia" w:ascii="仿宋_GB2312" w:hAnsi="仿宋_GB2312" w:eastAsia="仿宋_GB2312" w:cs="仿宋_GB2312"/>
          <w:color w:val="auto"/>
          <w:spacing w:val="-6"/>
          <w:kern w:val="0"/>
          <w:sz w:val="32"/>
          <w:szCs w:val="32"/>
          <w:highlight w:val="none"/>
          <w:u w:val="none"/>
        </w:rPr>
        <w:t>管控要求实施建设</w:t>
      </w:r>
      <w:r>
        <w:rPr>
          <w:rFonts w:hint="eastAsia" w:ascii="仿宋_GB2312" w:hAnsi="仿宋_GB2312" w:eastAsia="仿宋_GB2312" w:cs="仿宋_GB2312"/>
          <w:color w:val="auto"/>
          <w:spacing w:val="-6"/>
          <w:kern w:val="0"/>
          <w:sz w:val="32"/>
          <w:szCs w:val="32"/>
          <w:highlight w:val="none"/>
          <w:u w:val="none"/>
          <w:lang w:eastAsia="zh-CN"/>
        </w:rPr>
        <w:t>。</w:t>
      </w:r>
      <w:r>
        <w:rPr>
          <w:rFonts w:hint="eastAsia" w:ascii="仿宋_GB2312" w:hAnsi="仿宋_GB2312" w:eastAsia="仿宋_GB2312" w:cs="仿宋_GB2312"/>
          <w:color w:val="auto"/>
          <w:spacing w:val="-6"/>
          <w:kern w:val="0"/>
          <w:sz w:val="32"/>
          <w:szCs w:val="32"/>
          <w:highlight w:val="none"/>
          <w:u w:val="none"/>
        </w:rPr>
        <w:t>该改造项目</w:t>
      </w:r>
      <w:r>
        <w:rPr>
          <w:rFonts w:hint="eastAsia" w:ascii="仿宋_GB2312" w:hAnsi="仿宋_GB2312" w:eastAsia="仿宋_GB2312" w:cs="仿宋_GB2312"/>
          <w:color w:val="auto"/>
          <w:spacing w:val="-6"/>
          <w:kern w:val="0"/>
          <w:sz w:val="32"/>
          <w:szCs w:val="32"/>
          <w:highlight w:val="none"/>
          <w:u w:val="none"/>
          <w:lang w:val="en-US" w:eastAsia="zh-CN"/>
        </w:rPr>
        <w:t>属</w:t>
      </w:r>
      <w:r>
        <w:rPr>
          <w:rFonts w:hint="eastAsia" w:ascii="仿宋_GB2312" w:hAnsi="仿宋_GB2312" w:eastAsia="仿宋_GB2312" w:cs="仿宋_GB2312"/>
          <w:color w:val="auto"/>
          <w:spacing w:val="-6"/>
          <w:kern w:val="0"/>
          <w:sz w:val="32"/>
          <w:szCs w:val="32"/>
          <w:highlight w:val="none"/>
          <w:u w:val="none"/>
        </w:rPr>
        <w:t>“工改工”项目</w:t>
      </w:r>
      <w:r>
        <w:rPr>
          <w:rFonts w:hint="eastAsia" w:ascii="仿宋_GB2312" w:hAnsi="仿宋_GB2312" w:eastAsia="仿宋_GB2312" w:cs="仿宋_GB2312"/>
          <w:color w:val="auto"/>
          <w:spacing w:val="-6"/>
          <w:kern w:val="0"/>
          <w:sz w:val="32"/>
          <w:szCs w:val="32"/>
          <w:highlight w:val="none"/>
          <w:u w:val="none"/>
          <w:lang w:eastAsia="zh-CN"/>
        </w:rPr>
        <w:t>，</w:t>
      </w:r>
      <w:r>
        <w:rPr>
          <w:rFonts w:hint="default" w:ascii="Times New Roman" w:hAnsi="Times New Roman" w:eastAsia="仿宋_GB2312" w:cs="Times New Roman"/>
          <w:color w:val="auto"/>
          <w:spacing w:val="-6"/>
          <w:sz w:val="32"/>
          <w:szCs w:val="32"/>
          <w:highlight w:val="none"/>
          <w:lang w:eastAsia="zh-CN"/>
        </w:rPr>
        <w:t>拟采取政府整备（挂账收储）改造方式，</w:t>
      </w:r>
      <w:r>
        <w:rPr>
          <w:rFonts w:hint="eastAsia" w:ascii="仿宋_GB2312" w:hAnsi="仿宋_GB2312" w:eastAsia="仿宋_GB2312" w:cs="仿宋_GB2312"/>
          <w:color w:val="auto"/>
          <w:spacing w:val="-6"/>
          <w:kern w:val="0"/>
          <w:sz w:val="32"/>
          <w:szCs w:val="32"/>
          <w:highlight w:val="none"/>
          <w:u w:val="none"/>
        </w:rPr>
        <w:t>由</w:t>
      </w:r>
      <w:r>
        <w:rPr>
          <w:rFonts w:hint="eastAsia" w:ascii="仿宋_GB2312" w:hAnsi="仿宋_GB2312" w:eastAsia="仿宋_GB2312" w:cs="仿宋_GB2312"/>
          <w:color w:val="auto"/>
          <w:spacing w:val="-6"/>
          <w:kern w:val="0"/>
          <w:sz w:val="32"/>
          <w:szCs w:val="32"/>
          <w:highlight w:val="none"/>
          <w:u w:val="none"/>
          <w:lang w:val="en-US" w:eastAsia="zh-CN"/>
        </w:rPr>
        <w:t>港口</w:t>
      </w:r>
      <w:r>
        <w:rPr>
          <w:rFonts w:hint="eastAsia" w:ascii="仿宋_GB2312" w:hAnsi="仿宋_GB2312" w:eastAsia="仿宋_GB2312" w:cs="仿宋_GB2312"/>
          <w:color w:val="auto"/>
          <w:spacing w:val="-6"/>
          <w:kern w:val="0"/>
          <w:sz w:val="32"/>
          <w:szCs w:val="32"/>
          <w:highlight w:val="none"/>
          <w:u w:val="none"/>
        </w:rPr>
        <w:t>镇人民政府通过公开</w:t>
      </w:r>
      <w:r>
        <w:rPr>
          <w:rFonts w:hint="eastAsia" w:ascii="仿宋_GB2312" w:hAnsi="仿宋_GB2312" w:eastAsia="仿宋_GB2312" w:cs="仿宋_GB2312"/>
          <w:color w:val="auto"/>
          <w:spacing w:val="-6"/>
          <w:kern w:val="0"/>
          <w:sz w:val="32"/>
          <w:szCs w:val="32"/>
          <w:highlight w:val="none"/>
          <w:u w:val="none"/>
          <w:lang w:val="en-US" w:eastAsia="zh-CN"/>
        </w:rPr>
        <w:t>出让</w:t>
      </w:r>
      <w:r>
        <w:rPr>
          <w:rFonts w:hint="eastAsia" w:ascii="仿宋_GB2312" w:hAnsi="仿宋_GB2312" w:eastAsia="仿宋_GB2312" w:cs="仿宋_GB2312"/>
          <w:color w:val="auto"/>
          <w:spacing w:val="-6"/>
          <w:kern w:val="0"/>
          <w:sz w:val="32"/>
          <w:szCs w:val="32"/>
          <w:highlight w:val="none"/>
          <w:u w:val="none"/>
        </w:rPr>
        <w:t>确定改造主体实施全面改造。</w:t>
      </w:r>
      <w:r>
        <w:rPr>
          <w:rFonts w:hint="eastAsia" w:ascii="仿宋_GB2312" w:hAnsi="仿宋_GB2312" w:eastAsia="仿宋_GB2312" w:cs="仿宋_GB2312"/>
          <w:color w:val="auto"/>
          <w:spacing w:val="-6"/>
          <w:sz w:val="32"/>
          <w:highlight w:val="none"/>
          <w:u w:val="none"/>
          <w:lang w:val="en-US" w:eastAsia="zh-CN"/>
        </w:rPr>
        <w:t>在符合控制性详细规划的基础上，容积率不低于2.0，不保留原有建筑。</w:t>
      </w:r>
    </w:p>
    <w:p>
      <w:pPr>
        <w:keepNext w:val="0"/>
        <w:keepLines w:val="0"/>
        <w:pageBreakBefore w:val="0"/>
        <w:kinsoku/>
        <w:wordWrap/>
        <w:overflowPunct w:val="0"/>
        <w:topLinePunct w:val="0"/>
        <w:autoSpaceDE w:val="0"/>
        <w:autoSpaceDN/>
        <w:bidi w:val="0"/>
        <w:adjustRightInd w:val="0"/>
        <w:snapToGrid w:val="0"/>
        <w:spacing w:line="520" w:lineRule="atLeast"/>
        <w:ind w:firstLine="640" w:firstLineChars="200"/>
        <w:textAlignment w:val="auto"/>
        <w:rPr>
          <w:rFonts w:hint="eastAsia"/>
          <w:lang w:val="en-US" w:eastAsia="zh-CN"/>
        </w:rPr>
      </w:pPr>
      <w:r>
        <w:rPr>
          <w:rFonts w:hint="eastAsia" w:ascii="仿宋_GB2312" w:hAnsi="仿宋_GB2312" w:eastAsia="仿宋_GB2312" w:cs="仿宋_GB2312"/>
          <w:color w:val="auto"/>
          <w:spacing w:val="0"/>
          <w:kern w:val="0"/>
          <w:sz w:val="32"/>
          <w:szCs w:val="32"/>
          <w:highlight w:val="none"/>
        </w:rPr>
        <w:t>项目相关情况符合国家《产业结构调整指导目录》《中山市“三线一单”生态环境分区管控方案》《中山市涉挥发性有机物项目环保管理规定》。改造后</w:t>
      </w:r>
      <w:r>
        <w:rPr>
          <w:rFonts w:hint="eastAsia" w:ascii="仿宋_GB2312" w:hAnsi="仿宋_GB2312" w:eastAsia="仿宋_GB2312" w:cs="仿宋_GB2312"/>
          <w:color w:val="auto"/>
          <w:spacing w:val="0"/>
          <w:kern w:val="0"/>
          <w:sz w:val="32"/>
          <w:szCs w:val="32"/>
          <w:highlight w:val="none"/>
          <w:lang w:eastAsia="zh-CN"/>
        </w:rPr>
        <w:t>年产值、年税收等经济指标以届时公开出让方案确定的为准</w:t>
      </w:r>
      <w:r>
        <w:rPr>
          <w:rFonts w:hint="eastAsia" w:ascii="仿宋_GB2312" w:hAnsi="仿宋_GB2312" w:eastAsia="仿宋_GB2312" w:cs="仿宋_GB2312"/>
          <w:color w:val="auto"/>
          <w:spacing w:val="0"/>
          <w:kern w:val="0"/>
          <w:sz w:val="32"/>
          <w:szCs w:val="32"/>
          <w:highlight w:val="none"/>
        </w:rPr>
        <w:t>。</w:t>
      </w:r>
    </w:p>
    <w:p>
      <w:pPr>
        <w:keepNext w:val="0"/>
        <w:keepLines w:val="0"/>
        <w:pageBreakBefore w:val="0"/>
        <w:widowControl/>
        <w:kinsoku/>
        <w:wordWrap/>
        <w:topLinePunct w:val="0"/>
        <w:autoSpaceDN/>
        <w:bidi w:val="0"/>
        <w:adjustRightInd w:val="0"/>
        <w:snapToGrid w:val="0"/>
        <w:spacing w:beforeLines="0" w:afterLines="0" w:line="520" w:lineRule="atLeast"/>
        <w:ind w:firstLine="616" w:firstLineChars="200"/>
        <w:textAlignment w:val="auto"/>
        <w:outlineLvl w:val="9"/>
        <w:rPr>
          <w:rFonts w:hint="eastAsia" w:ascii="黑体" w:hAnsi="黑体" w:eastAsia="黑体" w:cs="黑体"/>
          <w:color w:val="auto"/>
          <w:spacing w:val="-6"/>
          <w:kern w:val="0"/>
          <w:sz w:val="32"/>
          <w:szCs w:val="32"/>
          <w:highlight w:val="none"/>
          <w:u w:val="none"/>
        </w:rPr>
      </w:pPr>
      <w:r>
        <w:rPr>
          <w:rFonts w:hint="eastAsia" w:ascii="黑体" w:hAnsi="黑体" w:eastAsia="黑体" w:cs="黑体"/>
          <w:color w:val="auto"/>
          <w:spacing w:val="-6"/>
          <w:kern w:val="0"/>
          <w:sz w:val="32"/>
          <w:szCs w:val="32"/>
          <w:highlight w:val="none"/>
          <w:u w:val="none"/>
          <w:lang w:val="en-US" w:eastAsia="zh-CN"/>
        </w:rPr>
        <w:t>四、</w:t>
      </w:r>
      <w:r>
        <w:rPr>
          <w:rFonts w:hint="eastAsia" w:ascii="黑体" w:hAnsi="黑体" w:eastAsia="黑体" w:cs="黑体"/>
          <w:color w:val="auto"/>
          <w:spacing w:val="-6"/>
          <w:kern w:val="0"/>
          <w:sz w:val="32"/>
          <w:szCs w:val="32"/>
          <w:highlight w:val="none"/>
          <w:u w:val="none"/>
        </w:rPr>
        <w:t>需办理的用地手续</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楷体_GB2312" w:hAnsi="楷体_GB2312" w:eastAsia="楷体_GB2312" w:cs="楷体_GB2312"/>
          <w:b w:val="0"/>
          <w:bCs w:val="0"/>
          <w:spacing w:val="-6"/>
          <w:kern w:val="0"/>
          <w:sz w:val="32"/>
          <w:szCs w:val="32"/>
        </w:rPr>
      </w:pPr>
      <w:r>
        <w:rPr>
          <w:rFonts w:hint="eastAsia" w:ascii="楷体_GB2312" w:hAnsi="楷体_GB2312" w:eastAsia="楷体_GB2312" w:cs="楷体_GB2312"/>
          <w:b w:val="0"/>
          <w:bCs w:val="0"/>
          <w:color w:val="auto"/>
          <w:spacing w:val="-6"/>
          <w:kern w:val="0"/>
          <w:sz w:val="32"/>
          <w:szCs w:val="32"/>
          <w:highlight w:val="none"/>
          <w:u w:val="none"/>
          <w:lang w:eastAsia="zh-CN"/>
        </w:rPr>
        <w:t>（</w:t>
      </w:r>
      <w:r>
        <w:rPr>
          <w:rFonts w:hint="eastAsia" w:ascii="楷体_GB2312" w:hAnsi="楷体_GB2312" w:eastAsia="楷体_GB2312" w:cs="楷体_GB2312"/>
          <w:b w:val="0"/>
          <w:bCs w:val="0"/>
          <w:color w:val="auto"/>
          <w:spacing w:val="-6"/>
          <w:kern w:val="0"/>
          <w:sz w:val="32"/>
          <w:szCs w:val="32"/>
          <w:highlight w:val="none"/>
          <w:u w:val="none"/>
          <w:lang w:val="en-US" w:eastAsia="zh-CN"/>
        </w:rPr>
        <w:t>一</w:t>
      </w:r>
      <w:r>
        <w:rPr>
          <w:rFonts w:hint="eastAsia" w:ascii="楷体_GB2312" w:hAnsi="楷体_GB2312" w:eastAsia="楷体_GB2312" w:cs="楷体_GB2312"/>
          <w:b w:val="0"/>
          <w:bCs w:val="0"/>
          <w:color w:val="auto"/>
          <w:spacing w:val="-6"/>
          <w:kern w:val="0"/>
          <w:sz w:val="32"/>
          <w:szCs w:val="32"/>
          <w:highlight w:val="none"/>
          <w:u w:val="none"/>
          <w:lang w:eastAsia="zh-CN"/>
        </w:rPr>
        <w:t>）</w:t>
      </w:r>
      <w:r>
        <w:rPr>
          <w:rFonts w:hint="eastAsia" w:ascii="楷体_GB2312" w:hAnsi="楷体_GB2312" w:eastAsia="楷体_GB2312" w:cs="楷体_GB2312"/>
          <w:b w:val="0"/>
          <w:bCs w:val="0"/>
          <w:spacing w:val="-6"/>
          <w:kern w:val="0"/>
          <w:sz w:val="32"/>
          <w:szCs w:val="32"/>
          <w:lang w:eastAsia="zh-CN"/>
        </w:rPr>
        <w:t>收回国有土地使用权</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default" w:ascii="Times New Roman" w:hAnsi="Times New Roman" w:eastAsia="仿宋_GB2312" w:cs="Times New Roman"/>
          <w:spacing w:val="-6"/>
          <w:kern w:val="0"/>
          <w:sz w:val="32"/>
          <w:szCs w:val="32"/>
        </w:rPr>
      </w:pPr>
      <w:r>
        <w:rPr>
          <w:rFonts w:hint="default" w:ascii="Times New Roman" w:hAnsi="Times New Roman" w:eastAsia="仿宋_GB2312" w:cs="Times New Roman"/>
          <w:spacing w:val="-6"/>
          <w:kern w:val="0"/>
          <w:sz w:val="32"/>
          <w:szCs w:val="32"/>
        </w:rPr>
        <w:t>收储方案经市土委会审议通过后，由</w:t>
      </w:r>
      <w:r>
        <w:rPr>
          <w:rFonts w:hint="eastAsia" w:ascii="Times New Roman" w:hAnsi="Times New Roman" w:eastAsia="仿宋_GB2312" w:cs="Times New Roman"/>
          <w:spacing w:val="-6"/>
          <w:kern w:val="0"/>
          <w:sz w:val="32"/>
          <w:szCs w:val="32"/>
          <w:lang w:val="en-US" w:eastAsia="zh-CN"/>
        </w:rPr>
        <w:t>中山</w:t>
      </w:r>
      <w:r>
        <w:rPr>
          <w:rFonts w:hint="default" w:ascii="Times New Roman" w:hAnsi="Times New Roman" w:eastAsia="仿宋_GB2312" w:cs="Times New Roman"/>
          <w:spacing w:val="-6"/>
          <w:kern w:val="0"/>
          <w:sz w:val="32"/>
          <w:szCs w:val="32"/>
        </w:rPr>
        <w:t>市土地储备中心按程序收回</w:t>
      </w:r>
      <w:r>
        <w:rPr>
          <w:rFonts w:hint="eastAsia" w:ascii="仿宋_GB2312" w:hAnsi="仿宋_GB2312" w:eastAsia="仿宋_GB2312" w:cs="仿宋_GB2312"/>
          <w:color w:val="auto"/>
          <w:spacing w:val="-6"/>
          <w:kern w:val="0"/>
          <w:sz w:val="32"/>
          <w:szCs w:val="32"/>
          <w:highlight w:val="none"/>
          <w:u w:val="none"/>
          <w:lang w:eastAsia="zh-CN"/>
        </w:rPr>
        <w:t>中山市路桥建设有限公司</w:t>
      </w:r>
      <w:r>
        <w:rPr>
          <w:rFonts w:hint="eastAsia" w:ascii="仿宋_GB2312" w:hAnsi="仿宋_GB2312" w:eastAsia="仿宋_GB2312" w:cs="仿宋_GB2312"/>
          <w:color w:val="auto"/>
          <w:spacing w:val="-6"/>
          <w:kern w:val="0"/>
          <w:sz w:val="32"/>
          <w:szCs w:val="32"/>
          <w:highlight w:val="none"/>
          <w:u w:val="none"/>
          <w:lang w:val="en-US" w:eastAsia="zh-CN"/>
        </w:rPr>
        <w:t>0.8863</w:t>
      </w:r>
      <w:r>
        <w:rPr>
          <w:rFonts w:hint="eastAsia" w:ascii="仿宋_GB2312" w:hAnsi="仿宋_GB2312" w:eastAsia="仿宋_GB2312" w:cs="仿宋_GB2312"/>
          <w:color w:val="auto"/>
          <w:spacing w:val="-6"/>
          <w:kern w:val="0"/>
          <w:sz w:val="32"/>
          <w:szCs w:val="32"/>
          <w:highlight w:val="none"/>
          <w:u w:val="none"/>
        </w:rPr>
        <w:t>公顷（</w:t>
      </w:r>
      <w:r>
        <w:rPr>
          <w:rFonts w:hint="eastAsia" w:ascii="仿宋_GB2312" w:hAnsi="仿宋_GB2312" w:eastAsia="仿宋_GB2312" w:cs="仿宋_GB2312"/>
          <w:color w:val="auto"/>
          <w:spacing w:val="-6"/>
          <w:kern w:val="0"/>
          <w:sz w:val="32"/>
          <w:szCs w:val="32"/>
          <w:highlight w:val="none"/>
          <w:u w:val="none"/>
          <w:lang w:val="en-US" w:eastAsia="zh-CN"/>
        </w:rPr>
        <w:t>8863.38</w:t>
      </w:r>
      <w:r>
        <w:rPr>
          <w:rFonts w:hint="eastAsia" w:ascii="仿宋_GB2312" w:hAnsi="仿宋_GB2312" w:eastAsia="仿宋_GB2312" w:cs="仿宋_GB2312"/>
          <w:color w:val="auto"/>
          <w:spacing w:val="-6"/>
          <w:kern w:val="0"/>
          <w:sz w:val="32"/>
          <w:szCs w:val="32"/>
          <w:highlight w:val="none"/>
          <w:u w:val="none"/>
        </w:rPr>
        <w:t>平方米，折合约</w:t>
      </w:r>
      <w:r>
        <w:rPr>
          <w:rFonts w:hint="eastAsia" w:ascii="仿宋_GB2312" w:hAnsi="仿宋_GB2312" w:eastAsia="仿宋_GB2312" w:cs="仿宋_GB2312"/>
          <w:color w:val="auto"/>
          <w:spacing w:val="-6"/>
          <w:kern w:val="0"/>
          <w:sz w:val="32"/>
          <w:szCs w:val="32"/>
          <w:highlight w:val="none"/>
          <w:u w:val="none"/>
          <w:lang w:val="en-US" w:eastAsia="zh-CN"/>
        </w:rPr>
        <w:t>13.3</w:t>
      </w:r>
      <w:r>
        <w:rPr>
          <w:rFonts w:hint="eastAsia" w:ascii="仿宋_GB2312" w:hAnsi="仿宋_GB2312" w:eastAsia="仿宋_GB2312" w:cs="仿宋_GB2312"/>
          <w:color w:val="auto"/>
          <w:spacing w:val="-6"/>
          <w:kern w:val="0"/>
          <w:sz w:val="32"/>
          <w:szCs w:val="32"/>
          <w:highlight w:val="none"/>
          <w:u w:val="none"/>
        </w:rPr>
        <w:t>亩）</w:t>
      </w:r>
      <w:r>
        <w:rPr>
          <w:rFonts w:hint="default" w:ascii="Times New Roman" w:hAnsi="Times New Roman" w:eastAsia="仿宋_GB2312" w:cs="Times New Roman"/>
          <w:spacing w:val="-6"/>
          <w:kern w:val="0"/>
          <w:sz w:val="32"/>
          <w:szCs w:val="32"/>
        </w:rPr>
        <w:t>的国有土地使用权。</w:t>
      </w:r>
      <w:r>
        <w:rPr>
          <w:rFonts w:hint="default" w:ascii="Times New Roman" w:hAnsi="Times New Roman" w:eastAsia="仿宋_GB2312" w:cs="Times New Roman"/>
          <w:b w:val="0"/>
          <w:bCs w:val="0"/>
          <w:spacing w:val="-6"/>
          <w:kern w:val="0"/>
          <w:sz w:val="32"/>
          <w:szCs w:val="32"/>
        </w:rPr>
        <w:t>以实际审批情况为准。</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default" w:ascii="楷体_GB2312" w:hAnsi="楷体_GB2312" w:eastAsia="楷体_GB2312" w:cs="楷体_GB2312"/>
          <w:b w:val="0"/>
          <w:bCs w:val="0"/>
          <w:color w:val="auto"/>
          <w:spacing w:val="-6"/>
          <w:kern w:val="0"/>
          <w:sz w:val="32"/>
          <w:szCs w:val="32"/>
          <w:highlight w:val="none"/>
          <w:u w:val="none"/>
          <w:lang w:eastAsia="zh-CN"/>
        </w:rPr>
      </w:pPr>
      <w:r>
        <w:rPr>
          <w:rFonts w:hint="eastAsia" w:ascii="楷体_GB2312" w:hAnsi="楷体_GB2312" w:eastAsia="楷体_GB2312" w:cs="楷体_GB2312"/>
          <w:b w:val="0"/>
          <w:bCs w:val="0"/>
          <w:color w:val="auto"/>
          <w:spacing w:val="-6"/>
          <w:kern w:val="0"/>
          <w:sz w:val="32"/>
          <w:szCs w:val="32"/>
          <w:highlight w:val="none"/>
          <w:u w:val="none"/>
          <w:lang w:eastAsia="zh-CN"/>
        </w:rPr>
        <w:t>（二）</w:t>
      </w:r>
      <w:r>
        <w:rPr>
          <w:rFonts w:hint="default" w:ascii="楷体_GB2312" w:hAnsi="楷体_GB2312" w:eastAsia="楷体_GB2312" w:cs="楷体_GB2312"/>
          <w:b w:val="0"/>
          <w:bCs w:val="0"/>
          <w:color w:val="auto"/>
          <w:spacing w:val="-6"/>
          <w:kern w:val="0"/>
          <w:sz w:val="32"/>
          <w:szCs w:val="32"/>
          <w:highlight w:val="none"/>
          <w:u w:val="none"/>
          <w:lang w:eastAsia="zh-CN"/>
        </w:rPr>
        <w:t>土地供应</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仿宋_GB2312" w:hAnsi="仿宋_GB2312" w:eastAsia="仿宋_GB2312" w:cs="仿宋_GB2312"/>
          <w:color w:val="auto"/>
          <w:spacing w:val="-6"/>
          <w:sz w:val="32"/>
          <w:highlight w:val="none"/>
          <w:u w:val="none"/>
        </w:rPr>
      </w:pPr>
      <w:r>
        <w:rPr>
          <w:rFonts w:hint="default" w:ascii="Times New Roman" w:hAnsi="Times New Roman" w:eastAsia="仿宋_GB2312" w:cs="Times New Roman"/>
          <w:b w:val="0"/>
          <w:bCs w:val="0"/>
          <w:spacing w:val="-6"/>
          <w:kern w:val="0"/>
          <w:sz w:val="32"/>
          <w:szCs w:val="32"/>
        </w:rPr>
        <w:t>依据</w:t>
      </w:r>
      <w:r>
        <w:rPr>
          <w:rFonts w:hint="eastAsia" w:ascii="仿宋_GB2312" w:hAnsi="仿宋_GB2312" w:eastAsia="仿宋_GB2312" w:cs="仿宋_GB2312"/>
          <w:color w:val="auto"/>
          <w:spacing w:val="-6"/>
          <w:kern w:val="0"/>
          <w:sz w:val="32"/>
          <w:szCs w:val="32"/>
          <w:highlight w:val="none"/>
          <w:u w:val="none"/>
          <w:lang w:eastAsia="zh-CN"/>
        </w:rPr>
        <w:t>《中山市港口镇石特工业园片区（0801单元）控制性详细规划一般修改（</w:t>
      </w:r>
      <w:r>
        <w:rPr>
          <w:rFonts w:hint="eastAsia" w:ascii="仿宋_GB2312" w:hAnsi="仿宋_GB2312" w:eastAsia="仿宋_GB2312" w:cs="仿宋_GB2312"/>
          <w:color w:val="auto"/>
          <w:spacing w:val="-6"/>
          <w:kern w:val="0"/>
          <w:sz w:val="32"/>
          <w:szCs w:val="32"/>
          <w:highlight w:val="none"/>
          <w:u w:val="none"/>
          <w:lang w:val="en-US" w:eastAsia="zh-CN"/>
        </w:rPr>
        <w:t>2025</w:t>
      </w:r>
      <w:r>
        <w:rPr>
          <w:rFonts w:hint="eastAsia" w:ascii="仿宋_GB2312" w:hAnsi="仿宋_GB2312" w:eastAsia="仿宋_GB2312" w:cs="仿宋_GB2312"/>
          <w:color w:val="auto"/>
          <w:spacing w:val="-6"/>
          <w:kern w:val="0"/>
          <w:sz w:val="32"/>
          <w:szCs w:val="32"/>
          <w:highlight w:val="none"/>
          <w:u w:val="none"/>
          <w:lang w:eastAsia="zh-CN"/>
        </w:rPr>
        <w:t>）》（中府函〔2025〕8 号）</w:t>
      </w:r>
      <w:r>
        <w:rPr>
          <w:rFonts w:hint="default" w:ascii="Times New Roman" w:hAnsi="Times New Roman" w:eastAsia="仿宋_GB2312" w:cs="Times New Roman"/>
          <w:b w:val="0"/>
          <w:bCs w:val="0"/>
          <w:spacing w:val="-6"/>
          <w:kern w:val="0"/>
          <w:sz w:val="32"/>
          <w:szCs w:val="32"/>
        </w:rPr>
        <w:t>，将</w:t>
      </w:r>
      <w:r>
        <w:rPr>
          <w:rFonts w:hint="eastAsia" w:ascii="仿宋_GB2312" w:hAnsi="仿宋_GB2312" w:eastAsia="仿宋_GB2312" w:cs="仿宋_GB2312"/>
          <w:color w:val="auto"/>
          <w:spacing w:val="-6"/>
          <w:kern w:val="0"/>
          <w:sz w:val="32"/>
          <w:szCs w:val="32"/>
          <w:highlight w:val="none"/>
          <w:u w:val="none"/>
          <w:lang w:val="en-US" w:eastAsia="zh-CN"/>
        </w:rPr>
        <w:t>0.8863</w:t>
      </w:r>
      <w:r>
        <w:rPr>
          <w:rFonts w:hint="eastAsia" w:ascii="仿宋_GB2312" w:hAnsi="仿宋_GB2312" w:eastAsia="仿宋_GB2312" w:cs="仿宋_GB2312"/>
          <w:color w:val="auto"/>
          <w:spacing w:val="-6"/>
          <w:kern w:val="0"/>
          <w:sz w:val="32"/>
          <w:szCs w:val="32"/>
          <w:highlight w:val="none"/>
          <w:u w:val="none"/>
        </w:rPr>
        <w:t>公顷（</w:t>
      </w:r>
      <w:r>
        <w:rPr>
          <w:rFonts w:hint="eastAsia" w:ascii="仿宋_GB2312" w:hAnsi="仿宋_GB2312" w:eastAsia="仿宋_GB2312" w:cs="仿宋_GB2312"/>
          <w:color w:val="auto"/>
          <w:spacing w:val="-6"/>
          <w:kern w:val="0"/>
          <w:sz w:val="32"/>
          <w:szCs w:val="32"/>
          <w:highlight w:val="none"/>
          <w:u w:val="none"/>
          <w:lang w:val="en-US" w:eastAsia="zh-CN"/>
        </w:rPr>
        <w:t>8863.38</w:t>
      </w:r>
      <w:r>
        <w:rPr>
          <w:rFonts w:hint="eastAsia" w:ascii="仿宋_GB2312" w:hAnsi="仿宋_GB2312" w:eastAsia="仿宋_GB2312" w:cs="仿宋_GB2312"/>
          <w:color w:val="auto"/>
          <w:spacing w:val="-6"/>
          <w:kern w:val="0"/>
          <w:sz w:val="32"/>
          <w:szCs w:val="32"/>
          <w:highlight w:val="none"/>
          <w:u w:val="none"/>
        </w:rPr>
        <w:t>平方米，折合约</w:t>
      </w:r>
      <w:r>
        <w:rPr>
          <w:rFonts w:hint="eastAsia" w:ascii="仿宋_GB2312" w:hAnsi="仿宋_GB2312" w:eastAsia="仿宋_GB2312" w:cs="仿宋_GB2312"/>
          <w:color w:val="auto"/>
          <w:spacing w:val="-6"/>
          <w:kern w:val="0"/>
          <w:sz w:val="32"/>
          <w:szCs w:val="32"/>
          <w:highlight w:val="none"/>
          <w:u w:val="none"/>
          <w:lang w:val="en-US" w:eastAsia="zh-CN"/>
        </w:rPr>
        <w:t>13.3</w:t>
      </w:r>
      <w:r>
        <w:rPr>
          <w:rFonts w:hint="eastAsia" w:ascii="仿宋_GB2312" w:hAnsi="仿宋_GB2312" w:eastAsia="仿宋_GB2312" w:cs="仿宋_GB2312"/>
          <w:color w:val="auto"/>
          <w:spacing w:val="-6"/>
          <w:kern w:val="0"/>
          <w:sz w:val="32"/>
          <w:szCs w:val="32"/>
          <w:highlight w:val="none"/>
          <w:u w:val="none"/>
        </w:rPr>
        <w:t>亩）</w:t>
      </w:r>
      <w:r>
        <w:rPr>
          <w:rFonts w:hint="eastAsia" w:ascii="仿宋_GB2312" w:hAnsi="仿宋_GB2312" w:eastAsia="仿宋_GB2312" w:cs="仿宋_GB2312"/>
          <w:color w:val="auto"/>
          <w:spacing w:val="-6"/>
          <w:kern w:val="0"/>
          <w:sz w:val="32"/>
          <w:szCs w:val="32"/>
          <w:highlight w:val="none"/>
          <w:u w:val="none"/>
          <w:lang w:val="en-US" w:eastAsia="zh-CN"/>
        </w:rPr>
        <w:t>规划为</w:t>
      </w:r>
      <w:r>
        <w:rPr>
          <w:rFonts w:hint="eastAsia" w:ascii="Times New Roman" w:hAnsi="Times New Roman" w:eastAsia="仿宋_GB2312" w:cs="Times New Roman"/>
          <w:b w:val="0"/>
          <w:bCs w:val="0"/>
          <w:spacing w:val="-6"/>
          <w:kern w:val="0"/>
          <w:sz w:val="32"/>
          <w:szCs w:val="32"/>
          <w:lang w:val="en-US" w:eastAsia="zh-CN"/>
        </w:rPr>
        <w:t>一类工业</w:t>
      </w:r>
      <w:r>
        <w:rPr>
          <w:rFonts w:hint="default" w:ascii="Times New Roman" w:hAnsi="Times New Roman" w:eastAsia="仿宋_GB2312" w:cs="Times New Roman"/>
          <w:b w:val="0"/>
          <w:bCs w:val="0"/>
          <w:spacing w:val="-6"/>
          <w:kern w:val="0"/>
          <w:sz w:val="32"/>
          <w:szCs w:val="32"/>
        </w:rPr>
        <w:t>用地由</w:t>
      </w:r>
      <w:r>
        <w:rPr>
          <w:rFonts w:hint="eastAsia" w:ascii="Times New Roman" w:hAnsi="Times New Roman" w:eastAsia="仿宋_GB2312" w:cs="Times New Roman"/>
          <w:b w:val="0"/>
          <w:bCs w:val="0"/>
          <w:spacing w:val="-6"/>
          <w:kern w:val="0"/>
          <w:sz w:val="32"/>
          <w:szCs w:val="32"/>
          <w:lang w:val="en-US" w:eastAsia="zh-CN"/>
        </w:rPr>
        <w:t>港口镇人民政府</w:t>
      </w:r>
      <w:r>
        <w:rPr>
          <w:rFonts w:hint="default" w:ascii="Times New Roman" w:hAnsi="Times New Roman" w:eastAsia="仿宋_GB2312" w:cs="Times New Roman"/>
          <w:b w:val="0"/>
          <w:bCs w:val="0"/>
          <w:spacing w:val="-6"/>
          <w:kern w:val="0"/>
          <w:sz w:val="32"/>
          <w:szCs w:val="32"/>
        </w:rPr>
        <w:t>采取公开出让方式按容积率</w:t>
      </w:r>
      <w:r>
        <w:rPr>
          <w:rFonts w:hint="eastAsia" w:ascii="Times New Roman" w:hAnsi="Times New Roman" w:eastAsia="仿宋_GB2312" w:cs="Times New Roman"/>
          <w:b w:val="0"/>
          <w:bCs w:val="0"/>
          <w:spacing w:val="-6"/>
          <w:kern w:val="0"/>
          <w:sz w:val="32"/>
          <w:szCs w:val="32"/>
          <w:lang w:val="en-US" w:eastAsia="zh-CN"/>
        </w:rPr>
        <w:t>2.0-3.5</w:t>
      </w:r>
      <w:r>
        <w:rPr>
          <w:rFonts w:hint="default" w:ascii="Times New Roman" w:hAnsi="Times New Roman" w:eastAsia="仿宋_GB2312" w:cs="Times New Roman"/>
          <w:b w:val="0"/>
          <w:bCs w:val="0"/>
          <w:spacing w:val="-6"/>
          <w:kern w:val="0"/>
          <w:sz w:val="32"/>
          <w:szCs w:val="32"/>
        </w:rPr>
        <w:t>供地给改造主体。以实际审批情况为准。</w:t>
      </w:r>
    </w:p>
    <w:p>
      <w:pPr>
        <w:keepNext w:val="0"/>
        <w:keepLines w:val="0"/>
        <w:pageBreakBefore w:val="0"/>
        <w:widowControl/>
        <w:kinsoku/>
        <w:wordWrap/>
        <w:topLinePunct w:val="0"/>
        <w:autoSpaceDN/>
        <w:bidi w:val="0"/>
        <w:adjustRightInd w:val="0"/>
        <w:snapToGrid w:val="0"/>
        <w:spacing w:beforeLines="0" w:afterLines="0" w:line="520" w:lineRule="atLeast"/>
        <w:ind w:firstLine="616" w:firstLineChars="200"/>
        <w:textAlignment w:val="auto"/>
        <w:outlineLvl w:val="9"/>
        <w:rPr>
          <w:rFonts w:hint="eastAsia" w:ascii="黑体" w:hAnsi="黑体" w:eastAsia="黑体" w:cs="黑体"/>
          <w:color w:val="auto"/>
          <w:spacing w:val="-6"/>
          <w:kern w:val="0"/>
          <w:sz w:val="32"/>
          <w:szCs w:val="32"/>
          <w:highlight w:val="none"/>
          <w:u w:val="none"/>
          <w:lang w:val="en-US" w:eastAsia="zh-CN"/>
        </w:rPr>
      </w:pPr>
      <w:r>
        <w:rPr>
          <w:rFonts w:hint="eastAsia" w:ascii="黑体" w:hAnsi="黑体" w:eastAsia="黑体" w:cs="黑体"/>
          <w:color w:val="auto"/>
          <w:spacing w:val="-6"/>
          <w:kern w:val="0"/>
          <w:sz w:val="32"/>
          <w:szCs w:val="32"/>
          <w:highlight w:val="none"/>
          <w:u w:val="none"/>
          <w:lang w:val="en-US" w:eastAsia="zh-CN"/>
        </w:rPr>
        <w:t>五、资金筹措</w:t>
      </w:r>
    </w:p>
    <w:p>
      <w:pPr>
        <w:keepNext w:val="0"/>
        <w:keepLines w:val="0"/>
        <w:pageBreakBefore w:val="0"/>
        <w:kinsoku/>
        <w:wordWrap/>
        <w:topLinePunct w:val="0"/>
        <w:autoSpaceDN/>
        <w:bidi w:val="0"/>
        <w:adjustRightInd w:val="0"/>
        <w:snapToGrid w:val="0"/>
        <w:spacing w:beforeLines="0" w:afterLines="0" w:line="520" w:lineRule="atLeast"/>
        <w:ind w:firstLine="616" w:firstLineChars="200"/>
        <w:textAlignment w:val="auto"/>
        <w:rPr>
          <w:rFonts w:hint="eastAsia" w:ascii="仿宋_GB2312" w:hAnsi="仿宋_GB2312" w:eastAsia="仿宋_GB2312" w:cs="仿宋_GB2312"/>
          <w:color w:val="auto"/>
          <w:spacing w:val="-6"/>
          <w:sz w:val="32"/>
          <w:highlight w:val="none"/>
          <w:u w:val="none"/>
        </w:rPr>
      </w:pPr>
      <w:r>
        <w:rPr>
          <w:rFonts w:hint="eastAsia" w:ascii="仿宋_GB2312" w:hAnsi="仿宋_GB2312" w:eastAsia="仿宋_GB2312" w:cs="仿宋_GB2312"/>
          <w:color w:val="auto"/>
          <w:spacing w:val="-6"/>
          <w:sz w:val="32"/>
          <w:highlight w:val="none"/>
          <w:u w:val="none"/>
        </w:rPr>
        <w:t>公开出让的规划一类工业用地由公开出让确认的改造主体投入资金进行开发建设</w:t>
      </w:r>
      <w:r>
        <w:rPr>
          <w:rFonts w:hint="eastAsia" w:ascii="仿宋_GB2312" w:hAnsi="仿宋_GB2312" w:eastAsia="仿宋_GB2312" w:cs="仿宋_GB2312"/>
          <w:color w:val="auto"/>
          <w:spacing w:val="-6"/>
          <w:sz w:val="32"/>
          <w:highlight w:val="none"/>
          <w:u w:val="none"/>
          <w:lang w:val="en-US" w:eastAsia="zh-CN"/>
        </w:rPr>
        <w:t>。</w:t>
      </w:r>
    </w:p>
    <w:p>
      <w:pPr>
        <w:keepNext w:val="0"/>
        <w:keepLines w:val="0"/>
        <w:pageBreakBefore w:val="0"/>
        <w:widowControl/>
        <w:kinsoku/>
        <w:wordWrap/>
        <w:topLinePunct w:val="0"/>
        <w:autoSpaceDN/>
        <w:bidi w:val="0"/>
        <w:adjustRightInd w:val="0"/>
        <w:snapToGrid w:val="0"/>
        <w:spacing w:beforeLines="0" w:afterLines="0" w:line="520" w:lineRule="atLeast"/>
        <w:ind w:firstLine="616" w:firstLineChars="200"/>
        <w:textAlignment w:val="auto"/>
        <w:outlineLvl w:val="9"/>
        <w:rPr>
          <w:rFonts w:hint="eastAsia" w:ascii="黑体" w:hAnsi="黑体" w:eastAsia="黑体" w:cs="黑体"/>
          <w:color w:val="auto"/>
          <w:spacing w:val="-6"/>
          <w:kern w:val="0"/>
          <w:sz w:val="32"/>
          <w:szCs w:val="32"/>
          <w:highlight w:val="none"/>
          <w:u w:val="none"/>
          <w:lang w:val="en-US" w:eastAsia="zh-CN"/>
        </w:rPr>
      </w:pPr>
      <w:r>
        <w:rPr>
          <w:rFonts w:hint="eastAsia" w:ascii="黑体" w:hAnsi="黑体" w:eastAsia="黑体" w:cs="黑体"/>
          <w:color w:val="auto"/>
          <w:spacing w:val="-6"/>
          <w:kern w:val="0"/>
          <w:sz w:val="32"/>
          <w:szCs w:val="32"/>
          <w:highlight w:val="none"/>
          <w:u w:val="none"/>
          <w:lang w:val="en-US" w:eastAsia="zh-CN"/>
        </w:rPr>
        <w:t>六、开发时序</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黑体" w:hAnsi="黑体" w:eastAsia="黑体" w:cs="黑体"/>
          <w:color w:val="auto"/>
          <w:spacing w:val="-6"/>
          <w:kern w:val="0"/>
          <w:sz w:val="32"/>
          <w:szCs w:val="32"/>
          <w:highlight w:val="none"/>
          <w:u w:val="none"/>
        </w:rPr>
      </w:pPr>
      <w:r>
        <w:rPr>
          <w:rFonts w:hint="eastAsia" w:ascii="仿宋_GB2312" w:hAnsi="仿宋_GB2312" w:eastAsia="仿宋_GB2312" w:cs="仿宋_GB2312"/>
          <w:color w:val="auto"/>
          <w:spacing w:val="-6"/>
          <w:kern w:val="0"/>
          <w:sz w:val="32"/>
          <w:szCs w:val="32"/>
          <w:highlight w:val="none"/>
          <w:u w:val="none"/>
        </w:rPr>
        <w:t>公开出让的规划一类工业用地具体开发时间以届时的供地方案为准。</w:t>
      </w:r>
    </w:p>
    <w:p>
      <w:pPr>
        <w:keepNext w:val="0"/>
        <w:keepLines w:val="0"/>
        <w:pageBreakBefore w:val="0"/>
        <w:widowControl/>
        <w:kinsoku/>
        <w:wordWrap/>
        <w:topLinePunct w:val="0"/>
        <w:autoSpaceDN/>
        <w:bidi w:val="0"/>
        <w:adjustRightInd w:val="0"/>
        <w:snapToGrid w:val="0"/>
        <w:spacing w:beforeLines="0" w:afterLines="0" w:line="520" w:lineRule="atLeast"/>
        <w:ind w:firstLine="616" w:firstLineChars="200"/>
        <w:textAlignment w:val="auto"/>
        <w:outlineLvl w:val="9"/>
        <w:rPr>
          <w:rFonts w:hint="eastAsia" w:ascii="黑体" w:hAnsi="黑体" w:eastAsia="黑体" w:cs="黑体"/>
          <w:color w:val="auto"/>
          <w:spacing w:val="-6"/>
          <w:kern w:val="0"/>
          <w:sz w:val="32"/>
          <w:szCs w:val="32"/>
          <w:highlight w:val="none"/>
          <w:u w:val="none"/>
          <w:lang w:val="en-US" w:eastAsia="zh-CN"/>
        </w:rPr>
      </w:pPr>
      <w:r>
        <w:rPr>
          <w:rFonts w:hint="eastAsia" w:ascii="黑体" w:hAnsi="黑体" w:eastAsia="黑体" w:cs="黑体"/>
          <w:color w:val="auto"/>
          <w:spacing w:val="-6"/>
          <w:kern w:val="0"/>
          <w:sz w:val="32"/>
          <w:szCs w:val="32"/>
          <w:highlight w:val="none"/>
          <w:u w:val="none"/>
          <w:lang w:val="en-US" w:eastAsia="zh-CN"/>
        </w:rPr>
        <w:t>七、实施监管</w:t>
      </w:r>
    </w:p>
    <w:p>
      <w:pPr>
        <w:keepNext w:val="0"/>
        <w:keepLines w:val="0"/>
        <w:pageBreakBefore w:val="0"/>
        <w:widowControl w:val="0"/>
        <w:kinsoku/>
        <w:wordWrap/>
        <w:overflowPunct/>
        <w:topLinePunct w:val="0"/>
        <w:autoSpaceDE/>
        <w:autoSpaceDN/>
        <w:bidi w:val="0"/>
        <w:adjustRightInd w:val="0"/>
        <w:snapToGrid w:val="0"/>
        <w:spacing w:beforeLines="0" w:afterLines="0" w:line="520" w:lineRule="atLeast"/>
        <w:ind w:left="0" w:leftChars="0" w:right="0" w:rightChars="0" w:firstLine="616" w:firstLineChars="200"/>
        <w:jc w:val="both"/>
        <w:textAlignment w:val="auto"/>
        <w:outlineLvl w:val="9"/>
        <w:rPr>
          <w:rFonts w:hint="eastAsia" w:ascii="仿宋_GB2312" w:hAnsi="仿宋_GB2312" w:eastAsia="仿宋_GB2312" w:cs="仿宋_GB2312"/>
          <w:color w:val="auto"/>
          <w:spacing w:val="-6"/>
          <w:kern w:val="0"/>
          <w:sz w:val="32"/>
          <w:szCs w:val="32"/>
          <w:highlight w:val="none"/>
          <w:u w:val="none"/>
        </w:rPr>
      </w:pPr>
      <w:r>
        <w:rPr>
          <w:rFonts w:hint="eastAsia" w:ascii="仿宋_GB2312" w:hAnsi="仿宋_GB2312" w:eastAsia="仿宋_GB2312" w:cs="仿宋_GB2312"/>
          <w:color w:val="auto"/>
          <w:spacing w:val="-6"/>
          <w:kern w:val="0"/>
          <w:sz w:val="32"/>
          <w:szCs w:val="32"/>
          <w:highlight w:val="none"/>
          <w:u w:val="none"/>
        </w:rPr>
        <w:t>以公开出让后签订的监管协议为准。</w:t>
      </w:r>
    </w:p>
    <w:sectPr>
      <w:pgSz w:w="11906" w:h="16838"/>
      <w:pgMar w:top="2098" w:right="1587" w:bottom="2098"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汉仪中等线B5"/>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汉仪中等线B5"/>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汉仪中等线B5">
    <w:panose1 w:val="0101010401010101010B"/>
    <w:charset w:val="86"/>
    <w:family w:val="auto"/>
    <w:pitch w:val="default"/>
    <w:sig w:usb0="800000A3" w:usb1="00497878"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114463"/>
    <w:rsid w:val="18310D6E"/>
    <w:rsid w:val="316E6E27"/>
    <w:rsid w:val="3F951322"/>
    <w:rsid w:val="4BBC474D"/>
    <w:rsid w:val="6FEC2E43"/>
    <w:rsid w:val="72114463"/>
    <w:rsid w:val="773E491A"/>
    <w:rsid w:val="E525A8CB"/>
    <w:rsid w:val="F2B73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unhideWhenUsed/>
    <w:qFormat/>
    <w:uiPriority w:val="0"/>
    <w:pPr>
      <w:keepNext/>
      <w:keepLines/>
      <w:spacing w:line="560" w:lineRule="exact"/>
      <w:outlineLvl w:val="1"/>
    </w:pPr>
    <w:rPr>
      <w:rFonts w:ascii="Arial" w:hAnsi="Arial" w:eastAsia="黑体"/>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rPr>
      <w:sz w:val="44"/>
    </w:rPr>
  </w:style>
  <w:style w:type="paragraph" w:styleId="3">
    <w:name w:val="toc 5"/>
    <w:basedOn w:val="1"/>
    <w:next w:val="1"/>
    <w:unhideWhenUsed/>
    <w:qFormat/>
    <w:uiPriority w:val="39"/>
    <w:pPr>
      <w:ind w:left="168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中山市港口镇人民政府</Company>
  <Pages>4</Pages>
  <Words>0</Words>
  <Characters>0</Characters>
  <Lines>0</Lines>
  <Paragraphs>0</Paragraphs>
  <TotalTime>254</TotalTime>
  <ScaleCrop>false</ScaleCrop>
  <LinksUpToDate>false</LinksUpToDate>
  <CharactersWithSpaces>0</CharactersWithSpaces>
  <Application>WPS Office_11.8.2.11681_F1E327BC-269C-435d-A152-05C5408002CA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2025-12-09T12:03:00Z</dcterms:created>
  <dc:creator>唐聪</dc:creator>
  <cp:lastModifiedBy>user</cp:lastModifiedBy>
  <dcterms:modified xsi:type="dcterms:W3CDTF">2026-09-10T16:48:21Z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2052-11.8.2.11681</vt:lpwstr>
  </property>
  <property fmtid="{D5CDD505-2E9C-101B-9397-08002B2CF9AE}" pid="3" name="ICV">
    <vt:lpwstr>7B31BD9B8E6D31AE9B6BA26A14982FB9</vt:lpwstr>
  </property>
</Properties>
</file>