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B80457">
      <w:pPr>
        <w:pStyle w:val="3"/>
        <w:keepNext/>
        <w:keepLines/>
        <w:pageBreakBefore w:val="0"/>
        <w:widowControl w:val="0"/>
        <w:kinsoku/>
        <w:wordWrap/>
        <w:overflowPunct/>
        <w:topLinePunct w:val="0"/>
        <w:autoSpaceDE/>
        <w:autoSpaceDN/>
        <w:bidi w:val="0"/>
        <w:adjustRightInd w:val="0"/>
        <w:snapToGrid w:val="0"/>
        <w:spacing w:before="0" w:line="240" w:lineRule="auto"/>
        <w:jc w:val="left"/>
        <w:textAlignment w:val="auto"/>
        <w:rPr>
          <w:rFonts w:hint="default" w:ascii="黑体" w:hAnsi="黑体" w:eastAsia="黑体" w:cs="黑体"/>
          <w:b/>
          <w:bCs w:val="0"/>
          <w:color w:val="auto"/>
          <w:highlight w:val="none"/>
          <w:lang w:val="en-US" w:eastAsia="zh-CN"/>
        </w:rPr>
      </w:pPr>
      <w:bookmarkStart w:id="0" w:name="_Toc25048"/>
      <w:r>
        <w:rPr>
          <w:rFonts w:hint="eastAsia" w:ascii="黑体" w:hAnsi="黑体" w:eastAsia="黑体" w:cs="黑体"/>
          <w:b/>
          <w:bCs w:val="0"/>
          <w:color w:val="auto"/>
          <w:highlight w:val="none"/>
          <w:lang w:val="en-US" w:eastAsia="zh-CN"/>
        </w:rPr>
        <w:t>附件1</w:t>
      </w:r>
    </w:p>
    <w:p w14:paraId="0867D806">
      <w:pPr>
        <w:pStyle w:val="3"/>
        <w:keepNext/>
        <w:keepLines/>
        <w:pageBreakBefore w:val="0"/>
        <w:widowControl w:val="0"/>
        <w:kinsoku/>
        <w:wordWrap/>
        <w:overflowPunct/>
        <w:topLinePunct w:val="0"/>
        <w:autoSpaceDE/>
        <w:autoSpaceDN/>
        <w:bidi w:val="0"/>
        <w:adjustRightInd w:val="0"/>
        <w:snapToGrid w:val="0"/>
        <w:spacing w:before="0" w:line="240" w:lineRule="auto"/>
        <w:ind w:left="1140" w:hanging="720"/>
        <w:textAlignment w:val="auto"/>
        <w:rPr>
          <w:rFonts w:hint="eastAsia" w:ascii="黑体" w:hAnsi="黑体" w:eastAsia="黑体" w:cs="黑体"/>
          <w:b/>
          <w:bCs w:val="0"/>
          <w:color w:val="auto"/>
          <w:highlight w:val="none"/>
          <w:lang w:val="en-US" w:eastAsia="zh-CN"/>
        </w:rPr>
      </w:pPr>
      <w:r>
        <w:rPr>
          <w:rFonts w:hint="eastAsia" w:ascii="黑体" w:hAnsi="黑体" w:eastAsia="黑体" w:cs="黑体"/>
          <w:b/>
          <w:bCs w:val="0"/>
          <w:color w:val="auto"/>
          <w:highlight w:val="none"/>
          <w:lang w:eastAsia="zh-CN"/>
        </w:rPr>
        <w:t>中山市板芙医院</w:t>
      </w:r>
      <w:r>
        <w:rPr>
          <w:rFonts w:hint="eastAsia" w:ascii="黑体" w:hAnsi="黑体" w:eastAsia="黑体" w:cs="黑体"/>
          <w:b/>
          <w:bCs w:val="0"/>
          <w:color w:val="auto"/>
          <w:highlight w:val="none"/>
          <w:lang w:val="en-US" w:eastAsia="zh-CN"/>
        </w:rPr>
        <w:t>电子胃肠镜系统维修保养服务</w:t>
      </w:r>
    </w:p>
    <w:p w14:paraId="4B6C7B1C">
      <w:pPr>
        <w:pStyle w:val="3"/>
        <w:keepNext/>
        <w:keepLines/>
        <w:pageBreakBefore w:val="0"/>
        <w:widowControl w:val="0"/>
        <w:kinsoku/>
        <w:wordWrap/>
        <w:overflowPunct/>
        <w:topLinePunct w:val="0"/>
        <w:autoSpaceDE/>
        <w:autoSpaceDN/>
        <w:bidi w:val="0"/>
        <w:adjustRightInd w:val="0"/>
        <w:snapToGrid w:val="0"/>
        <w:spacing w:before="0" w:line="240" w:lineRule="auto"/>
        <w:ind w:left="1140" w:hanging="720"/>
        <w:textAlignment w:val="auto"/>
        <w:rPr>
          <w:rFonts w:hint="default"/>
          <w:highlight w:val="none"/>
          <w:lang w:val="en-US" w:eastAsia="zh-CN"/>
        </w:rPr>
      </w:pPr>
      <w:r>
        <w:rPr>
          <w:rFonts w:hint="eastAsia" w:ascii="黑体" w:hAnsi="黑体" w:eastAsia="黑体" w:cs="黑体"/>
          <w:b/>
          <w:bCs w:val="0"/>
          <w:color w:val="auto"/>
          <w:highlight w:val="none"/>
          <w:lang w:eastAsia="zh-CN"/>
        </w:rPr>
        <w:t>采购项目</w:t>
      </w:r>
      <w:bookmarkEnd w:id="0"/>
      <w:r>
        <w:rPr>
          <w:rFonts w:hint="eastAsia" w:ascii="黑体" w:hAnsi="黑体" w:eastAsia="黑体" w:cs="黑体"/>
          <w:b/>
          <w:bCs w:val="0"/>
          <w:color w:val="auto"/>
          <w:highlight w:val="none"/>
          <w:lang w:eastAsia="zh-CN"/>
        </w:rPr>
        <w:t>公开比选</w:t>
      </w:r>
      <w:r>
        <w:rPr>
          <w:rFonts w:hint="eastAsia" w:ascii="黑体" w:hAnsi="黑体" w:eastAsia="黑体" w:cs="黑体"/>
          <w:b/>
          <w:bCs w:val="0"/>
          <w:color w:val="auto"/>
          <w:highlight w:val="none"/>
          <w:lang w:val="en-US" w:eastAsia="zh-CN"/>
        </w:rPr>
        <w:t>文件</w:t>
      </w:r>
    </w:p>
    <w:p w14:paraId="600DE201">
      <w:pPr>
        <w:keepNext w:val="0"/>
        <w:keepLines w:val="0"/>
        <w:pageBreakBefore w:val="0"/>
        <w:kinsoku/>
        <w:wordWrap/>
        <w:overflowPunct/>
        <w:topLinePunct w:val="0"/>
        <w:bidi w:val="0"/>
        <w:spacing w:line="360" w:lineRule="exact"/>
        <w:ind w:left="0" w:leftChars="0" w:firstLine="420" w:firstLineChars="20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中山市板芙医院现对中山市板芙医院</w:t>
      </w:r>
      <w:r>
        <w:rPr>
          <w:rFonts w:hint="eastAsia" w:ascii="宋体" w:hAnsi="宋体" w:cs="宋体"/>
          <w:bCs/>
          <w:color w:val="auto"/>
          <w:sz w:val="21"/>
          <w:szCs w:val="21"/>
          <w:highlight w:val="none"/>
          <w:lang w:val="en-US" w:eastAsia="zh-CN"/>
        </w:rPr>
        <w:t>电子胃肠镜系统维修保养服务</w:t>
      </w:r>
      <w:r>
        <w:rPr>
          <w:rFonts w:hint="eastAsia" w:ascii="宋体" w:hAnsi="宋体" w:eastAsia="宋体" w:cs="宋体"/>
          <w:bCs/>
          <w:color w:val="auto"/>
          <w:sz w:val="21"/>
          <w:szCs w:val="21"/>
          <w:highlight w:val="none"/>
          <w:lang w:eastAsia="zh-CN"/>
        </w:rPr>
        <w:t>采购项目</w:t>
      </w:r>
      <w:r>
        <w:rPr>
          <w:rFonts w:hint="eastAsia" w:ascii="宋体" w:hAnsi="宋体" w:eastAsia="宋体" w:cs="宋体"/>
          <w:bCs/>
          <w:color w:val="auto"/>
          <w:sz w:val="21"/>
          <w:szCs w:val="21"/>
          <w:highlight w:val="none"/>
        </w:rPr>
        <w:t>采用</w:t>
      </w:r>
      <w:r>
        <w:rPr>
          <w:rFonts w:hint="eastAsia" w:ascii="宋体" w:hAnsi="宋体" w:eastAsia="宋体" w:cs="宋体"/>
          <w:bCs/>
          <w:color w:val="auto"/>
          <w:sz w:val="21"/>
          <w:szCs w:val="21"/>
          <w:highlight w:val="none"/>
          <w:lang w:eastAsia="zh-CN"/>
        </w:rPr>
        <w:t>公开比选</w:t>
      </w:r>
      <w:r>
        <w:rPr>
          <w:rFonts w:hint="eastAsia" w:ascii="宋体" w:hAnsi="宋体" w:eastAsia="宋体" w:cs="宋体"/>
          <w:bCs/>
          <w:color w:val="auto"/>
          <w:sz w:val="21"/>
          <w:szCs w:val="21"/>
          <w:highlight w:val="none"/>
        </w:rPr>
        <w:t>方式组织采购，欢迎符合资格条件的供应商参加。有关事项如下：</w:t>
      </w:r>
    </w:p>
    <w:p w14:paraId="25A43994">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一、</w:t>
      </w:r>
      <w:r>
        <w:rPr>
          <w:rFonts w:hint="eastAsia" w:ascii="宋体" w:hAnsi="宋体" w:eastAsia="宋体" w:cs="宋体"/>
          <w:b/>
          <w:bCs/>
          <w:color w:val="auto"/>
          <w:sz w:val="21"/>
          <w:szCs w:val="21"/>
          <w:highlight w:val="none"/>
        </w:rPr>
        <w:t>项目名称：</w:t>
      </w:r>
      <w:r>
        <w:rPr>
          <w:rFonts w:hint="eastAsia" w:ascii="宋体" w:hAnsi="宋体" w:eastAsia="宋体" w:cs="宋体"/>
          <w:color w:val="auto"/>
          <w:kern w:val="28"/>
          <w:sz w:val="21"/>
          <w:szCs w:val="21"/>
          <w:highlight w:val="none"/>
          <w:lang w:eastAsia="zh-CN"/>
        </w:rPr>
        <w:t>中山市板芙医院</w:t>
      </w:r>
      <w:r>
        <w:rPr>
          <w:rFonts w:hint="eastAsia" w:ascii="宋体" w:hAnsi="宋体" w:cs="宋体"/>
          <w:bCs/>
          <w:color w:val="auto"/>
          <w:sz w:val="21"/>
          <w:szCs w:val="21"/>
          <w:highlight w:val="none"/>
          <w:lang w:val="en-US" w:eastAsia="zh-CN"/>
        </w:rPr>
        <w:t>电子胃肠镜系统维修保养服务</w:t>
      </w:r>
      <w:r>
        <w:rPr>
          <w:rFonts w:hint="eastAsia" w:ascii="宋体" w:hAnsi="宋体" w:eastAsia="宋体" w:cs="宋体"/>
          <w:color w:val="auto"/>
          <w:kern w:val="28"/>
          <w:sz w:val="21"/>
          <w:szCs w:val="21"/>
          <w:highlight w:val="none"/>
          <w:lang w:eastAsia="zh-CN"/>
        </w:rPr>
        <w:t>采购项目</w:t>
      </w:r>
      <w:r>
        <w:rPr>
          <w:rFonts w:hint="eastAsia" w:ascii="宋体" w:hAnsi="宋体" w:eastAsia="宋体" w:cs="宋体"/>
          <w:color w:val="auto"/>
          <w:sz w:val="21"/>
          <w:szCs w:val="21"/>
          <w:highlight w:val="none"/>
        </w:rPr>
        <w:t xml:space="preserve"> </w:t>
      </w:r>
    </w:p>
    <w:p w14:paraId="5377B591">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ascii="宋体" w:hAnsi="宋体" w:eastAsia="宋体" w:cs="宋体"/>
          <w:color w:val="auto"/>
          <w:kern w:val="28"/>
          <w:sz w:val="21"/>
          <w:szCs w:val="21"/>
          <w:highlight w:val="none"/>
          <w:lang w:eastAsia="zh-CN"/>
        </w:rPr>
      </w:pPr>
      <w:r>
        <w:rPr>
          <w:rFonts w:hint="eastAsia" w:ascii="宋体" w:hAnsi="宋体" w:eastAsia="宋体" w:cs="宋体"/>
          <w:b/>
          <w:bCs/>
          <w:color w:val="auto"/>
          <w:sz w:val="21"/>
          <w:szCs w:val="21"/>
          <w:highlight w:val="none"/>
          <w:lang w:eastAsia="zh-CN"/>
        </w:rPr>
        <w:t>二、</w:t>
      </w:r>
      <w:r>
        <w:rPr>
          <w:rFonts w:hint="eastAsia" w:ascii="宋体" w:hAnsi="宋体" w:cs="宋体"/>
          <w:b/>
          <w:bCs/>
          <w:color w:val="auto"/>
          <w:sz w:val="21"/>
          <w:szCs w:val="21"/>
          <w:highlight w:val="none"/>
          <w:lang w:val="en-US" w:eastAsia="zh-CN"/>
        </w:rPr>
        <w:t>最高限价</w:t>
      </w:r>
      <w:r>
        <w:rPr>
          <w:rFonts w:hint="eastAsia" w:ascii="宋体" w:hAnsi="宋体" w:eastAsia="宋体" w:cs="宋体"/>
          <w:b/>
          <w:bCs/>
          <w:color w:val="auto"/>
          <w:sz w:val="21"/>
          <w:szCs w:val="21"/>
          <w:highlight w:val="none"/>
        </w:rPr>
        <w:t>：</w:t>
      </w:r>
      <w:r>
        <w:rPr>
          <w:rFonts w:hint="eastAsia" w:ascii="宋体" w:hAnsi="宋体" w:cs="宋体"/>
          <w:color w:val="000000" w:themeColor="text1"/>
          <w:sz w:val="21"/>
          <w:szCs w:val="21"/>
          <w:highlight w:val="none"/>
          <w:lang w:val="en-US" w:eastAsia="zh-CN"/>
          <w14:textFill>
            <w14:solidFill>
              <w14:schemeClr w14:val="tx1"/>
            </w14:solidFill>
          </w14:textFill>
        </w:rPr>
        <w:t>46,800</w:t>
      </w:r>
      <w:r>
        <w:rPr>
          <w:rFonts w:hint="eastAsia" w:ascii="宋体" w:hAnsi="宋体" w:eastAsia="宋体" w:cs="宋体"/>
          <w:color w:val="000000" w:themeColor="text1"/>
          <w:sz w:val="21"/>
          <w:szCs w:val="21"/>
          <w:highlight w:val="none"/>
          <w:lang w:val="en-US" w:eastAsia="zh-CN"/>
          <w14:textFill>
            <w14:solidFill>
              <w14:schemeClr w14:val="tx1"/>
            </w14:solidFill>
          </w14:textFill>
        </w:rPr>
        <w:t>.00</w:t>
      </w:r>
      <w:r>
        <w:rPr>
          <w:rFonts w:hint="eastAsia" w:ascii="宋体" w:hAnsi="宋体" w:eastAsia="宋体" w:cs="宋体"/>
          <w:color w:val="auto"/>
          <w:kern w:val="28"/>
          <w:sz w:val="21"/>
          <w:szCs w:val="21"/>
          <w:highlight w:val="none"/>
          <w:lang w:val="en-US" w:eastAsia="zh-CN"/>
        </w:rPr>
        <w:t>元</w:t>
      </w:r>
    </w:p>
    <w:p w14:paraId="33A7D937">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三、</w:t>
      </w:r>
      <w:r>
        <w:rPr>
          <w:rFonts w:hint="eastAsia" w:ascii="宋体" w:hAnsi="宋体" w:cs="宋体"/>
          <w:b/>
          <w:bCs/>
          <w:color w:val="auto"/>
          <w:sz w:val="21"/>
          <w:szCs w:val="21"/>
          <w:highlight w:val="none"/>
          <w:lang w:val="en-US" w:eastAsia="zh-CN"/>
        </w:rPr>
        <w:t>项目内容</w:t>
      </w:r>
    </w:p>
    <w:tbl>
      <w:tblPr>
        <w:tblStyle w:val="16"/>
        <w:tblW w:w="4076" w:type="pct"/>
        <w:tblInd w:w="922"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038"/>
        <w:gridCol w:w="1444"/>
        <w:gridCol w:w="1545"/>
        <w:gridCol w:w="1546"/>
      </w:tblGrid>
      <w:tr w14:paraId="6894D8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6" w:hRule="atLeast"/>
        </w:trPr>
        <w:tc>
          <w:tcPr>
            <w:tcW w:w="3038" w:type="dxa"/>
            <w:noWrap w:val="0"/>
            <w:vAlign w:val="center"/>
          </w:tcPr>
          <w:p w14:paraId="1BDB57FB">
            <w:pPr>
              <w:keepNext w:val="0"/>
              <w:keepLines w:val="0"/>
              <w:pageBreakBefore w:val="0"/>
              <w:widowControl/>
              <w:suppressLineNumbers w:val="0"/>
              <w:kinsoku/>
              <w:overflowPunct/>
              <w:topLinePunct w:val="0"/>
              <w:bidi w:val="0"/>
              <w:spacing w:line="360" w:lineRule="exac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采购标的</w:t>
            </w:r>
          </w:p>
        </w:tc>
        <w:tc>
          <w:tcPr>
            <w:tcW w:w="1444" w:type="dxa"/>
            <w:noWrap w:val="0"/>
            <w:vAlign w:val="center"/>
          </w:tcPr>
          <w:p w14:paraId="6250D57E">
            <w:pPr>
              <w:keepNext w:val="0"/>
              <w:keepLines w:val="0"/>
              <w:pageBreakBefore w:val="0"/>
              <w:widowControl/>
              <w:suppressLineNumbers w:val="0"/>
              <w:kinsoku/>
              <w:overflowPunct/>
              <w:topLinePunct w:val="0"/>
              <w:bidi w:val="0"/>
              <w:spacing w:line="360" w:lineRule="exac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数量</w:t>
            </w:r>
            <w:r>
              <w:rPr>
                <w:rFonts w:hint="eastAsia" w:ascii="宋体" w:hAnsi="宋体" w:cs="宋体"/>
                <w:i w:val="0"/>
                <w:iCs w:val="0"/>
                <w:color w:val="auto"/>
                <w:kern w:val="0"/>
                <w:sz w:val="21"/>
                <w:szCs w:val="21"/>
                <w:highlight w:val="none"/>
                <w:u w:val="non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（单位）</w:t>
            </w:r>
          </w:p>
        </w:tc>
        <w:tc>
          <w:tcPr>
            <w:tcW w:w="1545" w:type="dxa"/>
            <w:noWrap w:val="0"/>
            <w:vAlign w:val="center"/>
          </w:tcPr>
          <w:p w14:paraId="612EF251">
            <w:pPr>
              <w:keepNext w:val="0"/>
              <w:keepLines w:val="0"/>
              <w:pageBreakBefore w:val="0"/>
              <w:widowControl/>
              <w:suppressLineNumbers w:val="0"/>
              <w:kinsoku/>
              <w:overflowPunct/>
              <w:topLinePunct w:val="0"/>
              <w:bidi w:val="0"/>
              <w:spacing w:line="360" w:lineRule="exac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项目</w:t>
            </w:r>
            <w:r>
              <w:rPr>
                <w:rFonts w:hint="eastAsia" w:ascii="宋体" w:hAnsi="宋体" w:eastAsia="宋体" w:cs="宋体"/>
                <w:i w:val="0"/>
                <w:iCs w:val="0"/>
                <w:color w:val="auto"/>
                <w:kern w:val="0"/>
                <w:sz w:val="21"/>
                <w:szCs w:val="21"/>
                <w:highlight w:val="none"/>
                <w:u w:val="none"/>
                <w:lang w:val="en-US" w:eastAsia="zh-CN" w:bidi="ar"/>
              </w:rPr>
              <w:t>单价（元）</w:t>
            </w:r>
          </w:p>
        </w:tc>
        <w:tc>
          <w:tcPr>
            <w:tcW w:w="1546" w:type="dxa"/>
            <w:noWrap w:val="0"/>
            <w:vAlign w:val="center"/>
          </w:tcPr>
          <w:p w14:paraId="562DD1BC">
            <w:pPr>
              <w:keepNext w:val="0"/>
              <w:keepLines w:val="0"/>
              <w:pageBreakBefore w:val="0"/>
              <w:widowControl/>
              <w:suppressLineNumbers w:val="0"/>
              <w:kinsoku/>
              <w:overflowPunct/>
              <w:topLinePunct w:val="0"/>
              <w:bidi w:val="0"/>
              <w:spacing w:line="360" w:lineRule="exac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项目</w:t>
            </w:r>
            <w:r>
              <w:rPr>
                <w:rFonts w:hint="eastAsia" w:ascii="宋体" w:hAnsi="宋体" w:eastAsia="宋体" w:cs="宋体"/>
                <w:i w:val="0"/>
                <w:iCs w:val="0"/>
                <w:color w:val="auto"/>
                <w:kern w:val="0"/>
                <w:sz w:val="21"/>
                <w:szCs w:val="21"/>
                <w:highlight w:val="none"/>
                <w:u w:val="none"/>
                <w:lang w:val="en-US" w:eastAsia="zh-CN" w:bidi="ar"/>
              </w:rPr>
              <w:t>总价（元）</w:t>
            </w:r>
          </w:p>
        </w:tc>
      </w:tr>
      <w:tr w14:paraId="6B7099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04" w:hRule="atLeast"/>
        </w:trPr>
        <w:tc>
          <w:tcPr>
            <w:tcW w:w="3038" w:type="dxa"/>
            <w:noWrap w:val="0"/>
            <w:vAlign w:val="center"/>
          </w:tcPr>
          <w:p w14:paraId="08A46BC7">
            <w:pPr>
              <w:keepNext w:val="0"/>
              <w:keepLines w:val="0"/>
              <w:pageBreakBefore w:val="0"/>
              <w:widowControl/>
              <w:suppressLineNumbers w:val="0"/>
              <w:kinsoku/>
              <w:overflowPunct/>
              <w:topLinePunct w:val="0"/>
              <w:bidi w:val="0"/>
              <w:spacing w:line="360" w:lineRule="exact"/>
              <w:ind w:left="0" w:leftChars="0" w:firstLine="0" w:firstLineChars="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电子胃肠镜系统维修保养服务</w:t>
            </w:r>
          </w:p>
        </w:tc>
        <w:tc>
          <w:tcPr>
            <w:tcW w:w="1444" w:type="dxa"/>
            <w:noWrap w:val="0"/>
            <w:vAlign w:val="center"/>
          </w:tcPr>
          <w:p w14:paraId="6430EE5F">
            <w:pPr>
              <w:keepNext w:val="0"/>
              <w:keepLines w:val="0"/>
              <w:pageBreakBefore w:val="0"/>
              <w:widowControl/>
              <w:suppressLineNumbers w:val="0"/>
              <w:kinsoku/>
              <w:overflowPunct/>
              <w:topLinePunct w:val="0"/>
              <w:bidi w:val="0"/>
              <w:spacing w:line="360" w:lineRule="exac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1项</w:t>
            </w:r>
          </w:p>
        </w:tc>
        <w:tc>
          <w:tcPr>
            <w:tcW w:w="1545" w:type="dxa"/>
            <w:noWrap w:val="0"/>
            <w:vAlign w:val="center"/>
          </w:tcPr>
          <w:p w14:paraId="3D268ABB">
            <w:pPr>
              <w:keepNext w:val="0"/>
              <w:keepLines w:val="0"/>
              <w:pageBreakBefore w:val="0"/>
              <w:widowControl/>
              <w:suppressLineNumbers w:val="0"/>
              <w:kinsoku/>
              <w:overflowPunct/>
              <w:topLinePunct w:val="0"/>
              <w:bidi w:val="0"/>
              <w:spacing w:line="360" w:lineRule="exac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color w:val="000000" w:themeColor="text1"/>
                <w:sz w:val="21"/>
                <w:szCs w:val="21"/>
                <w:highlight w:val="none"/>
                <w:lang w:val="en-US" w:eastAsia="zh-CN"/>
                <w14:textFill>
                  <w14:solidFill>
                    <w14:schemeClr w14:val="tx1"/>
                  </w14:solidFill>
                </w14:textFill>
              </w:rPr>
              <w:t>46,800</w:t>
            </w:r>
            <w:r>
              <w:rPr>
                <w:rFonts w:hint="eastAsia" w:ascii="宋体" w:hAnsi="宋体" w:eastAsia="宋体" w:cs="宋体"/>
                <w:color w:val="000000" w:themeColor="text1"/>
                <w:sz w:val="21"/>
                <w:szCs w:val="21"/>
                <w:highlight w:val="none"/>
                <w:lang w:val="en-US" w:eastAsia="zh-CN"/>
                <w14:textFill>
                  <w14:solidFill>
                    <w14:schemeClr w14:val="tx1"/>
                  </w14:solidFill>
                </w14:textFill>
              </w:rPr>
              <w:t>.00</w:t>
            </w:r>
          </w:p>
        </w:tc>
        <w:tc>
          <w:tcPr>
            <w:tcW w:w="1546" w:type="dxa"/>
            <w:noWrap w:val="0"/>
            <w:vAlign w:val="center"/>
          </w:tcPr>
          <w:p w14:paraId="1CD72E98">
            <w:pPr>
              <w:keepNext w:val="0"/>
              <w:keepLines w:val="0"/>
              <w:pageBreakBefore w:val="0"/>
              <w:widowControl/>
              <w:suppressLineNumbers w:val="0"/>
              <w:kinsoku/>
              <w:overflowPunct/>
              <w:topLinePunct w:val="0"/>
              <w:bidi w:val="0"/>
              <w:spacing w:line="360" w:lineRule="exac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color w:val="000000" w:themeColor="text1"/>
                <w:sz w:val="21"/>
                <w:szCs w:val="21"/>
                <w:highlight w:val="none"/>
                <w:lang w:val="en-US" w:eastAsia="zh-CN"/>
                <w14:textFill>
                  <w14:solidFill>
                    <w14:schemeClr w14:val="tx1"/>
                  </w14:solidFill>
                </w14:textFill>
              </w:rPr>
              <w:t>46,800</w:t>
            </w:r>
            <w:r>
              <w:rPr>
                <w:rFonts w:hint="eastAsia" w:ascii="宋体" w:hAnsi="宋体" w:eastAsia="宋体" w:cs="宋体"/>
                <w:color w:val="000000" w:themeColor="text1"/>
                <w:sz w:val="21"/>
                <w:szCs w:val="21"/>
                <w:highlight w:val="none"/>
                <w:lang w:val="en-US" w:eastAsia="zh-CN"/>
                <w14:textFill>
                  <w14:solidFill>
                    <w14:schemeClr w14:val="tx1"/>
                  </w14:solidFill>
                </w14:textFill>
              </w:rPr>
              <w:t>.00</w:t>
            </w:r>
          </w:p>
        </w:tc>
      </w:tr>
    </w:tbl>
    <w:p w14:paraId="6359E862">
      <w:pPr>
        <w:keepNext w:val="0"/>
        <w:keepLines w:val="0"/>
        <w:pageBreakBefore w:val="0"/>
        <w:numPr>
          <w:ilvl w:val="0"/>
          <w:numId w:val="0"/>
        </w:numPr>
        <w:kinsoku/>
        <w:wordWrap/>
        <w:overflowPunct/>
        <w:topLinePunct w:val="0"/>
        <w:bidi w:val="0"/>
        <w:spacing w:line="360" w:lineRule="exact"/>
        <w:ind w:firstLine="422" w:firstLineChars="200"/>
        <w:jc w:val="both"/>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四、采购需求书</w:t>
      </w:r>
    </w:p>
    <w:p w14:paraId="73A5FC4E">
      <w:pPr>
        <w:keepNext w:val="0"/>
        <w:keepLines w:val="0"/>
        <w:pageBreakBefore w:val="0"/>
        <w:numPr>
          <w:ilvl w:val="0"/>
          <w:numId w:val="0"/>
        </w:numPr>
        <w:kinsoku/>
        <w:wordWrap/>
        <w:overflowPunct/>
        <w:topLinePunct w:val="0"/>
        <w:bidi w:val="0"/>
        <w:spacing w:line="360" w:lineRule="exact"/>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一</w:t>
      </w:r>
      <w:r>
        <w:rPr>
          <w:rFonts w:hint="eastAsia" w:ascii="宋体" w:hAnsi="宋体" w:eastAsia="宋体" w:cs="宋体"/>
          <w:color w:val="auto"/>
          <w:sz w:val="21"/>
          <w:szCs w:val="21"/>
          <w:highlight w:val="none"/>
          <w:lang w:val="en-US" w:eastAsia="zh-CN"/>
        </w:rPr>
        <w:t>）服务内容及范围</w:t>
      </w:r>
    </w:p>
    <w:p w14:paraId="36C6A55C">
      <w:pPr>
        <w:keepNext w:val="0"/>
        <w:keepLines w:val="0"/>
        <w:pageBreakBefore w:val="0"/>
        <w:numPr>
          <w:ilvl w:val="0"/>
          <w:numId w:val="0"/>
        </w:numPr>
        <w:kinsoku/>
        <w:wordWrap/>
        <w:overflowPunct/>
        <w:topLinePunct w:val="0"/>
        <w:bidi w:val="0"/>
        <w:spacing w:line="360" w:lineRule="exact"/>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OLYMPUS CV170电子胃肠镜系统1套（含主机1台、显示器1台、电子胃镜1条、电子肠镜1条）的故障维修、预防性保养及设备使用技术支持。</w:t>
      </w:r>
    </w:p>
    <w:p w14:paraId="6947A71D">
      <w:pPr>
        <w:keepNext w:val="0"/>
        <w:keepLines w:val="0"/>
        <w:pageBreakBefore w:val="0"/>
        <w:numPr>
          <w:ilvl w:val="0"/>
          <w:numId w:val="0"/>
        </w:numPr>
        <w:kinsoku/>
        <w:wordWrap/>
        <w:overflowPunct/>
        <w:topLinePunct w:val="0"/>
        <w:bidi w:val="0"/>
        <w:spacing w:line="360" w:lineRule="exact"/>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（二）</w:t>
      </w:r>
      <w:r>
        <w:rPr>
          <w:rFonts w:hint="eastAsia" w:ascii="宋体" w:hAnsi="宋体" w:eastAsia="宋体" w:cs="宋体"/>
          <w:color w:val="auto"/>
          <w:sz w:val="21"/>
          <w:szCs w:val="21"/>
          <w:highlight w:val="none"/>
          <w:lang w:val="en-US" w:eastAsia="zh-CN"/>
        </w:rPr>
        <w:t>服务期限</w:t>
      </w:r>
    </w:p>
    <w:p w14:paraId="7A49EA16">
      <w:pPr>
        <w:keepNext w:val="0"/>
        <w:keepLines w:val="0"/>
        <w:pageBreakBefore w:val="0"/>
        <w:numPr>
          <w:ilvl w:val="0"/>
          <w:numId w:val="0"/>
        </w:numPr>
        <w:kinsoku/>
        <w:wordWrap/>
        <w:overflowPunct/>
        <w:topLinePunct w:val="0"/>
        <w:bidi w:val="0"/>
        <w:spacing w:line="360" w:lineRule="exact"/>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2026年10月1日至2027年9月30日 （共一年，具体按合同约定时间计算）。</w:t>
      </w:r>
    </w:p>
    <w:p w14:paraId="10015DD7">
      <w:pPr>
        <w:keepNext w:val="0"/>
        <w:keepLines w:val="0"/>
        <w:pageBreakBefore w:val="0"/>
        <w:numPr>
          <w:ilvl w:val="0"/>
          <w:numId w:val="0"/>
        </w:numPr>
        <w:kinsoku/>
        <w:wordWrap/>
        <w:overflowPunct/>
        <w:topLinePunct w:val="0"/>
        <w:bidi w:val="0"/>
        <w:spacing w:line="360" w:lineRule="exact"/>
        <w:ind w:firstLine="420" w:firstLineChars="200"/>
        <w:jc w:val="both"/>
        <w:rPr>
          <w:rFonts w:hint="eastAsia"/>
          <w:lang w:val="en-US" w:eastAsia="zh-CN"/>
        </w:rPr>
      </w:pPr>
      <w:r>
        <w:rPr>
          <w:rFonts w:hint="eastAsia" w:ascii="宋体" w:hAnsi="宋体" w:cs="宋体"/>
          <w:color w:val="auto"/>
          <w:sz w:val="21"/>
          <w:szCs w:val="21"/>
          <w:highlight w:val="none"/>
          <w:lang w:val="en-US" w:eastAsia="zh-CN"/>
        </w:rPr>
        <w:t>（三）技术</w:t>
      </w:r>
      <w:r>
        <w:rPr>
          <w:rFonts w:hint="eastAsia" w:ascii="宋体" w:hAnsi="宋体" w:eastAsia="宋体" w:cs="宋体"/>
          <w:color w:val="auto"/>
          <w:sz w:val="21"/>
          <w:szCs w:val="21"/>
          <w:highlight w:val="none"/>
          <w:lang w:val="en-US" w:eastAsia="zh-CN"/>
        </w:rPr>
        <w:t>要求</w:t>
      </w:r>
    </w:p>
    <w:p w14:paraId="72763829">
      <w:pPr>
        <w:pStyle w:val="8"/>
        <w:rPr>
          <w:rFonts w:hint="default"/>
          <w:lang w:val="en-US" w:eastAsia="zh-CN"/>
        </w:rPr>
      </w:pPr>
      <w:r>
        <w:rPr>
          <w:rFonts w:hint="eastAsia" w:ascii="宋体" w:hAnsi="宋体" w:cs="宋体"/>
          <w:color w:val="auto"/>
          <w:sz w:val="21"/>
          <w:szCs w:val="21"/>
          <w:highlight w:val="none"/>
          <w:lang w:val="en-US" w:eastAsia="zh-CN"/>
        </w:rPr>
        <w:t xml:space="preserve">    1.服务要求</w:t>
      </w:r>
    </w:p>
    <w:p w14:paraId="638FA8CD">
      <w:pPr>
        <w:keepNext w:val="0"/>
        <w:keepLines w:val="0"/>
        <w:pageBreakBefore w:val="0"/>
        <w:numPr>
          <w:ilvl w:val="0"/>
          <w:numId w:val="0"/>
        </w:numPr>
        <w:kinsoku/>
        <w:wordWrap/>
        <w:overflowPunct/>
        <w:topLinePunct w:val="0"/>
        <w:bidi w:val="0"/>
        <w:spacing w:line="360" w:lineRule="exact"/>
        <w:ind w:firstLine="420" w:firstLineChars="20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1.1每季度提供一次全面的预防性保养服务。</w:t>
      </w:r>
    </w:p>
    <w:p w14:paraId="1541E594">
      <w:pPr>
        <w:keepNext w:val="0"/>
        <w:keepLines w:val="0"/>
        <w:pageBreakBefore w:val="0"/>
        <w:numPr>
          <w:ilvl w:val="0"/>
          <w:numId w:val="0"/>
        </w:numPr>
        <w:kinsoku/>
        <w:wordWrap/>
        <w:overflowPunct/>
        <w:topLinePunct w:val="0"/>
        <w:bidi w:val="0"/>
        <w:spacing w:line="360" w:lineRule="exact"/>
        <w:ind w:firstLine="420" w:firstLineChars="20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1.2更换设备中损坏及不稳定的零备件，费用包含在报价中。</w:t>
      </w:r>
    </w:p>
    <w:p w14:paraId="3F27CC46">
      <w:pPr>
        <w:keepNext w:val="0"/>
        <w:keepLines w:val="0"/>
        <w:pageBreakBefore w:val="0"/>
        <w:numPr>
          <w:ilvl w:val="0"/>
          <w:numId w:val="0"/>
        </w:numPr>
        <w:kinsoku/>
        <w:wordWrap/>
        <w:overflowPunct/>
        <w:topLinePunct w:val="0"/>
        <w:bidi w:val="0"/>
        <w:spacing w:line="360" w:lineRule="exact"/>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1.3合同期内，不限次数维修、更换零备件，费用包含在报价中。</w:t>
      </w:r>
    </w:p>
    <w:p w14:paraId="7E020109">
      <w:pPr>
        <w:keepNext w:val="0"/>
        <w:keepLines w:val="0"/>
        <w:pageBreakBefore w:val="0"/>
        <w:numPr>
          <w:ilvl w:val="0"/>
          <w:numId w:val="0"/>
        </w:numPr>
        <w:kinsoku/>
        <w:wordWrap/>
        <w:overflowPunct/>
        <w:topLinePunct w:val="0"/>
        <w:bidi w:val="0"/>
        <w:spacing w:line="360" w:lineRule="exact"/>
        <w:ind w:firstLine="420" w:firstLineChars="20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1.4紧急维修30分钟内响应，一般维修24小时完成，特殊维修10日内完成。</w:t>
      </w:r>
    </w:p>
    <w:p w14:paraId="456B8B63">
      <w:pPr>
        <w:keepNext w:val="0"/>
        <w:keepLines w:val="0"/>
        <w:pageBreakBefore w:val="0"/>
        <w:numPr>
          <w:ilvl w:val="0"/>
          <w:numId w:val="0"/>
        </w:numPr>
        <w:kinsoku/>
        <w:wordWrap/>
        <w:overflowPunct/>
        <w:topLinePunct w:val="0"/>
        <w:bidi w:val="0"/>
        <w:spacing w:line="360" w:lineRule="exact"/>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人员配置要求</w:t>
      </w:r>
      <w:r>
        <w:rPr>
          <w:rFonts w:hint="eastAsia" w:ascii="宋体" w:hAnsi="宋体" w:cs="宋体"/>
          <w:color w:val="auto"/>
          <w:sz w:val="21"/>
          <w:szCs w:val="21"/>
          <w:highlight w:val="none"/>
          <w:lang w:val="en-US" w:eastAsia="zh-CN"/>
        </w:rPr>
        <w:t>：需有相关技术培训合格证书的专业工程师负责项目实施。</w:t>
      </w:r>
    </w:p>
    <w:p w14:paraId="2B33CEEF">
      <w:pPr>
        <w:keepNext w:val="0"/>
        <w:keepLines w:val="0"/>
        <w:pageBreakBefore w:val="0"/>
        <w:numPr>
          <w:ilvl w:val="0"/>
          <w:numId w:val="0"/>
        </w:numPr>
        <w:kinsoku/>
        <w:wordWrap/>
        <w:overflowPunct/>
        <w:topLinePunct w:val="0"/>
        <w:bidi w:val="0"/>
        <w:spacing w:line="360" w:lineRule="exact"/>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设施设备配置要求：故障维修期间，可提供与OLYMPUS CV170电子胃肠镜系统相匹配的备用镜给采购人使用。</w:t>
      </w:r>
    </w:p>
    <w:p w14:paraId="57D6B1D0">
      <w:pPr>
        <w:keepNext w:val="0"/>
        <w:keepLines w:val="0"/>
        <w:pageBreakBefore w:val="0"/>
        <w:numPr>
          <w:ilvl w:val="0"/>
          <w:numId w:val="0"/>
        </w:numPr>
        <w:kinsoku/>
        <w:wordWrap/>
        <w:overflowPunct/>
        <w:topLinePunct w:val="0"/>
        <w:bidi w:val="0"/>
        <w:spacing w:line="360" w:lineRule="exact"/>
        <w:ind w:firstLine="420" w:firstLineChars="200"/>
        <w:jc w:val="both"/>
        <w:rPr>
          <w:rFonts w:hint="default"/>
          <w:lang w:val="en-US" w:eastAsia="zh-CN"/>
        </w:rPr>
      </w:pPr>
      <w:r>
        <w:rPr>
          <w:rFonts w:hint="eastAsia" w:ascii="宋体" w:hAnsi="宋体" w:cs="宋体"/>
          <w:color w:val="auto"/>
          <w:sz w:val="21"/>
          <w:szCs w:val="21"/>
          <w:highlight w:val="none"/>
          <w:lang w:val="en-US" w:eastAsia="zh-CN"/>
        </w:rPr>
        <w:t>（四）</w:t>
      </w:r>
      <w:r>
        <w:rPr>
          <w:rFonts w:hint="eastAsia" w:ascii="宋体" w:hAnsi="宋体" w:eastAsia="宋体" w:cs="宋体"/>
          <w:color w:val="auto"/>
          <w:sz w:val="21"/>
          <w:szCs w:val="21"/>
          <w:highlight w:val="none"/>
          <w:lang w:val="en-US" w:eastAsia="zh-CN"/>
        </w:rPr>
        <w:t>商务要求</w:t>
      </w:r>
    </w:p>
    <w:p w14:paraId="7BF47848">
      <w:pPr>
        <w:keepNext w:val="0"/>
        <w:keepLines w:val="0"/>
        <w:pageBreakBefore w:val="0"/>
        <w:numPr>
          <w:ilvl w:val="0"/>
          <w:numId w:val="0"/>
        </w:numPr>
        <w:kinsoku/>
        <w:wordWrap/>
        <w:overflowPunct/>
        <w:topLinePunct w:val="0"/>
        <w:bidi w:val="0"/>
        <w:spacing w:line="360" w:lineRule="exact"/>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1.付款方式：按季度扣除罚金后支付服务费。供应商每季度提供“医疗设备维修保养服务验收表”（详见附件</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）作为采购人支付依据，采购人按照“医疗设备维修保养服务考评表”（详见附件</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）的考评内容对供应商的维修保养服务进行考核</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医疗设备维修保养服务考评表综合平均分”得分≥90分为“优”，当季度不进行扣罚；若得分＜90分，每低1分扣除当季金额的1%作为罚金后再结算。验收、考核完毕后60日内进行支付。具体支付时间应以双方书面确认的验收表为准，确保支付的准确性与时效性。供应商应在</w:t>
      </w:r>
      <w:r>
        <w:rPr>
          <w:rFonts w:hint="eastAsia" w:ascii="宋体" w:hAnsi="宋体" w:cs="宋体"/>
          <w:color w:val="auto"/>
          <w:sz w:val="21"/>
          <w:szCs w:val="21"/>
          <w:highlight w:val="none"/>
          <w:lang w:val="en-US" w:eastAsia="zh-CN"/>
        </w:rPr>
        <w:t>维保服务</w:t>
      </w:r>
      <w:r>
        <w:rPr>
          <w:rFonts w:hint="eastAsia" w:ascii="宋体" w:hAnsi="宋体" w:eastAsia="宋体" w:cs="宋体"/>
          <w:color w:val="auto"/>
          <w:sz w:val="21"/>
          <w:szCs w:val="21"/>
          <w:highlight w:val="none"/>
          <w:lang w:val="en-US" w:eastAsia="zh-CN"/>
        </w:rPr>
        <w:t>通过验收之日向采购人出具合法有效的发票，供应商逾期未出具发票的，采购人有权顺延相应付款时间。</w:t>
      </w:r>
    </w:p>
    <w:p w14:paraId="7974328A">
      <w:pPr>
        <w:keepNext w:val="0"/>
        <w:keepLines w:val="0"/>
        <w:pageBreakBefore w:val="0"/>
        <w:numPr>
          <w:ilvl w:val="0"/>
          <w:numId w:val="0"/>
        </w:numPr>
        <w:kinsoku/>
        <w:wordWrap/>
        <w:overflowPunct/>
        <w:topLinePunct w:val="0"/>
        <w:bidi w:val="0"/>
        <w:spacing w:line="360" w:lineRule="exact"/>
        <w:ind w:firstLine="420" w:firstLineChars="20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2.验收标准和</w:t>
      </w:r>
      <w:r>
        <w:rPr>
          <w:rFonts w:hint="eastAsia" w:ascii="宋体" w:hAnsi="宋体" w:cs="宋体"/>
          <w:color w:val="auto"/>
          <w:sz w:val="21"/>
          <w:szCs w:val="21"/>
          <w:highlight w:val="none"/>
          <w:lang w:val="en-US" w:eastAsia="zh-CN"/>
        </w:rPr>
        <w:t>要求</w:t>
      </w:r>
    </w:p>
    <w:p w14:paraId="5DE9E743">
      <w:pPr>
        <w:keepNext w:val="0"/>
        <w:keepLines w:val="0"/>
        <w:pageBreakBefore w:val="0"/>
        <w:numPr>
          <w:ilvl w:val="0"/>
          <w:numId w:val="0"/>
        </w:numPr>
        <w:kinsoku/>
        <w:wordWrap/>
        <w:overflowPunct/>
        <w:topLinePunct w:val="0"/>
        <w:bidi w:val="0"/>
        <w:spacing w:line="360" w:lineRule="exact"/>
        <w:ind w:firstLine="420" w:firstLineChars="20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r>
        <w:rPr>
          <w:rFonts w:hint="eastAsia" w:ascii="宋体" w:hAnsi="宋体" w:cs="宋体"/>
          <w:color w:val="auto"/>
          <w:sz w:val="21"/>
          <w:szCs w:val="21"/>
          <w:highlight w:val="none"/>
          <w:lang w:val="en-US" w:eastAsia="zh-CN"/>
        </w:rPr>
        <w:t>验收标准：按照《医疗设备维修保养服务验收表》及《医疗设备维修保养服务考评表》相关内容进行验收、考核。</w:t>
      </w:r>
    </w:p>
    <w:p w14:paraId="1A2553AF">
      <w:pPr>
        <w:keepNext w:val="0"/>
        <w:keepLines w:val="0"/>
        <w:pageBreakBefore w:val="0"/>
        <w:numPr>
          <w:ilvl w:val="0"/>
          <w:numId w:val="0"/>
        </w:numPr>
        <w:kinsoku/>
        <w:wordWrap/>
        <w:overflowPunct/>
        <w:topLinePunct w:val="0"/>
        <w:bidi w:val="0"/>
        <w:spacing w:line="360" w:lineRule="exact"/>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2.2若采购人使用科室核心小组有2/3或以上人数对中选供应商的服务质量不满意的，且使用科室核心小组已对其发出书面通报两次或以上的，经院方领导同意，采购人有权终止合同。</w:t>
      </w:r>
    </w:p>
    <w:p w14:paraId="2E4B7ECC">
      <w:pPr>
        <w:keepNext w:val="0"/>
        <w:keepLines w:val="0"/>
        <w:pageBreakBefore w:val="0"/>
        <w:numPr>
          <w:ilvl w:val="0"/>
          <w:numId w:val="0"/>
        </w:numPr>
        <w:kinsoku/>
        <w:wordWrap/>
        <w:overflowPunct/>
        <w:topLinePunct w:val="0"/>
        <w:bidi w:val="0"/>
        <w:spacing w:line="360" w:lineRule="exact"/>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2.3</w:t>
      </w:r>
      <w:r>
        <w:rPr>
          <w:rFonts w:hint="eastAsia" w:ascii="宋体" w:hAnsi="宋体" w:eastAsia="宋体" w:cs="宋体"/>
          <w:color w:val="auto"/>
          <w:sz w:val="21"/>
          <w:szCs w:val="21"/>
          <w:highlight w:val="none"/>
          <w:lang w:val="en-US" w:eastAsia="zh-CN"/>
        </w:rPr>
        <w:t>如在验收中发现服务达不到验收标准或合同及合同相关技术文件规定，供应商应及时安排更换为有相关技术培训合格证书的专业工程师继续服务，以保证服务最终达到合同或合同相关技术文件中规定的要求。更换人员的相关费用全部由供应商承担并承担由此造成的一切损失。如更换后的服务人员仍达不到验收标准或合同及合同相关技术文件规定的，采购人可终止全部或部分合同，采购人可以依其认为适当的条件和方法购买</w:t>
      </w:r>
      <w:r>
        <w:rPr>
          <w:rFonts w:hint="eastAsia" w:ascii="宋体" w:hAnsi="宋体" w:cs="宋体"/>
          <w:color w:val="auto"/>
          <w:sz w:val="21"/>
          <w:szCs w:val="21"/>
          <w:highlight w:val="none"/>
          <w:lang w:val="en-US" w:eastAsia="zh-CN"/>
        </w:rPr>
        <w:t>类似服务与</w:t>
      </w:r>
      <w:r>
        <w:rPr>
          <w:rFonts w:hint="eastAsia" w:ascii="宋体" w:hAnsi="宋体" w:eastAsia="宋体" w:cs="宋体"/>
          <w:color w:val="auto"/>
          <w:sz w:val="21"/>
          <w:szCs w:val="21"/>
          <w:highlight w:val="none"/>
          <w:lang w:val="en-US" w:eastAsia="zh-CN"/>
        </w:rPr>
        <w:t>未完成的服务，供应商应承担采购人因购买类似服务而产生的额外支出。但是，供应商应继续执行合同中未终止的部分。采购人保留法律追究的权利。</w:t>
      </w:r>
    </w:p>
    <w:p w14:paraId="12084EF6">
      <w:pPr>
        <w:keepNext w:val="0"/>
        <w:keepLines w:val="0"/>
        <w:pageBreakBefore w:val="0"/>
        <w:numPr>
          <w:ilvl w:val="0"/>
          <w:numId w:val="0"/>
        </w:numPr>
        <w:kinsoku/>
        <w:wordWrap/>
        <w:overflowPunct/>
        <w:topLinePunct w:val="0"/>
        <w:bidi w:val="0"/>
        <w:spacing w:line="360" w:lineRule="exact"/>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3.保密要求：双方合作中涉及的所有业务、技术资料，均有责任对第三方保密。如其中一方擅自将涉及另一方的商业和技术秘密的资料透漏给第三方，则另一方将保留追究对方法律责任的权利。</w:t>
      </w:r>
    </w:p>
    <w:p w14:paraId="50DFD864">
      <w:pPr>
        <w:keepNext w:val="0"/>
        <w:keepLines w:val="0"/>
        <w:pageBreakBefore w:val="0"/>
        <w:numPr>
          <w:ilvl w:val="0"/>
          <w:numId w:val="0"/>
        </w:numPr>
        <w:kinsoku/>
        <w:wordWrap/>
        <w:overflowPunct/>
        <w:topLinePunct w:val="0"/>
        <w:bidi w:val="0"/>
        <w:spacing w:line="360" w:lineRule="exact"/>
        <w:ind w:firstLine="420" w:firstLineChars="20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4.技术服务(含培训)要求：供应商负责对所提供的工作人员定期进行业务培训，培训内容包括</w:t>
      </w:r>
      <w:bookmarkStart w:id="1" w:name="_GoBack"/>
      <w:bookmarkEnd w:id="1"/>
      <w:r>
        <w:rPr>
          <w:rFonts w:hint="eastAsia" w:ascii="宋体" w:hAnsi="宋体" w:eastAsia="宋体" w:cs="宋体"/>
          <w:color w:val="auto"/>
          <w:sz w:val="21"/>
          <w:szCs w:val="21"/>
          <w:highlight w:val="none"/>
          <w:lang w:val="en-US" w:eastAsia="zh-CN"/>
        </w:rPr>
        <w:t>服务规范、服务技能、专业知识等，培训后的工作人员达到本项目所需的</w:t>
      </w:r>
      <w:r>
        <w:rPr>
          <w:rFonts w:hint="eastAsia" w:ascii="宋体" w:hAnsi="宋体" w:cs="宋体"/>
          <w:color w:val="auto"/>
          <w:sz w:val="21"/>
          <w:szCs w:val="21"/>
          <w:highlight w:val="none"/>
          <w:lang w:val="en-US" w:eastAsia="zh-CN"/>
        </w:rPr>
        <w:t>技术要求</w:t>
      </w:r>
      <w:r>
        <w:rPr>
          <w:rFonts w:hint="eastAsia" w:ascii="宋体" w:hAnsi="宋体" w:eastAsia="宋体" w:cs="宋体"/>
          <w:color w:val="auto"/>
          <w:sz w:val="21"/>
          <w:szCs w:val="21"/>
          <w:highlight w:val="none"/>
          <w:lang w:val="en-US" w:eastAsia="zh-CN"/>
        </w:rPr>
        <w:t>、服务规范等。</w:t>
      </w:r>
    </w:p>
    <w:p w14:paraId="64FD90F3">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合格供应商资格要求</w:t>
      </w:r>
    </w:p>
    <w:p w14:paraId="459C03F3">
      <w:pPr>
        <w:keepNext w:val="0"/>
        <w:keepLines w:val="0"/>
        <w:pageBreakBefore w:val="0"/>
        <w:numPr>
          <w:ilvl w:val="0"/>
          <w:numId w:val="0"/>
        </w:numPr>
        <w:kinsoku/>
        <w:wordWrap/>
        <w:overflowPunct/>
        <w:topLinePunct w:val="0"/>
        <w:bidi w:val="0"/>
        <w:spacing w:line="360" w:lineRule="exact"/>
        <w:ind w:left="0" w:leftChars="0" w:firstLine="420" w:firstLineChars="200"/>
        <w:jc w:val="both"/>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（一）供应商应具备《中华人民共和国政府采购法》第二十二条规定的条件（提供资格声明函）。</w:t>
      </w:r>
    </w:p>
    <w:p w14:paraId="3621F1DE">
      <w:pPr>
        <w:keepNext w:val="0"/>
        <w:keepLines w:val="0"/>
        <w:pageBreakBefore w:val="0"/>
        <w:numPr>
          <w:ilvl w:val="0"/>
          <w:numId w:val="0"/>
        </w:numPr>
        <w:kinsoku/>
        <w:wordWrap/>
        <w:overflowPunct/>
        <w:topLinePunct w:val="0"/>
        <w:bidi w:val="0"/>
        <w:spacing w:line="360" w:lineRule="exact"/>
        <w:ind w:left="0" w:leftChars="0" w:firstLine="420" w:firstLineChars="200"/>
        <w:jc w:val="both"/>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（二）供应商须具备相关经营范围且有效的营业执照（提供证明材料复印件加盖供应商公章）。</w:t>
      </w:r>
    </w:p>
    <w:p w14:paraId="575A9A99">
      <w:pPr>
        <w:keepNext w:val="0"/>
        <w:keepLines w:val="0"/>
        <w:pageBreakBefore w:val="0"/>
        <w:numPr>
          <w:ilvl w:val="0"/>
          <w:numId w:val="0"/>
        </w:numPr>
        <w:kinsoku/>
        <w:wordWrap/>
        <w:overflowPunct/>
        <w:topLinePunct w:val="0"/>
        <w:bidi w:val="0"/>
        <w:spacing w:line="360" w:lineRule="exact"/>
        <w:ind w:left="0" w:leftChars="0" w:firstLine="420" w:firstLineChars="200"/>
        <w:jc w:val="both"/>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三）供应商未被列入“信用中国”网站(www.creditchina.gov.cn)“记录失信被执行人或重大税收违法案件当事人名单或政府采购严重违法失信行为”记录名单。同时，不处于中国政府采购网(www.ccgp.gov.cn)“政府采购严重违法失信行为信息记录”中的禁止参加政府采购活动期间（提供资格声明函）。</w:t>
      </w:r>
    </w:p>
    <w:p w14:paraId="6687C81C">
      <w:pPr>
        <w:keepNext w:val="0"/>
        <w:keepLines w:val="0"/>
        <w:pageBreakBefore w:val="0"/>
        <w:numPr>
          <w:ilvl w:val="0"/>
          <w:numId w:val="0"/>
        </w:numPr>
        <w:kinsoku/>
        <w:wordWrap/>
        <w:overflowPunct/>
        <w:topLinePunct w:val="0"/>
        <w:bidi w:val="0"/>
        <w:spacing w:line="360" w:lineRule="exact"/>
        <w:ind w:left="0" w:leftChars="0" w:firstLine="420" w:firstLineChars="200"/>
        <w:jc w:val="both"/>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（四）本项目不接受联合体投标，且不允许转包或分包（提供资格声明函）。</w:t>
      </w:r>
    </w:p>
    <w:p w14:paraId="55CA4C15">
      <w:pPr>
        <w:keepNext w:val="0"/>
        <w:keepLines w:val="0"/>
        <w:pageBreakBefore w:val="0"/>
        <w:numPr>
          <w:ilvl w:val="0"/>
          <w:numId w:val="0"/>
        </w:numPr>
        <w:kinsoku/>
        <w:wordWrap/>
        <w:overflowPunct/>
        <w:topLinePunct w:val="0"/>
        <w:bidi w:val="0"/>
        <w:spacing w:line="360" w:lineRule="exact"/>
        <w:ind w:left="0" w:leftChars="0" w:firstLine="420" w:firstLineChars="200"/>
        <w:jc w:val="both"/>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（五）单位负责人为同一人或者存在直接控股、管理关系的不同供应商，不得参加同一合同项下的政府采购活动（提供资格声明函）。</w:t>
      </w:r>
    </w:p>
    <w:p w14:paraId="4DD7A746">
      <w:pPr>
        <w:keepNext w:val="0"/>
        <w:keepLines w:val="0"/>
        <w:pageBreakBefore w:val="0"/>
        <w:numPr>
          <w:ilvl w:val="0"/>
          <w:numId w:val="0"/>
        </w:numPr>
        <w:kinsoku/>
        <w:wordWrap/>
        <w:overflowPunct/>
        <w:topLinePunct w:val="0"/>
        <w:bidi w:val="0"/>
        <w:spacing w:line="360" w:lineRule="exact"/>
        <w:ind w:left="0" w:leftChars="0" w:firstLine="420" w:firstLineChars="200"/>
        <w:jc w:val="both"/>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（六）为本项目提供整体设计、规范编制或者项目管理、监理、检测等服务的供应商，不得再参与本项目投标（提供资格声明函）。</w:t>
      </w:r>
    </w:p>
    <w:p w14:paraId="4B09CC92">
      <w:pPr>
        <w:keepNext w:val="0"/>
        <w:keepLines w:val="0"/>
        <w:pageBreakBefore w:val="0"/>
        <w:widowControl/>
        <w:numPr>
          <w:ilvl w:val="0"/>
          <w:numId w:val="0"/>
        </w:numPr>
        <w:shd w:val="clear" w:color="auto" w:fill="auto"/>
        <w:kinsoku/>
        <w:wordWrap/>
        <w:overflowPunct/>
        <w:topLinePunct w:val="0"/>
        <w:bidi w:val="0"/>
        <w:adjustRightInd/>
        <w:snapToGrid/>
        <w:spacing w:line="360" w:lineRule="exact"/>
        <w:ind w:firstLine="420" w:firstLineChars="200"/>
        <w:jc w:val="both"/>
        <w:rPr>
          <w:rFonts w:hint="eastAsia"/>
          <w:lang w:val="en-US" w:eastAsia="zh-CN"/>
        </w:rPr>
      </w:pPr>
      <w:r>
        <w:rPr>
          <w:rFonts w:hint="eastAsia" w:ascii="宋体" w:hAnsi="宋体" w:cs="宋体"/>
          <w:i w:val="0"/>
          <w:iCs w:val="0"/>
          <w:color w:val="auto"/>
          <w:kern w:val="0"/>
          <w:sz w:val="21"/>
          <w:szCs w:val="21"/>
          <w:highlight w:val="none"/>
          <w:u w:val="none"/>
          <w:lang w:val="en-US" w:eastAsia="zh-CN" w:bidi="ar"/>
        </w:rPr>
        <w:t>（七）</w:t>
      </w:r>
      <w:r>
        <w:rPr>
          <w:rFonts w:hint="eastAsia" w:ascii="宋体" w:hAnsi="宋体" w:eastAsia="宋体" w:cs="宋体"/>
          <w:color w:val="000000"/>
          <w:kern w:val="0"/>
          <w:sz w:val="21"/>
          <w:szCs w:val="20"/>
          <w:highlight w:val="none"/>
          <w:lang w:bidi="ar"/>
        </w:rPr>
        <w:t>围标、串标行为属于违法行为</w:t>
      </w:r>
      <w:r>
        <w:rPr>
          <w:rFonts w:hint="eastAsia" w:ascii="宋体" w:hAnsi="宋体" w:eastAsia="宋体" w:cs="宋体"/>
          <w:color w:val="000000"/>
          <w:kern w:val="0"/>
          <w:sz w:val="21"/>
          <w:szCs w:val="20"/>
          <w:highlight w:val="none"/>
          <w:lang w:eastAsia="zh-CN" w:bidi="ar"/>
        </w:rPr>
        <w:t>，</w:t>
      </w:r>
      <w:r>
        <w:rPr>
          <w:rFonts w:hint="eastAsia" w:ascii="宋体" w:hAnsi="宋体" w:eastAsia="宋体" w:cs="宋体"/>
          <w:color w:val="000000"/>
          <w:highlight w:val="none"/>
        </w:rPr>
        <w:t>供应商须无围标、串标行为（提供承诺书</w:t>
      </w:r>
      <w:r>
        <w:rPr>
          <w:rFonts w:hint="eastAsia" w:ascii="宋体" w:hAnsi="宋体" w:eastAsia="宋体" w:cs="宋体"/>
          <w:color w:val="000000"/>
          <w:highlight w:val="none"/>
          <w:lang w:eastAsia="zh-CN"/>
        </w:rPr>
        <w:t>）。</w:t>
      </w:r>
    </w:p>
    <w:p w14:paraId="6EB06763">
      <w:pPr>
        <w:keepNext w:val="0"/>
        <w:keepLines w:val="0"/>
        <w:pageBreakBefore w:val="0"/>
        <w:widowControl w:val="0"/>
        <w:kinsoku/>
        <w:wordWrap/>
        <w:overflowPunct/>
        <w:topLinePunct w:val="0"/>
        <w:bidi w:val="0"/>
        <w:adjustRightInd w:val="0"/>
        <w:snapToGrid w:val="0"/>
        <w:spacing w:line="360" w:lineRule="exact"/>
        <w:ind w:left="0" w:leftChars="0" w:firstLine="422" w:firstLineChars="200"/>
        <w:jc w:val="both"/>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六</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eastAsia="zh-CN"/>
        </w:rPr>
        <w:t>响应文件递交</w:t>
      </w:r>
      <w:r>
        <w:rPr>
          <w:rFonts w:hint="eastAsia" w:ascii="宋体" w:hAnsi="宋体" w:eastAsia="宋体" w:cs="宋体"/>
          <w:b/>
          <w:color w:val="auto"/>
          <w:sz w:val="21"/>
          <w:szCs w:val="21"/>
          <w:highlight w:val="none"/>
        </w:rPr>
        <w:t>截止时间及地点</w:t>
      </w:r>
    </w:p>
    <w:p w14:paraId="26944A5A">
      <w:pPr>
        <w:keepNext w:val="0"/>
        <w:keepLines w:val="0"/>
        <w:pageBreakBefore w:val="0"/>
        <w:numPr>
          <w:ilvl w:val="0"/>
          <w:numId w:val="1"/>
        </w:numPr>
        <w:kinsoku/>
        <w:wordWrap/>
        <w:overflowPunct/>
        <w:topLinePunct w:val="0"/>
        <w:bidi w:val="0"/>
        <w:spacing w:line="360" w:lineRule="exact"/>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响应文件递交截止时间：</w:t>
      </w:r>
      <w:r>
        <w:rPr>
          <w:rFonts w:hint="eastAsia" w:ascii="宋体" w:hAnsi="宋体" w:eastAsia="宋体" w:cs="宋体"/>
          <w:b/>
          <w:bCs/>
          <w:color w:val="auto"/>
          <w:sz w:val="21"/>
          <w:szCs w:val="21"/>
          <w:highlight w:val="none"/>
        </w:rPr>
        <w:t>202</w:t>
      </w:r>
      <w:r>
        <w:rPr>
          <w:rFonts w:hint="eastAsia" w:ascii="宋体" w:hAnsi="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年</w:t>
      </w:r>
      <w:r>
        <w:rPr>
          <w:rFonts w:hint="eastAsia" w:ascii="宋体" w:hAnsi="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月</w:t>
      </w:r>
      <w:r>
        <w:rPr>
          <w:rFonts w:hint="eastAsia" w:ascii="宋体" w:hAnsi="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rPr>
        <w:t>日</w:t>
      </w:r>
      <w:r>
        <w:rPr>
          <w:rFonts w:hint="eastAsia" w:ascii="宋体" w:hAnsi="宋体" w:cs="宋体"/>
          <w:b/>
          <w:bCs/>
          <w:color w:val="auto"/>
          <w:sz w:val="21"/>
          <w:szCs w:val="21"/>
          <w:highlight w:val="none"/>
          <w:lang w:val="en-US" w:eastAsia="zh-CN"/>
        </w:rPr>
        <w:t>17</w:t>
      </w: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0</w:t>
      </w:r>
      <w:r>
        <w:rPr>
          <w:rFonts w:hint="eastAsia" w:ascii="宋体" w:hAnsi="宋体" w:eastAsia="宋体" w:cs="宋体"/>
          <w:b/>
          <w:bCs/>
          <w:color w:val="auto"/>
          <w:sz w:val="21"/>
          <w:szCs w:val="21"/>
          <w:highlight w:val="none"/>
        </w:rPr>
        <w:t>0</w:t>
      </w:r>
      <w:r>
        <w:rPr>
          <w:rFonts w:hint="eastAsia" w:ascii="宋体" w:hAnsi="宋体" w:eastAsia="宋体" w:cs="宋体"/>
          <w:color w:val="auto"/>
          <w:sz w:val="21"/>
          <w:szCs w:val="21"/>
          <w:highlight w:val="none"/>
        </w:rPr>
        <w:t>。</w:t>
      </w:r>
    </w:p>
    <w:p w14:paraId="701FDE07">
      <w:pPr>
        <w:keepNext w:val="0"/>
        <w:keepLines w:val="0"/>
        <w:pageBreakBefore w:val="0"/>
        <w:numPr>
          <w:ilvl w:val="0"/>
          <w:numId w:val="1"/>
        </w:numPr>
        <w:kinsoku/>
        <w:wordWrap/>
        <w:overflowPunct/>
        <w:topLinePunct w:val="0"/>
        <w:bidi w:val="0"/>
        <w:spacing w:line="360" w:lineRule="exact"/>
        <w:ind w:left="0" w:leftChars="0" w:firstLine="420" w:firstLineChars="200"/>
        <w:jc w:val="both"/>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color w:val="auto"/>
          <w:sz w:val="21"/>
          <w:szCs w:val="21"/>
          <w:highlight w:val="none"/>
          <w:lang w:val="en-US" w:eastAsia="zh-CN"/>
        </w:rPr>
        <w:t>资料递交或邮寄地点：</w:t>
      </w:r>
      <w:r>
        <w:rPr>
          <w:rFonts w:hint="eastAsia" w:ascii="宋体" w:hAnsi="宋体" w:eastAsia="宋体" w:cs="宋体"/>
          <w:color w:val="auto"/>
          <w:sz w:val="21"/>
          <w:szCs w:val="21"/>
          <w:highlight w:val="none"/>
          <w:lang w:val="en-US" w:eastAsia="zh-CN"/>
        </w:rPr>
        <w:t>中山市板芙镇芙中路1号板芙医院综合楼</w:t>
      </w:r>
      <w:r>
        <w:rPr>
          <w:rFonts w:hint="eastAsia" w:ascii="宋体" w:hAnsi="宋体" w:cs="宋体"/>
          <w:color w:val="auto"/>
          <w:sz w:val="21"/>
          <w:szCs w:val="21"/>
          <w:highlight w:val="none"/>
          <w:lang w:val="en-US" w:eastAsia="zh-CN"/>
        </w:rPr>
        <w:t>（放射科旁电梯上）八</w:t>
      </w:r>
      <w:r>
        <w:rPr>
          <w:rFonts w:hint="eastAsia" w:ascii="宋体" w:hAnsi="宋体" w:eastAsia="宋体" w:cs="宋体"/>
          <w:color w:val="auto"/>
          <w:sz w:val="21"/>
          <w:szCs w:val="21"/>
          <w:highlight w:val="none"/>
          <w:lang w:val="en-US" w:eastAsia="zh-CN"/>
        </w:rPr>
        <w:t>楼</w:t>
      </w:r>
      <w:r>
        <w:rPr>
          <w:rFonts w:hint="eastAsia" w:ascii="宋体" w:hAnsi="宋体" w:cs="宋体"/>
          <w:color w:val="auto"/>
          <w:sz w:val="21"/>
          <w:szCs w:val="21"/>
          <w:highlight w:val="none"/>
          <w:lang w:val="en-US" w:eastAsia="zh-CN"/>
        </w:rPr>
        <w:t>行政办公区门口</w:t>
      </w:r>
      <w:r>
        <w:rPr>
          <w:rFonts w:hint="eastAsia" w:ascii="宋体" w:hAnsi="宋体" w:cs="宋体"/>
          <w:b w:val="0"/>
          <w:bCs w:val="0"/>
          <w:color w:val="auto"/>
          <w:sz w:val="21"/>
          <w:szCs w:val="21"/>
          <w:highlight w:val="none"/>
          <w:lang w:val="en-US" w:eastAsia="zh-CN"/>
        </w:rPr>
        <w:t>处</w:t>
      </w:r>
      <w:r>
        <w:rPr>
          <w:rFonts w:hint="eastAsia" w:ascii="宋体" w:hAnsi="宋体" w:cs="宋体"/>
          <w:b/>
          <w:bCs/>
          <w:color w:val="auto"/>
          <w:sz w:val="21"/>
          <w:szCs w:val="21"/>
          <w:highlight w:val="none"/>
          <w:lang w:val="en-US" w:eastAsia="zh-CN"/>
        </w:rPr>
        <w:t>“招采资料专用投递箱”</w:t>
      </w:r>
      <w:r>
        <w:rPr>
          <w:rFonts w:hint="eastAsia" w:ascii="宋体" w:hAnsi="宋体" w:cs="宋体"/>
          <w:color w:val="auto"/>
          <w:sz w:val="21"/>
          <w:szCs w:val="21"/>
          <w:highlight w:val="none"/>
          <w:lang w:val="en-US" w:eastAsia="zh-CN"/>
        </w:rPr>
        <w:t>，联系人：招采办杨小姐，联系电话：0760-28218662</w:t>
      </w:r>
      <w:r>
        <w:rPr>
          <w:rFonts w:hint="eastAsia" w:ascii="宋体" w:hAnsi="宋体" w:eastAsia="宋体" w:cs="宋体"/>
          <w:color w:val="auto"/>
          <w:sz w:val="21"/>
          <w:szCs w:val="21"/>
          <w:highlight w:val="none"/>
        </w:rPr>
        <w:t>。</w:t>
      </w:r>
      <w:r>
        <w:rPr>
          <w:rFonts w:hint="eastAsia" w:ascii="宋体" w:hAnsi="宋体" w:eastAsia="宋体" w:cs="宋体"/>
          <w:i w:val="0"/>
          <w:iCs w:val="0"/>
          <w:color w:val="auto"/>
          <w:kern w:val="0"/>
          <w:sz w:val="21"/>
          <w:szCs w:val="21"/>
          <w:highlight w:val="none"/>
          <w:u w:val="none"/>
          <w:lang w:val="en-US" w:eastAsia="zh-CN" w:bidi="ar"/>
        </w:rPr>
        <w:t xml:space="preserve"> </w:t>
      </w:r>
    </w:p>
    <w:p w14:paraId="707DA607">
      <w:pPr>
        <w:keepNext w:val="0"/>
        <w:keepLines w:val="0"/>
        <w:pageBreakBefore w:val="0"/>
        <w:numPr>
          <w:ilvl w:val="0"/>
          <w:numId w:val="0"/>
        </w:numPr>
        <w:kinsoku/>
        <w:wordWrap/>
        <w:overflowPunct/>
        <w:topLinePunct w:val="0"/>
        <w:bidi w:val="0"/>
        <w:spacing w:line="360" w:lineRule="exact"/>
        <w:ind w:leftChars="20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七、公告期限</w:t>
      </w:r>
    </w:p>
    <w:p w14:paraId="587CB7F4">
      <w:pPr>
        <w:keepNext w:val="0"/>
        <w:keepLines w:val="0"/>
        <w:pageBreakBefore w:val="0"/>
        <w:numPr>
          <w:ilvl w:val="0"/>
          <w:numId w:val="0"/>
        </w:numPr>
        <w:kinsoku/>
        <w:wordWrap/>
        <w:overflowPunct/>
        <w:topLinePunct w:val="0"/>
        <w:bidi w:val="0"/>
        <w:spacing w:line="360" w:lineRule="exact"/>
        <w:jc w:val="both"/>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自本公告发布之日起3个工作日。</w:t>
      </w:r>
    </w:p>
    <w:p w14:paraId="2C77D747">
      <w:pPr>
        <w:keepNext w:val="0"/>
        <w:keepLines w:val="0"/>
        <w:pageBreakBefore w:val="0"/>
        <w:widowControl w:val="0"/>
        <w:numPr>
          <w:ilvl w:val="0"/>
          <w:numId w:val="0"/>
        </w:numPr>
        <w:tabs>
          <w:tab w:val="left" w:pos="420"/>
        </w:tabs>
        <w:kinsoku/>
        <w:overflowPunct/>
        <w:topLinePunct w:val="0"/>
        <w:bidi w:val="0"/>
        <w:spacing w:line="360" w:lineRule="exact"/>
        <w:ind w:leftChars="200"/>
        <w:jc w:val="both"/>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响应文件</w:t>
      </w:r>
      <w:r>
        <w:rPr>
          <w:rFonts w:hint="eastAsia" w:ascii="宋体" w:hAnsi="宋体" w:cs="宋体"/>
          <w:b/>
          <w:bCs/>
          <w:color w:val="auto"/>
          <w:sz w:val="21"/>
          <w:szCs w:val="21"/>
          <w:highlight w:val="none"/>
          <w:lang w:val="en-US" w:eastAsia="zh-CN"/>
        </w:rPr>
        <w:t>内容要求</w:t>
      </w:r>
    </w:p>
    <w:p w14:paraId="32CB5A8C">
      <w:pPr>
        <w:keepNext w:val="0"/>
        <w:keepLines w:val="0"/>
        <w:pageBreakBefore w:val="0"/>
        <w:widowControl w:val="0"/>
        <w:tabs>
          <w:tab w:val="left" w:pos="420"/>
        </w:tabs>
        <w:kinsoku/>
        <w:overflowPunct/>
        <w:topLinePunct w:val="0"/>
        <w:bidi w:val="0"/>
        <w:spacing w:line="360" w:lineRule="exact"/>
        <w:ind w:left="0" w:leftChars="0" w:firstLine="420" w:firstLineChars="200"/>
        <w:jc w:val="both"/>
        <w:rPr>
          <w:rFonts w:hint="eastAsia" w:ascii="宋体" w:hAnsi="宋体" w:eastAsia="宋体" w:cs="宋体"/>
          <w:b/>
          <w:bCs/>
          <w:color w:val="auto"/>
          <w:sz w:val="21"/>
          <w:szCs w:val="21"/>
          <w:highlight w:val="none"/>
          <w:lang w:eastAsia="zh-CN"/>
        </w:rPr>
      </w:pP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一</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eastAsia="zh-CN"/>
        </w:rPr>
        <w:t>响应文件内容</w:t>
      </w:r>
      <w:r>
        <w:rPr>
          <w:rFonts w:hint="eastAsia" w:ascii="宋体" w:hAnsi="宋体" w:cs="宋体"/>
          <w:b w:val="0"/>
          <w:bCs w:val="0"/>
          <w:color w:val="auto"/>
          <w:sz w:val="21"/>
          <w:szCs w:val="21"/>
          <w:highlight w:val="none"/>
          <w:lang w:val="en-US" w:eastAsia="zh-CN"/>
        </w:rPr>
        <w:t>格式</w:t>
      </w:r>
      <w:r>
        <w:rPr>
          <w:rFonts w:hint="eastAsia" w:ascii="宋体" w:hAnsi="宋体" w:eastAsia="宋体" w:cs="宋体"/>
          <w:b w:val="0"/>
          <w:bCs w:val="0"/>
          <w:color w:val="auto"/>
          <w:sz w:val="21"/>
          <w:szCs w:val="21"/>
          <w:highlight w:val="none"/>
          <w:lang w:eastAsia="zh-CN"/>
        </w:rPr>
        <w:t>要求</w:t>
      </w:r>
    </w:p>
    <w:p w14:paraId="07878790">
      <w:pPr>
        <w:keepNext w:val="0"/>
        <w:keepLines w:val="0"/>
        <w:pageBreakBefore w:val="0"/>
        <w:numPr>
          <w:ilvl w:val="0"/>
          <w:numId w:val="0"/>
        </w:numPr>
        <w:kinsoku/>
        <w:wordWrap/>
        <w:overflowPunct/>
        <w:topLinePunct w:val="0"/>
        <w:bidi w:val="0"/>
        <w:spacing w:line="360" w:lineRule="exact"/>
        <w:ind w:firstLine="422" w:firstLineChars="200"/>
        <w:jc w:val="both"/>
        <w:rPr>
          <w:rFonts w:hint="default"/>
          <w:lang w:val="en-US"/>
        </w:rPr>
      </w:pPr>
      <w:r>
        <w:rPr>
          <w:rFonts w:hint="eastAsia" w:ascii="宋体" w:hAnsi="宋体" w:cs="宋体"/>
          <w:b/>
          <w:bCs/>
          <w:color w:val="auto"/>
          <w:sz w:val="21"/>
          <w:szCs w:val="21"/>
          <w:highlight w:val="none"/>
          <w:lang w:val="en-US" w:eastAsia="zh-CN"/>
        </w:rPr>
        <w:t>须按“附件2参选文件格式”要求提供。</w:t>
      </w:r>
    </w:p>
    <w:p w14:paraId="75A80B3C">
      <w:pPr>
        <w:keepNext w:val="0"/>
        <w:keepLines w:val="0"/>
        <w:pageBreakBefore w:val="0"/>
        <w:numPr>
          <w:ilvl w:val="0"/>
          <w:numId w:val="0"/>
        </w:numPr>
        <w:kinsoku/>
        <w:wordWrap/>
        <w:overflowPunct/>
        <w:topLinePunct w:val="0"/>
        <w:bidi w:val="0"/>
        <w:spacing w:line="360" w:lineRule="exact"/>
        <w:ind w:leftChars="200"/>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二）</w:t>
      </w:r>
      <w:r>
        <w:rPr>
          <w:rFonts w:hint="eastAsia" w:ascii="宋体" w:hAnsi="宋体" w:eastAsia="宋体" w:cs="宋体"/>
          <w:color w:val="auto"/>
          <w:sz w:val="21"/>
          <w:szCs w:val="21"/>
          <w:highlight w:val="none"/>
        </w:rPr>
        <w:t>供应商提交的全部材料都必须</w:t>
      </w:r>
      <w:r>
        <w:rPr>
          <w:rFonts w:hint="eastAsia" w:ascii="宋体" w:hAnsi="宋体" w:eastAsia="宋体" w:cs="宋体"/>
          <w:b/>
          <w:bCs/>
          <w:color w:val="auto"/>
          <w:sz w:val="21"/>
          <w:szCs w:val="21"/>
          <w:highlight w:val="none"/>
        </w:rPr>
        <w:t>密封</w:t>
      </w:r>
      <w:r>
        <w:rPr>
          <w:rFonts w:hint="eastAsia" w:ascii="宋体" w:hAnsi="宋体" w:eastAsia="宋体" w:cs="宋体"/>
          <w:color w:val="auto"/>
          <w:sz w:val="21"/>
          <w:szCs w:val="21"/>
          <w:highlight w:val="none"/>
        </w:rPr>
        <w:t>，具体包括：</w:t>
      </w:r>
    </w:p>
    <w:p w14:paraId="15F66BCF">
      <w:pPr>
        <w:keepNext w:val="0"/>
        <w:keepLines w:val="0"/>
        <w:pageBreakBefore w:val="0"/>
        <w:widowControl w:val="0"/>
        <w:kinsoku/>
        <w:overflowPunct/>
        <w:topLinePunct w:val="0"/>
        <w:bidi w:val="0"/>
        <w:spacing w:line="360" w:lineRule="exact"/>
        <w:ind w:left="0" w:leftChars="0" w:firstLine="420" w:firstLineChars="20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1.纸质</w:t>
      </w:r>
      <w:r>
        <w:rPr>
          <w:rFonts w:hint="eastAsia" w:ascii="宋体" w:hAnsi="宋体" w:eastAsia="宋体" w:cs="宋体"/>
          <w:color w:val="auto"/>
          <w:sz w:val="21"/>
          <w:szCs w:val="21"/>
          <w:highlight w:val="none"/>
        </w:rPr>
        <w:t>响应文件一式</w:t>
      </w:r>
      <w:r>
        <w:rPr>
          <w:rFonts w:hint="eastAsia" w:ascii="宋体" w:hAnsi="宋体" w:cs="宋体"/>
          <w:color w:val="auto"/>
          <w:sz w:val="21"/>
          <w:szCs w:val="21"/>
          <w:highlight w:val="none"/>
          <w:lang w:val="en-US" w:eastAsia="zh-CN"/>
        </w:rPr>
        <w:t>三</w:t>
      </w:r>
      <w:r>
        <w:rPr>
          <w:rFonts w:hint="eastAsia" w:ascii="宋体" w:hAnsi="宋体" w:eastAsia="宋体" w:cs="宋体"/>
          <w:color w:val="auto"/>
          <w:sz w:val="21"/>
          <w:szCs w:val="21"/>
          <w:highlight w:val="none"/>
        </w:rPr>
        <w:t>份</w:t>
      </w:r>
      <w:r>
        <w:rPr>
          <w:rFonts w:hint="eastAsia" w:ascii="宋体" w:hAnsi="宋体" w:eastAsia="宋体" w:cs="宋体"/>
          <w:b/>
          <w:bCs/>
          <w:color w:val="auto"/>
          <w:sz w:val="21"/>
          <w:szCs w:val="21"/>
          <w:highlight w:val="none"/>
        </w:rPr>
        <w:t>（正本1份</w:t>
      </w:r>
      <w:r>
        <w:rPr>
          <w:rFonts w:hint="eastAsia" w:ascii="宋体" w:hAnsi="宋体" w:cs="宋体"/>
          <w:b/>
          <w:bCs/>
          <w:color w:val="auto"/>
          <w:sz w:val="21"/>
          <w:szCs w:val="21"/>
          <w:highlight w:val="none"/>
          <w:lang w:val="en-US" w:eastAsia="zh-CN"/>
        </w:rPr>
        <w:t>和</w:t>
      </w:r>
      <w:r>
        <w:rPr>
          <w:rFonts w:hint="eastAsia" w:ascii="宋体" w:hAnsi="宋体" w:eastAsia="宋体" w:cs="宋体"/>
          <w:b/>
          <w:bCs/>
          <w:color w:val="auto"/>
          <w:sz w:val="21"/>
          <w:szCs w:val="21"/>
          <w:highlight w:val="none"/>
        </w:rPr>
        <w:t>副本</w:t>
      </w: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份</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正本及所有副本的封面均须</w:t>
      </w:r>
      <w:r>
        <w:rPr>
          <w:rFonts w:hint="eastAsia" w:ascii="宋体" w:hAnsi="宋体" w:eastAsia="宋体" w:cs="宋体"/>
          <w:b/>
          <w:bCs/>
          <w:color w:val="auto"/>
          <w:sz w:val="21"/>
          <w:szCs w:val="21"/>
          <w:highlight w:val="none"/>
        </w:rPr>
        <w:t>由供应商加盖供应商公章</w:t>
      </w:r>
      <w:r>
        <w:rPr>
          <w:rFonts w:hint="eastAsia" w:ascii="宋体" w:hAnsi="宋体" w:cs="宋体"/>
          <w:b/>
          <w:bCs/>
          <w:color w:val="auto"/>
          <w:sz w:val="21"/>
          <w:szCs w:val="21"/>
          <w:highlight w:val="none"/>
          <w:lang w:val="en-US" w:eastAsia="zh-CN"/>
        </w:rPr>
        <w:t>和加盖骑缝章</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rPr>
        <w:t>，在每一份响应文件上要明确注明“正本”或“副本”字样，一旦正本和副本内容有差异，以正本为准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每份响应文件应使用A4规格纸张，正副本均须用不褪色墨水书写或打印</w:t>
      </w:r>
      <w:r>
        <w:rPr>
          <w:rFonts w:hint="eastAsia" w:ascii="宋体" w:hAnsi="宋体" w:cs="宋体"/>
          <w:color w:val="auto"/>
          <w:sz w:val="21"/>
          <w:szCs w:val="21"/>
          <w:highlight w:val="none"/>
          <w:lang w:eastAsia="zh-CN"/>
        </w:rPr>
        <w:t>，</w:t>
      </w:r>
      <w:r>
        <w:rPr>
          <w:rFonts w:hint="eastAsia" w:ascii="宋体" w:hAnsi="宋体" w:eastAsia="宋体" w:cs="宋体"/>
          <w:b/>
          <w:bCs/>
          <w:color w:val="auto"/>
          <w:sz w:val="21"/>
          <w:szCs w:val="21"/>
          <w:highlight w:val="none"/>
        </w:rPr>
        <w:t>分别装订成册</w:t>
      </w:r>
      <w:r>
        <w:rPr>
          <w:rFonts w:hint="eastAsia" w:ascii="宋体" w:hAnsi="宋体" w:eastAsia="宋体" w:cs="宋体"/>
          <w:color w:val="auto"/>
          <w:sz w:val="21"/>
          <w:szCs w:val="21"/>
          <w:highlight w:val="none"/>
          <w:lang w:eastAsia="zh-CN"/>
        </w:rPr>
        <w:t>。</w:t>
      </w:r>
    </w:p>
    <w:p w14:paraId="35FB9A59">
      <w:pPr>
        <w:keepNext w:val="0"/>
        <w:keepLines w:val="0"/>
        <w:pageBreakBefore w:val="0"/>
        <w:numPr>
          <w:ilvl w:val="0"/>
          <w:numId w:val="0"/>
        </w:numPr>
        <w:kinsoku/>
        <w:wordWrap/>
        <w:overflowPunct/>
        <w:topLinePunct w:val="0"/>
        <w:bidi w:val="0"/>
        <w:spacing w:line="360" w:lineRule="exact"/>
        <w:ind w:firstLine="420" w:firstLineChars="200"/>
        <w:jc w:val="both"/>
        <w:rPr>
          <w:rFonts w:hint="default" w:eastAsia="宋体"/>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b w:val="0"/>
          <w:bCs w:val="0"/>
          <w:color w:val="auto"/>
          <w:sz w:val="21"/>
          <w:szCs w:val="21"/>
          <w:highlight w:val="none"/>
        </w:rPr>
        <w:t>正本</w:t>
      </w:r>
      <w:r>
        <w:rPr>
          <w:rFonts w:hint="eastAsia" w:ascii="宋体" w:hAnsi="宋体" w:cs="宋体"/>
          <w:b w:val="0"/>
          <w:bCs w:val="0"/>
          <w:color w:val="auto"/>
          <w:sz w:val="21"/>
          <w:szCs w:val="21"/>
          <w:highlight w:val="none"/>
          <w:lang w:val="en-US" w:eastAsia="zh-CN"/>
        </w:rPr>
        <w:t>和</w:t>
      </w:r>
      <w:r>
        <w:rPr>
          <w:rFonts w:hint="eastAsia" w:ascii="宋体" w:hAnsi="宋体" w:eastAsia="宋体" w:cs="宋体"/>
          <w:b w:val="0"/>
          <w:bCs w:val="0"/>
          <w:color w:val="auto"/>
          <w:sz w:val="21"/>
          <w:szCs w:val="21"/>
          <w:highlight w:val="none"/>
        </w:rPr>
        <w:t>副本一起</w:t>
      </w:r>
      <w:r>
        <w:rPr>
          <w:rFonts w:hint="eastAsia" w:ascii="宋体" w:hAnsi="宋体" w:cs="宋体"/>
          <w:b/>
          <w:bCs/>
          <w:color w:val="auto"/>
          <w:sz w:val="21"/>
          <w:szCs w:val="21"/>
          <w:highlight w:val="none"/>
          <w:lang w:val="en-US" w:eastAsia="zh-CN"/>
        </w:rPr>
        <w:t>密封</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封装的外包装须注明</w:t>
      </w:r>
      <w:r>
        <w:rPr>
          <w:rFonts w:hint="eastAsia" w:ascii="宋体" w:hAnsi="宋体" w:cs="宋体"/>
          <w:b/>
          <w:bCs/>
          <w:color w:val="auto"/>
          <w:sz w:val="21"/>
          <w:szCs w:val="21"/>
          <w:highlight w:val="none"/>
          <w:lang w:val="en-US" w:eastAsia="zh-CN"/>
        </w:rPr>
        <w:t>参选的采购项目名称、参选供应商、联系电话并加盖供应商公章</w:t>
      </w:r>
      <w:r>
        <w:rPr>
          <w:rFonts w:hint="eastAsia" w:ascii="宋体" w:hAnsi="宋体" w:cs="宋体"/>
          <w:b w:val="0"/>
          <w:bCs w:val="0"/>
          <w:color w:val="auto"/>
          <w:sz w:val="21"/>
          <w:szCs w:val="21"/>
          <w:highlight w:val="none"/>
          <w:lang w:val="en-US" w:eastAsia="zh-CN"/>
        </w:rPr>
        <w:t>。</w:t>
      </w:r>
    </w:p>
    <w:p w14:paraId="22D1EBB4">
      <w:pPr>
        <w:keepNext w:val="0"/>
        <w:keepLines w:val="0"/>
        <w:pageBreakBefore w:val="0"/>
        <w:numPr>
          <w:ilvl w:val="0"/>
          <w:numId w:val="0"/>
        </w:numPr>
        <w:kinsoku/>
        <w:wordWrap/>
        <w:overflowPunct/>
        <w:topLinePunct w:val="0"/>
        <w:bidi w:val="0"/>
        <w:spacing w:line="360" w:lineRule="exact"/>
        <w:ind w:firstLine="420" w:firstLineChars="200"/>
        <w:jc w:val="both"/>
        <w:rPr>
          <w:rFonts w:hint="eastAsia" w:ascii="宋体" w:hAnsi="宋体" w:eastAsia="宋体" w:cs="宋体"/>
          <w:b w:val="0"/>
          <w:bCs w:val="0"/>
          <w:color w:val="auto"/>
          <w:sz w:val="21"/>
          <w:szCs w:val="21"/>
          <w:highlight w:val="none"/>
          <w:u w:val="none"/>
        </w:rPr>
      </w:pPr>
      <w:r>
        <w:rPr>
          <w:rFonts w:hint="eastAsia" w:ascii="宋体" w:hAnsi="宋体" w:cs="宋体"/>
          <w:color w:val="auto"/>
          <w:sz w:val="21"/>
          <w:szCs w:val="21"/>
          <w:highlight w:val="none"/>
          <w:lang w:val="en-US" w:eastAsia="zh-CN"/>
        </w:rPr>
        <w:t>3.</w:t>
      </w:r>
      <w:r>
        <w:rPr>
          <w:rFonts w:hint="eastAsia" w:ascii="宋体" w:hAnsi="宋体" w:eastAsia="宋体" w:cs="宋体"/>
          <w:b w:val="0"/>
          <w:bCs w:val="0"/>
          <w:color w:val="auto"/>
          <w:sz w:val="21"/>
          <w:szCs w:val="21"/>
          <w:highlight w:val="none"/>
          <w:u w:val="none"/>
        </w:rPr>
        <w:t>所有响应文件应在</w:t>
      </w:r>
      <w:r>
        <w:rPr>
          <w:rFonts w:hint="eastAsia" w:ascii="宋体" w:hAnsi="宋体" w:eastAsia="宋体" w:cs="宋体"/>
          <w:b w:val="0"/>
          <w:bCs w:val="0"/>
          <w:color w:val="auto"/>
          <w:sz w:val="21"/>
          <w:szCs w:val="21"/>
          <w:highlight w:val="none"/>
          <w:u w:val="none"/>
          <w:lang w:eastAsia="zh-CN"/>
        </w:rPr>
        <w:t>比选公告</w:t>
      </w:r>
      <w:r>
        <w:rPr>
          <w:rFonts w:hint="eastAsia" w:ascii="宋体" w:hAnsi="宋体" w:eastAsia="宋体" w:cs="宋体"/>
          <w:b w:val="0"/>
          <w:bCs w:val="0"/>
          <w:color w:val="auto"/>
          <w:sz w:val="21"/>
          <w:szCs w:val="21"/>
          <w:highlight w:val="none"/>
          <w:u w:val="none"/>
        </w:rPr>
        <w:t>中规定的截止时间前递交到</w:t>
      </w:r>
      <w:r>
        <w:rPr>
          <w:rFonts w:hint="eastAsia" w:ascii="宋体" w:hAnsi="宋体" w:cs="宋体"/>
          <w:b w:val="0"/>
          <w:bCs w:val="0"/>
          <w:color w:val="auto"/>
          <w:sz w:val="21"/>
          <w:szCs w:val="21"/>
          <w:highlight w:val="none"/>
          <w:u w:val="none"/>
          <w:lang w:val="en-US" w:eastAsia="zh-CN"/>
        </w:rPr>
        <w:t>所要求的地点</w:t>
      </w:r>
      <w:r>
        <w:rPr>
          <w:rFonts w:hint="eastAsia" w:ascii="宋体" w:hAnsi="宋体" w:eastAsia="宋体" w:cs="宋体"/>
          <w:b w:val="0"/>
          <w:bCs w:val="0"/>
          <w:color w:val="auto"/>
          <w:sz w:val="21"/>
          <w:szCs w:val="21"/>
          <w:highlight w:val="none"/>
          <w:u w:val="none"/>
        </w:rPr>
        <w:t>，任何迟于递交截止时间的响应文件将被拒绝，本次</w:t>
      </w:r>
      <w:r>
        <w:rPr>
          <w:rFonts w:hint="eastAsia" w:ascii="宋体" w:hAnsi="宋体" w:eastAsia="宋体" w:cs="宋体"/>
          <w:b w:val="0"/>
          <w:bCs w:val="0"/>
          <w:color w:val="auto"/>
          <w:sz w:val="21"/>
          <w:szCs w:val="21"/>
          <w:highlight w:val="none"/>
          <w:u w:val="none"/>
          <w:lang w:eastAsia="zh-CN"/>
        </w:rPr>
        <w:t>比选</w:t>
      </w:r>
      <w:r>
        <w:rPr>
          <w:rFonts w:hint="eastAsia" w:ascii="宋体" w:hAnsi="宋体" w:eastAsia="宋体" w:cs="宋体"/>
          <w:b w:val="0"/>
          <w:bCs w:val="0"/>
          <w:color w:val="auto"/>
          <w:sz w:val="21"/>
          <w:szCs w:val="21"/>
          <w:highlight w:val="none"/>
          <w:u w:val="none"/>
        </w:rPr>
        <w:t>不接受电报、电话、传真方式报价。</w:t>
      </w:r>
    </w:p>
    <w:p w14:paraId="6967E1FD">
      <w:pPr>
        <w:keepNext w:val="0"/>
        <w:keepLines w:val="0"/>
        <w:pageBreakBefore w:val="0"/>
        <w:numPr>
          <w:ilvl w:val="0"/>
          <w:numId w:val="0"/>
        </w:numPr>
        <w:tabs>
          <w:tab w:val="left" w:pos="424"/>
        </w:tabs>
        <w:kinsoku/>
        <w:overflowPunct/>
        <w:topLinePunct w:val="0"/>
        <w:autoSpaceDE/>
        <w:autoSpaceDN/>
        <w:bidi w:val="0"/>
        <w:spacing w:line="360" w:lineRule="exact"/>
        <w:ind w:leftChars="0" w:firstLine="422" w:firstLineChars="200"/>
        <w:textAlignment w:val="auto"/>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九</w:t>
      </w:r>
      <w:r>
        <w:rPr>
          <w:rFonts w:hint="eastAsia" w:ascii="宋体" w:hAnsi="宋体" w:eastAsia="宋体" w:cs="宋体"/>
          <w:b/>
          <w:bCs/>
          <w:sz w:val="21"/>
          <w:szCs w:val="21"/>
          <w:lang w:val="en-US" w:eastAsia="zh-CN"/>
        </w:rPr>
        <w:t>、评选方法</w:t>
      </w:r>
    </w:p>
    <w:p w14:paraId="5DC7934A">
      <w:pPr>
        <w:keepNext w:val="0"/>
        <w:keepLines w:val="0"/>
        <w:pageBreakBefore w:val="0"/>
        <w:kinsoku/>
        <w:overflowPunct/>
        <w:topLinePunct w:val="0"/>
        <w:autoSpaceDE/>
        <w:autoSpaceDN/>
        <w:bidi w:val="0"/>
        <w:spacing w:line="360" w:lineRule="exact"/>
        <w:ind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本次比选的评选方式为综合评分法。本项目确定一名中选人，</w:t>
      </w:r>
      <w:r>
        <w:rPr>
          <w:rFonts w:hint="eastAsia" w:ascii="宋体" w:hAnsi="宋体" w:cs="宋体"/>
          <w:bCs/>
          <w:color w:val="auto"/>
          <w:sz w:val="21"/>
          <w:szCs w:val="21"/>
          <w:highlight w:val="none"/>
          <w:lang w:eastAsia="zh-CN"/>
        </w:rPr>
        <w:t>评选小组</w:t>
      </w:r>
      <w:r>
        <w:rPr>
          <w:rFonts w:hint="eastAsia" w:ascii="宋体" w:hAnsi="宋体" w:eastAsia="宋体" w:cs="宋体"/>
          <w:bCs/>
          <w:color w:val="auto"/>
          <w:sz w:val="21"/>
          <w:szCs w:val="21"/>
          <w:highlight w:val="none"/>
          <w:lang w:eastAsia="zh-CN"/>
        </w:rPr>
        <w:t>将各有效供应商按其综合得分由高到低顺序排序，排名第一的供应商为中选人。如出现供应商综合得分相同的，按报价得分由高到低排列，报价得分相同的按技术得分由高到低排列，技术得分相同的，按商务得分由高到低排列，所有分值均相同的，名次由</w:t>
      </w:r>
      <w:r>
        <w:rPr>
          <w:rFonts w:hint="eastAsia" w:ascii="宋体" w:hAnsi="宋体" w:cs="宋体"/>
          <w:bCs/>
          <w:color w:val="auto"/>
          <w:sz w:val="21"/>
          <w:szCs w:val="21"/>
          <w:highlight w:val="none"/>
          <w:lang w:eastAsia="zh-CN"/>
        </w:rPr>
        <w:t>评选小组</w:t>
      </w:r>
      <w:r>
        <w:rPr>
          <w:rFonts w:hint="eastAsia" w:ascii="宋体" w:hAnsi="宋体" w:eastAsia="宋体" w:cs="宋体"/>
          <w:bCs/>
          <w:color w:val="auto"/>
          <w:sz w:val="21"/>
          <w:szCs w:val="21"/>
          <w:highlight w:val="none"/>
          <w:lang w:eastAsia="zh-CN"/>
        </w:rPr>
        <w:t>投票确定（少数服从多数）</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当提交响应文件的供应商＜</w:t>
      </w: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lang w:val="en-US" w:eastAsia="zh-CN"/>
        </w:rPr>
        <w:t>家或通过</w:t>
      </w:r>
      <w:r>
        <w:rPr>
          <w:rFonts w:hint="eastAsia" w:ascii="宋体" w:hAnsi="宋体" w:cs="宋体"/>
          <w:bCs/>
          <w:color w:val="auto"/>
          <w:sz w:val="21"/>
          <w:szCs w:val="21"/>
          <w:highlight w:val="none"/>
          <w:lang w:val="en-US" w:eastAsia="zh-CN"/>
        </w:rPr>
        <w:t>资格性、</w:t>
      </w:r>
      <w:r>
        <w:rPr>
          <w:rFonts w:hint="eastAsia" w:ascii="宋体" w:hAnsi="宋体" w:eastAsia="宋体" w:cs="宋体"/>
          <w:bCs/>
          <w:color w:val="auto"/>
          <w:sz w:val="21"/>
          <w:szCs w:val="21"/>
          <w:highlight w:val="none"/>
          <w:lang w:val="en-US" w:eastAsia="zh-CN"/>
        </w:rPr>
        <w:t>符合性审查的供应商＜</w:t>
      </w: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lang w:val="en-US" w:eastAsia="zh-CN"/>
        </w:rPr>
        <w:t>家的，本项目按废标处理。</w:t>
      </w:r>
    </w:p>
    <w:p w14:paraId="003815C6">
      <w:pPr>
        <w:pStyle w:val="10"/>
        <w:keepNext w:val="0"/>
        <w:keepLines w:val="0"/>
        <w:pageBreakBefore w:val="0"/>
        <w:numPr>
          <w:ilvl w:val="0"/>
          <w:numId w:val="2"/>
        </w:numPr>
        <w:kinsoku/>
        <w:overflowPunct/>
        <w:topLinePunct w:val="0"/>
        <w:bidi w:val="0"/>
        <w:spacing w:line="360" w:lineRule="exact"/>
        <w:ind w:left="0" w:leftChars="0" w:firstLine="422" w:firstLineChars="200"/>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第一阶段：</w:t>
      </w:r>
      <w:r>
        <w:rPr>
          <w:rFonts w:hint="eastAsia" w:ascii="宋体" w:hAnsi="宋体" w:cs="宋体"/>
          <w:b/>
          <w:bCs/>
          <w:color w:val="auto"/>
          <w:kern w:val="0"/>
          <w:sz w:val="21"/>
          <w:szCs w:val="21"/>
          <w:highlight w:val="none"/>
          <w:lang w:val="en-US" w:eastAsia="zh-CN" w:bidi="ar-SA"/>
        </w:rPr>
        <w:t>资格性评审</w:t>
      </w:r>
    </w:p>
    <w:p w14:paraId="7F38493C">
      <w:pPr>
        <w:keepNext w:val="0"/>
        <w:keepLines w:val="0"/>
        <w:pageBreakBefore w:val="0"/>
        <w:kinsoku/>
        <w:overflowPunct/>
        <w:topLinePunct w:val="0"/>
        <w:autoSpaceDE/>
        <w:autoSpaceDN/>
        <w:bidi w:val="0"/>
        <w:spacing w:line="360" w:lineRule="exact"/>
        <w:ind w:left="0" w:leftChars="0" w:firstLine="420" w:firstLineChars="200"/>
        <w:textAlignment w:val="auto"/>
        <w:rPr>
          <w:rFonts w:hint="eastAsia"/>
          <w:lang w:val="en-US" w:eastAsia="zh-CN"/>
        </w:rPr>
      </w:pPr>
      <w:r>
        <w:rPr>
          <w:rFonts w:hint="eastAsia" w:ascii="宋体" w:hAnsi="宋体" w:cs="宋体"/>
          <w:bCs/>
          <w:color w:val="auto"/>
          <w:sz w:val="21"/>
          <w:szCs w:val="21"/>
          <w:highlight w:val="none"/>
          <w:lang w:eastAsia="zh-CN"/>
        </w:rPr>
        <w:t>评选小组</w:t>
      </w:r>
      <w:r>
        <w:rPr>
          <w:rFonts w:hint="eastAsia" w:ascii="宋体" w:hAnsi="宋体" w:eastAsia="宋体" w:cs="宋体"/>
          <w:bCs/>
          <w:color w:val="auto"/>
          <w:sz w:val="21"/>
          <w:szCs w:val="21"/>
          <w:highlight w:val="none"/>
          <w:lang w:eastAsia="zh-CN"/>
        </w:rPr>
        <w:t>根据比选公告对</w:t>
      </w:r>
      <w:r>
        <w:rPr>
          <w:rFonts w:hint="eastAsia" w:ascii="宋体" w:hAnsi="宋体" w:cs="宋体"/>
          <w:bCs/>
          <w:color w:val="auto"/>
          <w:sz w:val="21"/>
          <w:szCs w:val="21"/>
          <w:highlight w:val="none"/>
          <w:lang w:val="en-US" w:eastAsia="zh-CN"/>
        </w:rPr>
        <w:t>参选供应商</w:t>
      </w:r>
      <w:r>
        <w:rPr>
          <w:rFonts w:hint="eastAsia" w:ascii="宋体" w:hAnsi="宋体" w:eastAsia="宋体" w:cs="宋体"/>
          <w:bCs/>
          <w:color w:val="auto"/>
          <w:sz w:val="21"/>
          <w:szCs w:val="21"/>
          <w:highlight w:val="none"/>
          <w:lang w:eastAsia="zh-CN"/>
        </w:rPr>
        <w:t>进行</w:t>
      </w:r>
      <w:r>
        <w:rPr>
          <w:rFonts w:hint="eastAsia" w:ascii="宋体" w:hAnsi="宋体" w:cs="宋体"/>
          <w:bCs/>
          <w:color w:val="auto"/>
          <w:sz w:val="21"/>
          <w:szCs w:val="21"/>
          <w:highlight w:val="none"/>
          <w:lang w:val="en-US" w:eastAsia="zh-CN"/>
        </w:rPr>
        <w:t>资格性</w:t>
      </w:r>
      <w:r>
        <w:rPr>
          <w:rFonts w:hint="eastAsia" w:ascii="宋体" w:hAnsi="宋体" w:eastAsia="宋体" w:cs="宋体"/>
          <w:bCs/>
          <w:color w:val="auto"/>
          <w:sz w:val="21"/>
          <w:szCs w:val="21"/>
          <w:highlight w:val="none"/>
          <w:lang w:eastAsia="zh-CN"/>
        </w:rPr>
        <w:t>审查</w:t>
      </w:r>
      <w:r>
        <w:rPr>
          <w:rFonts w:hint="eastAsia" w:ascii="宋体" w:hAnsi="宋体" w:cs="宋体"/>
          <w:bCs/>
          <w:color w:val="auto"/>
          <w:sz w:val="21"/>
          <w:szCs w:val="21"/>
          <w:highlight w:val="none"/>
          <w:lang w:eastAsia="zh-CN"/>
        </w:rPr>
        <w:t>。</w:t>
      </w:r>
    </w:p>
    <w:p w14:paraId="62E6C491">
      <w:pPr>
        <w:pStyle w:val="10"/>
        <w:keepNext w:val="0"/>
        <w:keepLines w:val="0"/>
        <w:pageBreakBefore w:val="0"/>
        <w:numPr>
          <w:ilvl w:val="0"/>
          <w:numId w:val="2"/>
        </w:numPr>
        <w:kinsoku/>
        <w:overflowPunct/>
        <w:topLinePunct w:val="0"/>
        <w:bidi w:val="0"/>
        <w:spacing w:line="360" w:lineRule="exact"/>
        <w:ind w:left="0" w:leftChars="0" w:firstLine="422" w:firstLineChars="200"/>
        <w:rPr>
          <w:rFonts w:hint="eastAsia"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第二阶段：</w:t>
      </w:r>
      <w:r>
        <w:rPr>
          <w:rFonts w:hint="eastAsia" w:ascii="宋体" w:hAnsi="宋体" w:eastAsia="宋体" w:cs="宋体"/>
          <w:b/>
          <w:bCs/>
          <w:color w:val="auto"/>
          <w:kern w:val="0"/>
          <w:sz w:val="21"/>
          <w:szCs w:val="21"/>
          <w:highlight w:val="none"/>
          <w:lang w:val="en-US" w:eastAsia="zh-CN" w:bidi="ar-SA"/>
        </w:rPr>
        <w:t>符合性评审</w:t>
      </w:r>
    </w:p>
    <w:p w14:paraId="07A2937D">
      <w:pPr>
        <w:keepNext w:val="0"/>
        <w:keepLines w:val="0"/>
        <w:pageBreakBefore w:val="0"/>
        <w:kinsoku/>
        <w:overflowPunct/>
        <w:topLinePunct w:val="0"/>
        <w:autoSpaceDE/>
        <w:autoSpaceDN/>
        <w:bidi w:val="0"/>
        <w:spacing w:line="360" w:lineRule="exact"/>
        <w:ind w:left="0" w:leftChars="0"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评选小组</w:t>
      </w:r>
      <w:r>
        <w:rPr>
          <w:rFonts w:hint="eastAsia" w:ascii="宋体" w:hAnsi="宋体" w:eastAsia="宋体" w:cs="宋体"/>
          <w:bCs/>
          <w:color w:val="auto"/>
          <w:sz w:val="21"/>
          <w:szCs w:val="21"/>
          <w:highlight w:val="none"/>
          <w:lang w:eastAsia="zh-CN"/>
        </w:rPr>
        <w:t>根据比选公告对响应文件进行符合性审查</w:t>
      </w:r>
      <w:r>
        <w:rPr>
          <w:rFonts w:hint="eastAsia" w:ascii="宋体" w:hAnsi="宋体" w:eastAsia="宋体" w:cs="宋体"/>
          <w:color w:val="auto"/>
          <w:spacing w:val="0"/>
          <w:kern w:val="2"/>
          <w:sz w:val="21"/>
          <w:szCs w:val="21"/>
        </w:rPr>
        <w:t>：</w:t>
      </w:r>
    </w:p>
    <w:p w14:paraId="54A5E32A">
      <w:pPr>
        <w:keepNext w:val="0"/>
        <w:keepLines w:val="0"/>
        <w:pageBreakBefore w:val="0"/>
        <w:kinsoku/>
        <w:overflowPunct/>
        <w:topLinePunct w:val="0"/>
        <w:autoSpaceDE/>
        <w:autoSpaceDN/>
        <w:bidi w:val="0"/>
        <w:spacing w:line="360" w:lineRule="exact"/>
        <w:ind w:left="0" w:leftChars="0"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r>
        <w:rPr>
          <w:rFonts w:hint="eastAsia" w:ascii="宋体" w:hAnsi="宋体" w:cs="宋体"/>
          <w:bCs/>
          <w:color w:val="auto"/>
          <w:sz w:val="21"/>
          <w:szCs w:val="21"/>
          <w:highlight w:val="none"/>
          <w:lang w:val="en-US" w:eastAsia="zh-CN"/>
        </w:rPr>
        <w:t>参选文件及报价表有效期符合采购文件要求</w:t>
      </w:r>
      <w:r>
        <w:rPr>
          <w:rFonts w:hint="eastAsia" w:ascii="宋体" w:hAnsi="宋体" w:eastAsia="宋体" w:cs="宋体"/>
          <w:bCs/>
          <w:color w:val="auto"/>
          <w:sz w:val="21"/>
          <w:szCs w:val="21"/>
          <w:highlight w:val="none"/>
          <w:lang w:val="en-US" w:eastAsia="zh-CN"/>
        </w:rPr>
        <w:t>；</w:t>
      </w:r>
    </w:p>
    <w:p w14:paraId="7D892A72">
      <w:pPr>
        <w:keepNext w:val="0"/>
        <w:keepLines w:val="0"/>
        <w:pageBreakBefore w:val="0"/>
        <w:kinsoku/>
        <w:overflowPunct/>
        <w:topLinePunct w:val="0"/>
        <w:autoSpaceDE/>
        <w:autoSpaceDN/>
        <w:bidi w:val="0"/>
        <w:spacing w:line="360" w:lineRule="exact"/>
        <w:ind w:left="0" w:leftChars="0"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r>
        <w:rPr>
          <w:rFonts w:hint="eastAsia" w:ascii="宋体" w:hAnsi="宋体"/>
          <w:color w:val="auto"/>
          <w:highlight w:val="none"/>
          <w:lang w:bidi="ar"/>
        </w:rPr>
        <w:t>已提交法定代表人证明书和授权委托书（供应商代表为法定代表人时则不需要授权委托书）</w:t>
      </w:r>
      <w:r>
        <w:rPr>
          <w:rFonts w:hint="eastAsia" w:ascii="宋体" w:hAnsi="宋体"/>
          <w:color w:val="auto"/>
          <w:highlight w:val="none"/>
          <w:lang w:eastAsia="zh-CN" w:bidi="ar"/>
        </w:rPr>
        <w:t>；</w:t>
      </w:r>
    </w:p>
    <w:p w14:paraId="3BC33557">
      <w:pPr>
        <w:keepNext w:val="0"/>
        <w:keepLines w:val="0"/>
        <w:pageBreakBefore w:val="0"/>
        <w:kinsoku/>
        <w:overflowPunct/>
        <w:topLinePunct w:val="0"/>
        <w:autoSpaceDE/>
        <w:autoSpaceDN/>
        <w:bidi w:val="0"/>
        <w:spacing w:line="360" w:lineRule="exact"/>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3.参选文件主要资料齐全，签字盖章</w:t>
      </w:r>
      <w:r>
        <w:rPr>
          <w:rFonts w:hint="eastAsia" w:ascii="宋体" w:hAnsi="宋体" w:eastAsia="宋体" w:cs="宋体"/>
          <w:bCs/>
          <w:color w:val="auto"/>
          <w:sz w:val="21"/>
          <w:szCs w:val="21"/>
          <w:highlight w:val="none"/>
          <w:lang w:val="en-US" w:eastAsia="zh-CN"/>
        </w:rPr>
        <w:t>符合</w:t>
      </w:r>
      <w:r>
        <w:rPr>
          <w:rFonts w:hint="eastAsia" w:ascii="宋体" w:hAnsi="宋体" w:cs="宋体"/>
          <w:b/>
          <w:bCs w:val="0"/>
          <w:color w:val="auto"/>
          <w:sz w:val="21"/>
          <w:szCs w:val="21"/>
          <w:highlight w:val="none"/>
          <w:lang w:val="en-US" w:eastAsia="zh-CN"/>
        </w:rPr>
        <w:t>“八、响应文件内容要求”</w:t>
      </w:r>
      <w:r>
        <w:rPr>
          <w:rFonts w:hint="eastAsia" w:ascii="宋体" w:hAnsi="宋体" w:cs="宋体"/>
          <w:bCs/>
          <w:color w:val="auto"/>
          <w:sz w:val="21"/>
          <w:szCs w:val="21"/>
          <w:highlight w:val="none"/>
          <w:lang w:val="en-US" w:eastAsia="zh-CN"/>
        </w:rPr>
        <w:t>；</w:t>
      </w:r>
    </w:p>
    <w:p w14:paraId="5B5895AB">
      <w:pPr>
        <w:keepNext w:val="0"/>
        <w:keepLines w:val="0"/>
        <w:pageBreakBefore w:val="0"/>
        <w:kinsoku/>
        <w:overflowPunct/>
        <w:topLinePunct w:val="0"/>
        <w:autoSpaceDE/>
        <w:autoSpaceDN/>
        <w:bidi w:val="0"/>
        <w:spacing w:line="360" w:lineRule="exact"/>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4.按本公告规定格式填写，无内容不全或关键字迹模糊、无法辨认；</w:t>
      </w:r>
    </w:p>
    <w:p w14:paraId="5C1D73A1">
      <w:pPr>
        <w:keepNext w:val="0"/>
        <w:keepLines w:val="0"/>
        <w:pageBreakBefore w:val="0"/>
        <w:kinsoku/>
        <w:overflowPunct/>
        <w:topLinePunct w:val="0"/>
        <w:autoSpaceDE/>
        <w:autoSpaceDN/>
        <w:bidi w:val="0"/>
        <w:spacing w:line="360" w:lineRule="exact"/>
        <w:ind w:firstLine="420" w:firstLineChars="200"/>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5.满足采购</w:t>
      </w:r>
      <w:r>
        <w:rPr>
          <w:rFonts w:hint="default" w:ascii="宋体" w:hAnsi="宋体" w:eastAsia="宋体" w:cs="宋体"/>
          <w:bCs/>
          <w:color w:val="auto"/>
          <w:sz w:val="21"/>
          <w:szCs w:val="21"/>
          <w:highlight w:val="none"/>
          <w:lang w:val="en-US" w:eastAsia="zh-CN"/>
        </w:rPr>
        <w:t>文件中所有带“★”标识的实质性条款</w:t>
      </w:r>
      <w:r>
        <w:rPr>
          <w:rFonts w:hint="eastAsia" w:ascii="宋体" w:hAnsi="宋体" w:eastAsia="宋体" w:cs="宋体"/>
          <w:bCs/>
          <w:color w:val="auto"/>
          <w:sz w:val="21"/>
          <w:szCs w:val="21"/>
          <w:highlight w:val="none"/>
          <w:lang w:val="en-US" w:eastAsia="zh-CN"/>
        </w:rPr>
        <w:t>（如有）；</w:t>
      </w:r>
    </w:p>
    <w:p w14:paraId="37EF257A">
      <w:pPr>
        <w:keepNext w:val="0"/>
        <w:keepLines w:val="0"/>
        <w:pageBreakBefore w:val="0"/>
        <w:kinsoku/>
        <w:overflowPunct/>
        <w:topLinePunct w:val="0"/>
        <w:autoSpaceDE/>
        <w:autoSpaceDN/>
        <w:bidi w:val="0"/>
        <w:spacing w:line="360" w:lineRule="exact"/>
        <w:ind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6.响应报价未超过</w:t>
      </w:r>
      <w:r>
        <w:rPr>
          <w:rFonts w:hint="eastAsia" w:ascii="宋体" w:hAnsi="宋体" w:cs="宋体"/>
          <w:bCs/>
          <w:color w:val="auto"/>
          <w:sz w:val="21"/>
          <w:szCs w:val="21"/>
          <w:highlight w:val="none"/>
          <w:lang w:val="en-US" w:eastAsia="zh-CN"/>
        </w:rPr>
        <w:t>项目最高限价或</w:t>
      </w:r>
      <w:r>
        <w:rPr>
          <w:rFonts w:hint="eastAsia" w:ascii="宋体" w:hAnsi="宋体" w:eastAsia="宋体" w:cs="宋体"/>
          <w:bCs/>
          <w:color w:val="auto"/>
          <w:sz w:val="21"/>
          <w:szCs w:val="21"/>
          <w:highlight w:val="none"/>
          <w:lang w:val="en-US" w:eastAsia="zh-CN"/>
        </w:rPr>
        <w:t>采购预算金额的；</w:t>
      </w:r>
    </w:p>
    <w:p w14:paraId="1957CE0A">
      <w:pPr>
        <w:keepNext w:val="0"/>
        <w:keepLines w:val="0"/>
        <w:pageBreakBefore w:val="0"/>
        <w:kinsoku/>
        <w:overflowPunct/>
        <w:topLinePunct w:val="0"/>
        <w:autoSpaceDE/>
        <w:autoSpaceDN/>
        <w:bidi w:val="0"/>
        <w:spacing w:line="360" w:lineRule="exact"/>
        <w:ind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7.满足采购文件的其他实质性要求；</w:t>
      </w:r>
    </w:p>
    <w:p w14:paraId="0E3AE07F">
      <w:pPr>
        <w:pStyle w:val="10"/>
        <w:keepNext w:val="0"/>
        <w:keepLines w:val="0"/>
        <w:pageBreakBefore w:val="0"/>
        <w:kinsoku/>
        <w:overflowPunct/>
        <w:topLinePunct w:val="0"/>
        <w:bidi w:val="0"/>
        <w:spacing w:line="360" w:lineRule="exact"/>
        <w:ind w:left="0" w:leftChars="0"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8.与本公告内容无其他不相符的。</w:t>
      </w:r>
    </w:p>
    <w:p w14:paraId="1836152F">
      <w:pPr>
        <w:pStyle w:val="10"/>
        <w:keepNext w:val="0"/>
        <w:keepLines w:val="0"/>
        <w:pageBreakBefore w:val="0"/>
        <w:kinsoku/>
        <w:overflowPunct/>
        <w:topLinePunct w:val="0"/>
        <w:bidi w:val="0"/>
        <w:spacing w:line="360" w:lineRule="exact"/>
        <w:ind w:left="0" w:leftChars="0" w:firstLine="422" w:firstLineChars="200"/>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w:t>
      </w:r>
      <w:r>
        <w:rPr>
          <w:rFonts w:hint="eastAsia" w:ascii="宋体" w:hAnsi="宋体" w:cs="宋体"/>
          <w:b/>
          <w:bCs/>
          <w:color w:val="auto"/>
          <w:kern w:val="0"/>
          <w:sz w:val="21"/>
          <w:szCs w:val="21"/>
          <w:highlight w:val="none"/>
          <w:lang w:val="en-US" w:eastAsia="zh-CN" w:bidi="ar-SA"/>
        </w:rPr>
        <w:t>三</w:t>
      </w:r>
      <w:r>
        <w:rPr>
          <w:rFonts w:hint="eastAsia" w:ascii="宋体" w:hAnsi="宋体" w:eastAsia="宋体" w:cs="宋体"/>
          <w:b/>
          <w:bCs/>
          <w:color w:val="auto"/>
          <w:kern w:val="0"/>
          <w:sz w:val="21"/>
          <w:szCs w:val="21"/>
          <w:highlight w:val="none"/>
          <w:lang w:val="en-US" w:eastAsia="zh-CN" w:bidi="ar-SA"/>
        </w:rPr>
        <w:t>）</w:t>
      </w:r>
      <w:r>
        <w:rPr>
          <w:rFonts w:hint="eastAsia" w:ascii="宋体" w:hAnsi="宋体" w:cs="宋体"/>
          <w:b/>
          <w:bCs/>
          <w:color w:val="auto"/>
          <w:kern w:val="0"/>
          <w:sz w:val="21"/>
          <w:szCs w:val="21"/>
          <w:highlight w:val="none"/>
          <w:lang w:val="en-US" w:eastAsia="zh-CN" w:bidi="ar-SA"/>
        </w:rPr>
        <w:t>第三</w:t>
      </w:r>
      <w:r>
        <w:rPr>
          <w:rFonts w:hint="eastAsia" w:ascii="宋体" w:hAnsi="宋体" w:eastAsia="宋体" w:cs="宋体"/>
          <w:b/>
          <w:bCs/>
          <w:color w:val="auto"/>
          <w:kern w:val="0"/>
          <w:sz w:val="21"/>
          <w:szCs w:val="21"/>
          <w:highlight w:val="none"/>
          <w:lang w:val="en-US" w:eastAsia="zh-CN" w:bidi="ar-SA"/>
        </w:rPr>
        <w:t>阶段：详细评审</w:t>
      </w:r>
    </w:p>
    <w:p w14:paraId="5499608F">
      <w:pPr>
        <w:keepNext w:val="0"/>
        <w:keepLines w:val="0"/>
        <w:pageBreakBefore w:val="0"/>
        <w:kinsoku/>
        <w:overflowPunct/>
        <w:topLinePunct w:val="0"/>
        <w:autoSpaceDE/>
        <w:autoSpaceDN/>
        <w:bidi w:val="0"/>
        <w:spacing w:line="360" w:lineRule="exact"/>
        <w:ind w:left="0" w:leftChars="0"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lang w:eastAsia="zh-CN"/>
        </w:rPr>
        <w:t>详细评审是对</w:t>
      </w:r>
      <w:r>
        <w:rPr>
          <w:rFonts w:hint="eastAsia" w:ascii="宋体" w:hAnsi="宋体" w:eastAsia="宋体" w:cs="宋体"/>
          <w:b/>
          <w:bCs w:val="0"/>
          <w:color w:val="auto"/>
          <w:sz w:val="21"/>
          <w:szCs w:val="21"/>
          <w:highlight w:val="none"/>
          <w:lang w:eastAsia="zh-CN"/>
        </w:rPr>
        <w:t>通过</w:t>
      </w:r>
      <w:r>
        <w:rPr>
          <w:rFonts w:hint="eastAsia" w:ascii="宋体" w:hAnsi="宋体" w:cs="宋体"/>
          <w:b/>
          <w:bCs w:val="0"/>
          <w:color w:val="auto"/>
          <w:sz w:val="21"/>
          <w:szCs w:val="21"/>
          <w:highlight w:val="none"/>
          <w:lang w:val="en-US" w:eastAsia="zh-CN"/>
        </w:rPr>
        <w:t>资格性、</w:t>
      </w:r>
      <w:r>
        <w:rPr>
          <w:rFonts w:hint="eastAsia" w:ascii="宋体" w:hAnsi="宋体" w:eastAsia="宋体" w:cs="宋体"/>
          <w:b/>
          <w:bCs w:val="0"/>
          <w:color w:val="auto"/>
          <w:sz w:val="21"/>
          <w:szCs w:val="21"/>
          <w:highlight w:val="none"/>
          <w:lang w:eastAsia="zh-CN"/>
        </w:rPr>
        <w:t>符合性</w:t>
      </w:r>
      <w:r>
        <w:rPr>
          <w:rFonts w:hint="eastAsia" w:ascii="宋体" w:hAnsi="宋体" w:cs="宋体"/>
          <w:b/>
          <w:bCs w:val="0"/>
          <w:color w:val="auto"/>
          <w:sz w:val="21"/>
          <w:szCs w:val="21"/>
          <w:highlight w:val="none"/>
          <w:lang w:val="en-US" w:eastAsia="zh-CN"/>
        </w:rPr>
        <w:t>评审</w:t>
      </w:r>
      <w:r>
        <w:rPr>
          <w:rFonts w:hint="eastAsia" w:ascii="宋体" w:hAnsi="宋体" w:eastAsia="宋体" w:cs="宋体"/>
          <w:b/>
          <w:bCs w:val="0"/>
          <w:color w:val="auto"/>
          <w:sz w:val="21"/>
          <w:szCs w:val="21"/>
          <w:highlight w:val="none"/>
          <w:lang w:eastAsia="zh-CN"/>
        </w:rPr>
        <w:t>的响应文件</w:t>
      </w:r>
      <w:r>
        <w:rPr>
          <w:rFonts w:hint="eastAsia" w:ascii="宋体" w:hAnsi="宋体" w:eastAsia="宋体" w:cs="宋体"/>
          <w:bCs/>
          <w:color w:val="auto"/>
          <w:sz w:val="21"/>
          <w:szCs w:val="21"/>
          <w:highlight w:val="none"/>
          <w:lang w:eastAsia="zh-CN"/>
        </w:rPr>
        <w:t>进行技术商务和价格的评审。</w:t>
      </w:r>
    </w:p>
    <w:p w14:paraId="79C851B3">
      <w:pPr>
        <w:spacing w:line="360" w:lineRule="auto"/>
        <w:ind w:firstLine="420" w:firstLineChars="200"/>
        <w:rPr>
          <w:rFonts w:ascii="宋体" w:hAnsi="宋体" w:cs="宋体"/>
          <w:color w:val="auto"/>
          <w:highlight w:val="none"/>
        </w:rPr>
      </w:pPr>
      <w:r>
        <w:rPr>
          <w:rFonts w:hint="eastAsia" w:ascii="宋体" w:hAnsi="宋体" w:eastAsia="宋体" w:cs="宋体"/>
          <w:bCs/>
          <w:color w:val="auto"/>
          <w:sz w:val="21"/>
          <w:szCs w:val="21"/>
          <w:highlight w:val="none"/>
          <w:lang w:val="en-US" w:eastAsia="zh-CN"/>
        </w:rPr>
        <w:t>2.</w:t>
      </w:r>
      <w:r>
        <w:rPr>
          <w:rFonts w:hint="eastAsia" w:ascii="宋体" w:hAnsi="宋体" w:cs="宋体"/>
          <w:color w:val="auto"/>
          <w:highlight w:val="none"/>
        </w:rPr>
        <w:t>评分总值最高为100分，技术、商务及价格评分分值（权重）分配：</w:t>
      </w:r>
    </w:p>
    <w:tbl>
      <w:tblPr>
        <w:tblStyle w:val="1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751"/>
        <w:gridCol w:w="2270"/>
        <w:gridCol w:w="2271"/>
      </w:tblGrid>
      <w:tr w14:paraId="44E4C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6" w:hRule="atLeast"/>
          <w:jc w:val="center"/>
        </w:trPr>
        <w:tc>
          <w:tcPr>
            <w:tcW w:w="3751" w:type="dxa"/>
            <w:noWrap w:val="0"/>
            <w:vAlign w:val="center"/>
          </w:tcPr>
          <w:p w14:paraId="0E108150">
            <w:pPr>
              <w:jc w:val="center"/>
              <w:rPr>
                <w:rFonts w:ascii="宋体" w:hAnsi="宋体"/>
                <w:color w:val="auto"/>
                <w:highlight w:val="none"/>
              </w:rPr>
            </w:pPr>
            <w:r>
              <w:rPr>
                <w:rFonts w:hint="eastAsia" w:ascii="宋体" w:hAnsi="宋体"/>
                <w:color w:val="auto"/>
                <w:highlight w:val="none"/>
              </w:rPr>
              <w:t>评分项目</w:t>
            </w:r>
          </w:p>
        </w:tc>
        <w:tc>
          <w:tcPr>
            <w:tcW w:w="2270" w:type="dxa"/>
            <w:noWrap w:val="0"/>
            <w:vAlign w:val="center"/>
          </w:tcPr>
          <w:p w14:paraId="4BEF0C76">
            <w:pPr>
              <w:jc w:val="center"/>
              <w:rPr>
                <w:rFonts w:ascii="宋体" w:hAnsi="宋体"/>
                <w:color w:val="auto"/>
                <w:highlight w:val="none"/>
              </w:rPr>
            </w:pPr>
            <w:r>
              <w:rPr>
                <w:rFonts w:hint="eastAsia" w:ascii="宋体" w:hAnsi="宋体"/>
                <w:color w:val="auto"/>
                <w:highlight w:val="none"/>
              </w:rPr>
              <w:t>技术商务评分</w:t>
            </w:r>
          </w:p>
        </w:tc>
        <w:tc>
          <w:tcPr>
            <w:tcW w:w="2271" w:type="dxa"/>
            <w:noWrap w:val="0"/>
            <w:vAlign w:val="center"/>
          </w:tcPr>
          <w:p w14:paraId="0D9FE462">
            <w:pPr>
              <w:jc w:val="center"/>
              <w:rPr>
                <w:rFonts w:ascii="宋体" w:hAnsi="宋体"/>
                <w:color w:val="auto"/>
                <w:highlight w:val="none"/>
              </w:rPr>
            </w:pPr>
            <w:r>
              <w:rPr>
                <w:rFonts w:hint="eastAsia" w:ascii="宋体" w:hAnsi="宋体"/>
                <w:color w:val="auto"/>
                <w:highlight w:val="none"/>
              </w:rPr>
              <w:t>价格评分</w:t>
            </w:r>
          </w:p>
        </w:tc>
      </w:tr>
      <w:tr w14:paraId="0C0F3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3751" w:type="dxa"/>
            <w:noWrap w:val="0"/>
            <w:vAlign w:val="center"/>
          </w:tcPr>
          <w:p w14:paraId="64D54E0E">
            <w:pPr>
              <w:jc w:val="center"/>
              <w:rPr>
                <w:rFonts w:ascii="宋体" w:hAnsi="宋体"/>
                <w:color w:val="auto"/>
                <w:highlight w:val="none"/>
              </w:rPr>
            </w:pPr>
            <w:r>
              <w:rPr>
                <w:rFonts w:hint="eastAsia" w:ascii="宋体" w:hAnsi="宋体"/>
                <w:color w:val="auto"/>
                <w:highlight w:val="none"/>
              </w:rPr>
              <w:t>权重（总和为100％）</w:t>
            </w:r>
          </w:p>
        </w:tc>
        <w:tc>
          <w:tcPr>
            <w:tcW w:w="2270" w:type="dxa"/>
            <w:noWrap w:val="0"/>
            <w:vAlign w:val="center"/>
          </w:tcPr>
          <w:p w14:paraId="00993170">
            <w:pPr>
              <w:jc w:val="center"/>
              <w:rPr>
                <w:rFonts w:ascii="宋体" w:hAnsi="宋体"/>
                <w:color w:val="auto"/>
                <w:szCs w:val="21"/>
                <w:highlight w:val="none"/>
              </w:rPr>
            </w:pPr>
            <w:r>
              <w:rPr>
                <w:rFonts w:hint="eastAsia" w:ascii="宋体" w:hAnsi="宋体"/>
                <w:color w:val="auto"/>
                <w:szCs w:val="21"/>
                <w:highlight w:val="none"/>
                <w:lang w:val="en-US" w:eastAsia="zh-CN"/>
              </w:rPr>
              <w:t>80</w:t>
            </w:r>
            <w:r>
              <w:rPr>
                <w:rFonts w:hint="eastAsia" w:ascii="宋体" w:hAnsi="宋体"/>
                <w:color w:val="auto"/>
                <w:szCs w:val="21"/>
                <w:highlight w:val="none"/>
              </w:rPr>
              <w:t>％</w:t>
            </w:r>
          </w:p>
        </w:tc>
        <w:tc>
          <w:tcPr>
            <w:tcW w:w="2271" w:type="dxa"/>
            <w:noWrap w:val="0"/>
            <w:vAlign w:val="center"/>
          </w:tcPr>
          <w:p w14:paraId="5F12E878">
            <w:pPr>
              <w:jc w:val="center"/>
              <w:rPr>
                <w:rFonts w:ascii="宋体" w:hAnsi="宋体"/>
                <w:color w:val="auto"/>
                <w:szCs w:val="21"/>
                <w:highlight w:val="none"/>
              </w:rPr>
            </w:pPr>
            <w:r>
              <w:rPr>
                <w:rFonts w:hint="eastAsia" w:ascii="宋体" w:hAnsi="宋体"/>
                <w:color w:val="auto"/>
                <w:szCs w:val="21"/>
                <w:highlight w:val="none"/>
                <w:lang w:val="en-US" w:eastAsia="zh-CN"/>
              </w:rPr>
              <w:t>20</w:t>
            </w:r>
            <w:r>
              <w:rPr>
                <w:rFonts w:hint="eastAsia" w:ascii="宋体" w:hAnsi="宋体"/>
                <w:color w:val="auto"/>
                <w:szCs w:val="21"/>
                <w:highlight w:val="none"/>
              </w:rPr>
              <w:t>％</w:t>
            </w:r>
          </w:p>
        </w:tc>
      </w:tr>
      <w:tr w14:paraId="0B222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1" w:hRule="atLeast"/>
          <w:jc w:val="center"/>
        </w:trPr>
        <w:tc>
          <w:tcPr>
            <w:tcW w:w="3751" w:type="dxa"/>
            <w:noWrap w:val="0"/>
            <w:vAlign w:val="center"/>
          </w:tcPr>
          <w:p w14:paraId="28CCC5CE">
            <w:pPr>
              <w:jc w:val="center"/>
              <w:rPr>
                <w:rFonts w:ascii="宋体" w:hAnsi="宋体"/>
                <w:color w:val="auto"/>
                <w:highlight w:val="none"/>
              </w:rPr>
            </w:pPr>
            <w:r>
              <w:rPr>
                <w:rFonts w:hint="eastAsia" w:ascii="宋体" w:hAnsi="宋体"/>
                <w:color w:val="auto"/>
                <w:highlight w:val="none"/>
              </w:rPr>
              <w:t>分值（满分为100分）</w:t>
            </w:r>
          </w:p>
        </w:tc>
        <w:tc>
          <w:tcPr>
            <w:tcW w:w="2270" w:type="dxa"/>
            <w:noWrap w:val="0"/>
            <w:vAlign w:val="center"/>
          </w:tcPr>
          <w:p w14:paraId="6AA30264">
            <w:pPr>
              <w:jc w:val="center"/>
              <w:rPr>
                <w:rFonts w:ascii="宋体" w:hAnsi="宋体"/>
                <w:color w:val="auto"/>
                <w:szCs w:val="21"/>
                <w:highlight w:val="none"/>
              </w:rPr>
            </w:pPr>
            <w:r>
              <w:rPr>
                <w:rFonts w:hint="eastAsia" w:ascii="宋体" w:hAnsi="宋体"/>
                <w:color w:val="auto"/>
                <w:szCs w:val="21"/>
                <w:highlight w:val="none"/>
                <w:lang w:val="en-US" w:eastAsia="zh-CN"/>
              </w:rPr>
              <w:t>80</w:t>
            </w:r>
            <w:r>
              <w:rPr>
                <w:rFonts w:hint="eastAsia" w:ascii="宋体" w:hAnsi="宋体"/>
                <w:color w:val="auto"/>
                <w:szCs w:val="21"/>
                <w:highlight w:val="none"/>
              </w:rPr>
              <w:t>分</w:t>
            </w:r>
          </w:p>
        </w:tc>
        <w:tc>
          <w:tcPr>
            <w:tcW w:w="2271" w:type="dxa"/>
            <w:noWrap w:val="0"/>
            <w:vAlign w:val="center"/>
          </w:tcPr>
          <w:p w14:paraId="72A16DBC">
            <w:pPr>
              <w:jc w:val="center"/>
              <w:rPr>
                <w:rFonts w:ascii="宋体" w:hAnsi="宋体"/>
                <w:color w:val="auto"/>
                <w:szCs w:val="21"/>
                <w:highlight w:val="none"/>
              </w:rPr>
            </w:pPr>
            <w:r>
              <w:rPr>
                <w:rFonts w:hint="eastAsia" w:ascii="宋体" w:hAnsi="宋体"/>
                <w:color w:val="auto"/>
                <w:szCs w:val="21"/>
                <w:highlight w:val="none"/>
                <w:lang w:val="en-US" w:eastAsia="zh-CN"/>
              </w:rPr>
              <w:t>20</w:t>
            </w:r>
            <w:r>
              <w:rPr>
                <w:rFonts w:hint="eastAsia" w:ascii="宋体" w:hAnsi="宋体"/>
                <w:color w:val="auto"/>
                <w:szCs w:val="21"/>
                <w:highlight w:val="none"/>
              </w:rPr>
              <w:t>分</w:t>
            </w:r>
          </w:p>
        </w:tc>
      </w:tr>
    </w:tbl>
    <w:p w14:paraId="74D7D2AC">
      <w:pPr>
        <w:keepNext w:val="0"/>
        <w:keepLines w:val="0"/>
        <w:pageBreakBefore w:val="0"/>
        <w:kinsoku/>
        <w:overflowPunct/>
        <w:topLinePunct w:val="0"/>
        <w:autoSpaceDE/>
        <w:autoSpaceDN/>
        <w:bidi w:val="0"/>
        <w:spacing w:line="360" w:lineRule="exact"/>
        <w:ind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综合得分按以下公式计算：综合得分=商务技术得分+报价得分</w:t>
      </w:r>
    </w:p>
    <w:tbl>
      <w:tblPr>
        <w:tblStyle w:val="16"/>
        <w:tblW w:w="5023" w:type="pct"/>
        <w:jc w:val="center"/>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tblLayout w:type="autofit"/>
        <w:tblCellMar>
          <w:top w:w="0" w:type="dxa"/>
          <w:left w:w="0" w:type="dxa"/>
          <w:bottom w:w="0" w:type="dxa"/>
          <w:right w:w="0" w:type="dxa"/>
        </w:tblCellMar>
      </w:tblPr>
      <w:tblGrid>
        <w:gridCol w:w="1149"/>
        <w:gridCol w:w="1526"/>
        <w:gridCol w:w="6650"/>
      </w:tblGrid>
      <w:tr w14:paraId="0AC20336">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tblCellMar>
            <w:top w:w="0" w:type="dxa"/>
            <w:left w:w="0" w:type="dxa"/>
            <w:bottom w:w="0" w:type="dxa"/>
            <w:right w:w="0" w:type="dxa"/>
          </w:tblCellMar>
        </w:tblPrEx>
        <w:trPr>
          <w:trHeight w:val="600" w:hRule="atLeast"/>
          <w:tblHeader/>
          <w:jc w:val="center"/>
        </w:trPr>
        <w:tc>
          <w:tcPr>
            <w:tcW w:w="616" w:type="pct"/>
            <w:tcBorders>
              <w:top w:val="single" w:color="auto" w:sz="4" w:space="0"/>
              <w:left w:val="single" w:color="auto" w:sz="4" w:space="0"/>
              <w:bottom w:val="single" w:color="auto" w:sz="4" w:space="0"/>
              <w:right w:val="single" w:color="auto" w:sz="4" w:space="0"/>
            </w:tcBorders>
            <w:shd w:val="clear" w:color="auto" w:fill="auto"/>
            <w:noWrap w:val="0"/>
            <w:tcMar>
              <w:left w:w="105" w:type="dxa"/>
              <w:right w:w="105" w:type="dxa"/>
            </w:tcMar>
            <w:vAlign w:val="center"/>
          </w:tcPr>
          <w:p w14:paraId="0E0D8FA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right="0"/>
              <w:jc w:val="center"/>
              <w:rPr>
                <w:rFonts w:hint="eastAsia" w:ascii="宋体" w:hAnsi="宋体" w:eastAsia="宋体" w:cs="宋体"/>
                <w:color w:val="333333"/>
                <w:sz w:val="21"/>
                <w:szCs w:val="21"/>
              </w:rPr>
            </w:pPr>
            <w:r>
              <w:rPr>
                <w:rStyle w:val="19"/>
                <w:rFonts w:hint="eastAsia" w:ascii="宋体" w:hAnsi="宋体" w:eastAsia="宋体" w:cs="宋体"/>
                <w:color w:val="333333"/>
                <w:sz w:val="21"/>
                <w:szCs w:val="21"/>
              </w:rPr>
              <w:t>内容</w:t>
            </w:r>
          </w:p>
        </w:tc>
        <w:tc>
          <w:tcPr>
            <w:tcW w:w="818" w:type="pct"/>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104F21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left="0" w:leftChars="0" w:right="0" w:firstLine="0" w:firstLineChars="0"/>
              <w:jc w:val="center"/>
              <w:rPr>
                <w:rStyle w:val="19"/>
                <w:rFonts w:hint="eastAsia" w:ascii="宋体" w:hAnsi="宋体" w:eastAsia="宋体" w:cs="宋体"/>
                <w:color w:val="333333"/>
                <w:sz w:val="21"/>
                <w:szCs w:val="21"/>
                <w:lang w:eastAsia="zh-CN"/>
              </w:rPr>
            </w:pPr>
            <w:r>
              <w:rPr>
                <w:rStyle w:val="19"/>
                <w:rFonts w:hint="eastAsia" w:ascii="宋体" w:hAnsi="宋体" w:eastAsia="宋体" w:cs="宋体"/>
                <w:color w:val="333333"/>
                <w:sz w:val="21"/>
                <w:szCs w:val="21"/>
                <w:lang w:eastAsia="zh-CN"/>
              </w:rPr>
              <w:t>评审项目</w:t>
            </w:r>
          </w:p>
        </w:tc>
        <w:tc>
          <w:tcPr>
            <w:tcW w:w="3565" w:type="pct"/>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6A11D4F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left="0" w:right="0" w:firstLine="420"/>
              <w:jc w:val="center"/>
              <w:rPr>
                <w:rFonts w:hint="eastAsia" w:ascii="宋体" w:hAnsi="宋体" w:eastAsia="宋体" w:cs="宋体"/>
                <w:color w:val="333333"/>
                <w:sz w:val="21"/>
                <w:szCs w:val="21"/>
              </w:rPr>
            </w:pPr>
            <w:r>
              <w:rPr>
                <w:rStyle w:val="19"/>
                <w:rFonts w:hint="eastAsia" w:ascii="宋体" w:hAnsi="宋体" w:eastAsia="宋体" w:cs="宋体"/>
                <w:color w:val="333333"/>
                <w:sz w:val="21"/>
                <w:szCs w:val="21"/>
              </w:rPr>
              <w:t>评分标准</w:t>
            </w:r>
          </w:p>
        </w:tc>
      </w:tr>
      <w:tr w14:paraId="4C7F3674">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tblCellMar>
            <w:top w:w="0" w:type="dxa"/>
            <w:left w:w="0" w:type="dxa"/>
            <w:bottom w:w="0" w:type="dxa"/>
            <w:right w:w="0" w:type="dxa"/>
          </w:tblCellMar>
        </w:tblPrEx>
        <w:trPr>
          <w:trHeight w:val="855" w:hRule="atLeast"/>
          <w:jc w:val="center"/>
        </w:trPr>
        <w:tc>
          <w:tcPr>
            <w:tcW w:w="616" w:type="pct"/>
            <w:tcBorders>
              <w:top w:val="single" w:color="auto" w:sz="4" w:space="0"/>
              <w:left w:val="single" w:color="auto" w:sz="4" w:space="0"/>
              <w:bottom w:val="single" w:color="auto" w:sz="4" w:space="0"/>
              <w:right w:val="single" w:color="auto" w:sz="4" w:space="0"/>
            </w:tcBorders>
            <w:shd w:val="clear" w:color="auto" w:fill="auto"/>
            <w:noWrap w:val="0"/>
            <w:tcMar>
              <w:left w:w="105" w:type="dxa"/>
              <w:right w:w="105" w:type="dxa"/>
            </w:tcMar>
            <w:vAlign w:val="center"/>
          </w:tcPr>
          <w:p w14:paraId="15E1FED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价格部分(</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分)</w:t>
            </w:r>
          </w:p>
        </w:tc>
        <w:tc>
          <w:tcPr>
            <w:tcW w:w="818" w:type="pct"/>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17FFDAD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价格得分</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0分</w:t>
            </w:r>
            <w:r>
              <w:rPr>
                <w:rFonts w:hint="eastAsia" w:ascii="宋体" w:hAnsi="宋体" w:eastAsia="宋体" w:cs="宋体"/>
                <w:color w:val="auto"/>
                <w:sz w:val="21"/>
                <w:szCs w:val="21"/>
                <w:highlight w:val="none"/>
                <w:lang w:eastAsia="zh-CN"/>
              </w:rPr>
              <w:t>）</w:t>
            </w:r>
          </w:p>
        </w:tc>
        <w:tc>
          <w:tcPr>
            <w:tcW w:w="3565" w:type="pct"/>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6948E2E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w:t>
            </w:r>
            <w:r>
              <w:rPr>
                <w:rFonts w:hint="eastAsia" w:ascii="宋体" w:hAnsi="宋体" w:eastAsia="宋体" w:cs="宋体"/>
                <w:color w:val="auto"/>
                <w:sz w:val="21"/>
                <w:szCs w:val="21"/>
                <w:highlight w:val="none"/>
                <w:lang w:eastAsia="zh-CN"/>
              </w:rPr>
              <w:t>比选公告</w:t>
            </w:r>
            <w:r>
              <w:rPr>
                <w:rFonts w:hint="eastAsia" w:ascii="宋体" w:hAnsi="宋体" w:eastAsia="宋体" w:cs="宋体"/>
                <w:color w:val="auto"/>
                <w:sz w:val="21"/>
                <w:szCs w:val="21"/>
                <w:highlight w:val="none"/>
              </w:rPr>
              <w:t>要求且</w:t>
            </w:r>
            <w:r>
              <w:rPr>
                <w:rFonts w:hint="eastAsia" w:ascii="宋体" w:hAnsi="宋体" w:eastAsia="宋体" w:cs="宋体"/>
                <w:color w:val="auto"/>
                <w:sz w:val="21"/>
                <w:szCs w:val="21"/>
                <w:highlight w:val="none"/>
                <w:lang w:eastAsia="zh-CN"/>
              </w:rPr>
              <w:t>报价</w:t>
            </w:r>
            <w:r>
              <w:rPr>
                <w:rFonts w:hint="eastAsia" w:ascii="宋体" w:hAnsi="宋体" w:eastAsia="宋体" w:cs="宋体"/>
                <w:color w:val="auto"/>
                <w:sz w:val="21"/>
                <w:szCs w:val="21"/>
                <w:highlight w:val="none"/>
              </w:rPr>
              <w:t>最低的为评</w:t>
            </w:r>
            <w:r>
              <w:rPr>
                <w:rFonts w:hint="eastAsia" w:ascii="宋体" w:hAnsi="宋体" w:cs="宋体"/>
                <w:color w:val="auto"/>
                <w:sz w:val="21"/>
                <w:szCs w:val="21"/>
                <w:highlight w:val="none"/>
                <w:lang w:val="en-US" w:eastAsia="zh-CN"/>
              </w:rPr>
              <w:t>选</w:t>
            </w:r>
            <w:r>
              <w:rPr>
                <w:rFonts w:hint="eastAsia" w:ascii="宋体" w:hAnsi="宋体" w:eastAsia="宋体" w:cs="宋体"/>
                <w:color w:val="auto"/>
                <w:sz w:val="21"/>
                <w:szCs w:val="21"/>
                <w:highlight w:val="none"/>
              </w:rPr>
              <w:t>基准价，其价格分为满分</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0，其他</w:t>
            </w:r>
            <w:r>
              <w:rPr>
                <w:rFonts w:hint="eastAsia" w:ascii="宋体" w:hAnsi="宋体" w:eastAsia="宋体" w:cs="宋体"/>
                <w:color w:val="auto"/>
                <w:sz w:val="21"/>
                <w:szCs w:val="21"/>
                <w:highlight w:val="none"/>
                <w:lang w:eastAsia="zh-CN"/>
              </w:rPr>
              <w:t>响应供应商</w:t>
            </w:r>
            <w:r>
              <w:rPr>
                <w:rFonts w:hint="eastAsia" w:ascii="宋体" w:hAnsi="宋体" w:eastAsia="宋体" w:cs="宋体"/>
                <w:color w:val="auto"/>
                <w:sz w:val="21"/>
                <w:szCs w:val="21"/>
                <w:highlight w:val="none"/>
              </w:rPr>
              <w:t>的价格分统一按照下列公式计算</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参选</w:t>
            </w:r>
            <w:r>
              <w:rPr>
                <w:rFonts w:hint="eastAsia" w:ascii="宋体" w:hAnsi="宋体" w:eastAsia="宋体" w:cs="宋体"/>
                <w:color w:val="auto"/>
                <w:sz w:val="21"/>
                <w:szCs w:val="21"/>
                <w:highlight w:val="none"/>
                <w:lang w:eastAsia="zh-CN"/>
              </w:rPr>
              <w:t>报价得分</w:t>
            </w:r>
            <w:r>
              <w:rPr>
                <w:rFonts w:hint="eastAsia" w:ascii="宋体" w:hAnsi="宋体" w:eastAsia="宋体" w:cs="宋体"/>
                <w:color w:val="auto"/>
                <w:sz w:val="21"/>
                <w:szCs w:val="21"/>
                <w:highlight w:val="none"/>
              </w:rPr>
              <w:t>四舍五入精确到小数点后2位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w:t>
            </w:r>
          </w:p>
          <w:p w14:paraId="643E750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参选</w:t>
            </w:r>
            <w:r>
              <w:rPr>
                <w:rFonts w:hint="eastAsia" w:ascii="宋体" w:hAnsi="宋体" w:eastAsia="宋体" w:cs="宋体"/>
                <w:color w:val="auto"/>
                <w:sz w:val="21"/>
                <w:szCs w:val="21"/>
                <w:highlight w:val="none"/>
              </w:rPr>
              <w:t>报价得分=（评</w:t>
            </w:r>
            <w:r>
              <w:rPr>
                <w:rFonts w:hint="eastAsia" w:ascii="宋体" w:hAnsi="宋体" w:cs="宋体"/>
                <w:color w:val="auto"/>
                <w:sz w:val="21"/>
                <w:szCs w:val="21"/>
                <w:highlight w:val="none"/>
                <w:lang w:val="en-US" w:eastAsia="zh-CN"/>
              </w:rPr>
              <w:t>选</w:t>
            </w:r>
            <w:r>
              <w:rPr>
                <w:rFonts w:hint="eastAsia" w:ascii="宋体" w:hAnsi="宋体" w:eastAsia="宋体" w:cs="宋体"/>
                <w:color w:val="auto"/>
                <w:sz w:val="21"/>
                <w:szCs w:val="21"/>
                <w:highlight w:val="none"/>
              </w:rPr>
              <w:t>基准价格/</w:t>
            </w:r>
            <w:r>
              <w:rPr>
                <w:rFonts w:hint="eastAsia" w:ascii="宋体" w:hAnsi="宋体" w:cs="宋体"/>
                <w:color w:val="auto"/>
                <w:sz w:val="21"/>
                <w:szCs w:val="21"/>
                <w:highlight w:val="none"/>
                <w:lang w:val="en-US" w:eastAsia="zh-CN"/>
              </w:rPr>
              <w:t>参选</w:t>
            </w:r>
            <w:r>
              <w:rPr>
                <w:rFonts w:hint="eastAsia" w:ascii="宋体" w:hAnsi="宋体" w:eastAsia="宋体" w:cs="宋体"/>
                <w:color w:val="auto"/>
                <w:sz w:val="21"/>
                <w:szCs w:val="21"/>
                <w:highlight w:val="none"/>
              </w:rPr>
              <w:t>价格）×</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0</w:t>
            </w:r>
          </w:p>
        </w:tc>
      </w:tr>
      <w:tr w14:paraId="1BA74AE0">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616" w:type="pct"/>
            <w:vMerge w:val="restart"/>
            <w:tcBorders>
              <w:top w:val="single" w:color="auto" w:sz="4" w:space="0"/>
              <w:left w:val="single" w:color="auto" w:sz="4" w:space="0"/>
              <w:right w:val="single" w:color="auto" w:sz="4" w:space="0"/>
            </w:tcBorders>
            <w:shd w:val="clear" w:color="auto" w:fill="auto"/>
            <w:noWrap w:val="0"/>
            <w:tcMar>
              <w:left w:w="105" w:type="dxa"/>
              <w:right w:w="105" w:type="dxa"/>
            </w:tcMar>
            <w:vAlign w:val="center"/>
          </w:tcPr>
          <w:p w14:paraId="43E5843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商务</w:t>
            </w:r>
            <w:r>
              <w:rPr>
                <w:rFonts w:hint="eastAsia" w:ascii="宋体" w:hAnsi="宋体" w:cs="宋体"/>
                <w:color w:val="auto"/>
                <w:sz w:val="21"/>
                <w:szCs w:val="21"/>
                <w:highlight w:val="none"/>
                <w:lang w:val="en-US" w:eastAsia="zh-CN"/>
              </w:rPr>
              <w:t>技术</w:t>
            </w:r>
            <w:r>
              <w:rPr>
                <w:rFonts w:hint="eastAsia" w:ascii="宋体" w:hAnsi="宋体" w:eastAsia="宋体" w:cs="宋体"/>
                <w:color w:val="auto"/>
                <w:sz w:val="21"/>
                <w:szCs w:val="21"/>
                <w:highlight w:val="none"/>
                <w:lang w:eastAsia="zh-CN"/>
              </w:rPr>
              <w:t>部分</w:t>
            </w:r>
          </w:p>
          <w:p w14:paraId="69FFB87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80</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w:t>
            </w:r>
          </w:p>
        </w:tc>
        <w:tc>
          <w:tcPr>
            <w:tcW w:w="818" w:type="pct"/>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1600EBEF">
            <w:pPr>
              <w:spacing w:line="300" w:lineRule="exact"/>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对采购需求书中各条款的响应程度</w:t>
            </w:r>
          </w:p>
          <w:p w14:paraId="6967D278">
            <w:pPr>
              <w:spacing w:line="300" w:lineRule="exact"/>
              <w:jc w:val="center"/>
              <w:rPr>
                <w:rFonts w:hint="eastAsia" w:ascii="宋体" w:hAnsi="宋体" w:eastAsia="宋体" w:cs="宋体"/>
                <w:color w:val="auto"/>
                <w:sz w:val="21"/>
                <w:szCs w:val="21"/>
                <w:highlight w:val="none"/>
              </w:rPr>
            </w:pPr>
            <w:r>
              <w:rPr>
                <w:rFonts w:hint="eastAsia" w:ascii="宋体" w:hAnsi="宋体" w:cs="宋体"/>
                <w:bCs/>
                <w:color w:val="auto"/>
                <w:szCs w:val="21"/>
                <w:highlight w:val="none"/>
                <w:lang w:val="en-US" w:eastAsia="zh-CN"/>
              </w:rPr>
              <w:t>(50分)</w:t>
            </w:r>
          </w:p>
        </w:tc>
        <w:tc>
          <w:tcPr>
            <w:tcW w:w="3565" w:type="pct"/>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60C79C6B">
            <w:pPr>
              <w:numPr>
                <w:ilvl w:val="0"/>
                <w:numId w:val="0"/>
              </w:num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根据各供应商响应文件对</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一</w:t>
            </w:r>
            <w:r>
              <w:rPr>
                <w:rFonts w:hint="eastAsia" w:ascii="宋体" w:hAnsi="宋体" w:cs="宋体"/>
                <w:color w:val="auto"/>
                <w:szCs w:val="21"/>
                <w:highlight w:val="none"/>
                <w:lang w:eastAsia="zh-CN"/>
              </w:rPr>
              <w:t>）</w:t>
            </w:r>
            <w:r>
              <w:rPr>
                <w:rFonts w:hint="eastAsia" w:ascii="宋体" w:hAnsi="宋体" w:eastAsia="宋体" w:cs="宋体"/>
                <w:color w:val="auto"/>
                <w:sz w:val="21"/>
                <w:szCs w:val="21"/>
                <w:highlight w:val="none"/>
                <w:lang w:val="en-US" w:eastAsia="zh-CN"/>
              </w:rPr>
              <w:t>服务内容及范围</w:t>
            </w:r>
            <w:r>
              <w:rPr>
                <w:rFonts w:hint="eastAsia" w:ascii="宋体" w:hAnsi="宋体" w:cs="宋体"/>
                <w:color w:val="auto"/>
                <w:sz w:val="21"/>
                <w:szCs w:val="21"/>
                <w:highlight w:val="none"/>
                <w:lang w:val="en-US" w:eastAsia="zh-CN"/>
              </w:rPr>
              <w:t>、（二）服务期限</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下列的所有条款</w:t>
            </w:r>
            <w:r>
              <w:rPr>
                <w:rFonts w:hint="eastAsia" w:ascii="宋体" w:hAnsi="宋体" w:eastAsia="宋体" w:cs="宋体"/>
                <w:color w:val="auto"/>
                <w:szCs w:val="21"/>
                <w:highlight w:val="none"/>
              </w:rPr>
              <w:t>（非“★”、非“▲”号条款）</w:t>
            </w:r>
            <w:r>
              <w:rPr>
                <w:rFonts w:hint="eastAsia" w:ascii="宋体" w:hAnsi="宋体" w:cs="宋体"/>
                <w:color w:val="auto"/>
                <w:szCs w:val="21"/>
                <w:highlight w:val="none"/>
                <w:lang w:val="en-US" w:eastAsia="zh-CN"/>
              </w:rPr>
              <w:t>共2项，本项目满分2分，</w:t>
            </w:r>
            <w:r>
              <w:rPr>
                <w:rFonts w:hint="eastAsia" w:ascii="宋体" w:hAnsi="宋体" w:eastAsia="宋体" w:cs="宋体"/>
                <w:color w:val="auto"/>
                <w:szCs w:val="21"/>
                <w:highlight w:val="none"/>
              </w:rPr>
              <w:t>评审分数按以下公式计算：优于或完全响应的条款数量</w:t>
            </w:r>
            <w:r>
              <w:rPr>
                <w:rFonts w:hint="default" w:ascii="Arial" w:hAnsi="Arial" w:eastAsia="宋体" w:cs="Arial"/>
                <w:b/>
                <w:bCs/>
                <w:color w:val="auto"/>
                <w:szCs w:val="21"/>
                <w:highlight w:val="none"/>
              </w:rPr>
              <w:t>÷</w:t>
            </w:r>
            <w:r>
              <w:rPr>
                <w:rFonts w:hint="eastAsia" w:ascii="宋体" w:hAnsi="宋体" w:eastAsia="宋体" w:cs="宋体"/>
                <w:color w:val="auto"/>
                <w:szCs w:val="21"/>
                <w:highlight w:val="none"/>
              </w:rPr>
              <w:t>一般条款（非“★”、非“▲”号条款）总数量</w:t>
            </w:r>
            <w:r>
              <w:rPr>
                <w:rFonts w:hint="default" w:ascii="Arial" w:hAnsi="Arial" w:eastAsia="宋体" w:cs="Arial"/>
                <w:b/>
                <w:bCs/>
                <w:color w:val="auto"/>
                <w:szCs w:val="21"/>
                <w:highlight w:val="none"/>
              </w:rPr>
              <w:t>×</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=一般条款响应程度得分（按四舍五入保留两位）。</w:t>
            </w:r>
          </w:p>
          <w:p w14:paraId="2B02AB67">
            <w:pPr>
              <w:numPr>
                <w:ilvl w:val="0"/>
                <w:numId w:val="0"/>
              </w:numP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根据各供应商响应文件对</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三</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技术要求</w:t>
            </w:r>
            <w:r>
              <w:rPr>
                <w:rFonts w:hint="eastAsia" w:ascii="宋体" w:hAnsi="宋体" w:cs="宋体"/>
                <w:color w:val="auto"/>
                <w:sz w:val="21"/>
                <w:szCs w:val="21"/>
                <w:highlight w:val="none"/>
                <w:lang w:val="en-US" w:eastAsia="zh-CN"/>
              </w:rPr>
              <w:t>”下列</w:t>
            </w:r>
            <w:r>
              <w:rPr>
                <w:rFonts w:hint="eastAsia" w:ascii="宋体" w:hAnsi="宋体" w:cs="宋体"/>
                <w:color w:val="auto"/>
                <w:szCs w:val="21"/>
                <w:highlight w:val="none"/>
                <w:lang w:val="en-US" w:eastAsia="zh-CN"/>
              </w:rPr>
              <w:t>的所有条款</w:t>
            </w:r>
            <w:r>
              <w:rPr>
                <w:rFonts w:hint="eastAsia" w:ascii="宋体" w:hAnsi="宋体" w:eastAsia="宋体" w:cs="宋体"/>
                <w:color w:val="auto"/>
                <w:szCs w:val="21"/>
                <w:highlight w:val="none"/>
              </w:rPr>
              <w:t>（非“★”、非“▲”号条款）共</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项，</w:t>
            </w:r>
            <w:r>
              <w:rPr>
                <w:rFonts w:hint="eastAsia" w:ascii="宋体" w:hAnsi="宋体" w:eastAsia="宋体" w:cs="宋体"/>
                <w:color w:val="auto"/>
                <w:szCs w:val="21"/>
                <w:highlight w:val="none"/>
                <w:lang w:val="en-US" w:eastAsia="zh-CN"/>
              </w:rPr>
              <w:t>本项目满分</w:t>
            </w:r>
            <w:r>
              <w:rPr>
                <w:rFonts w:hint="eastAsia" w:ascii="宋体" w:hAnsi="宋体" w:cs="宋体"/>
                <w:color w:val="auto"/>
                <w:szCs w:val="21"/>
                <w:highlight w:val="none"/>
                <w:lang w:val="en-US" w:eastAsia="zh-CN"/>
              </w:rPr>
              <w:t>30</w:t>
            </w:r>
            <w:r>
              <w:rPr>
                <w:rFonts w:hint="eastAsia" w:ascii="宋体" w:hAnsi="宋体" w:eastAsia="宋体" w:cs="宋体"/>
                <w:color w:val="auto"/>
                <w:szCs w:val="21"/>
                <w:highlight w:val="none"/>
                <w:lang w:val="en-US" w:eastAsia="zh-CN"/>
              </w:rPr>
              <w:t>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评审分数按以下公式计算：优于或完全响应的条款数量</w:t>
            </w:r>
            <w:r>
              <w:rPr>
                <w:rFonts w:hint="default" w:ascii="Arial" w:hAnsi="Arial" w:eastAsia="宋体" w:cs="Arial"/>
                <w:b/>
                <w:bCs/>
                <w:color w:val="auto"/>
                <w:szCs w:val="21"/>
                <w:highlight w:val="none"/>
              </w:rPr>
              <w:t>÷</w:t>
            </w:r>
            <w:r>
              <w:rPr>
                <w:rFonts w:hint="eastAsia" w:ascii="宋体" w:hAnsi="宋体" w:eastAsia="宋体" w:cs="宋体"/>
                <w:color w:val="auto"/>
                <w:szCs w:val="21"/>
                <w:highlight w:val="none"/>
              </w:rPr>
              <w:t>一般条款（非“★”、非“▲”号条款）总数量</w:t>
            </w:r>
            <w:r>
              <w:rPr>
                <w:rFonts w:hint="default" w:ascii="Arial" w:hAnsi="Arial" w:eastAsia="宋体" w:cs="Arial"/>
                <w:b/>
                <w:bCs/>
                <w:color w:val="auto"/>
                <w:szCs w:val="21"/>
                <w:highlight w:val="none"/>
              </w:rPr>
              <w:t>×</w:t>
            </w:r>
            <w:r>
              <w:rPr>
                <w:rFonts w:hint="eastAsia" w:ascii="宋体" w:hAnsi="宋体" w:cs="宋体"/>
                <w:color w:val="auto"/>
                <w:szCs w:val="21"/>
                <w:highlight w:val="none"/>
                <w:lang w:val="en-US" w:eastAsia="zh-CN"/>
              </w:rPr>
              <w:t>30</w:t>
            </w:r>
            <w:r>
              <w:rPr>
                <w:rFonts w:hint="eastAsia" w:ascii="宋体" w:hAnsi="宋体" w:eastAsia="宋体" w:cs="宋体"/>
                <w:color w:val="auto"/>
                <w:szCs w:val="21"/>
                <w:highlight w:val="none"/>
              </w:rPr>
              <w:t>=一般条款响应程度得分（按四舍五入保留两位）。</w:t>
            </w:r>
          </w:p>
          <w:p w14:paraId="2576AD52">
            <w:pPr>
              <w:numPr>
                <w:ilvl w:val="0"/>
                <w:numId w:val="0"/>
              </w:numP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根据各供应商响应文件对</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（四）</w:t>
            </w:r>
            <w:r>
              <w:rPr>
                <w:rFonts w:hint="eastAsia" w:ascii="宋体" w:hAnsi="宋体" w:cs="宋体"/>
                <w:color w:val="auto"/>
                <w:sz w:val="21"/>
                <w:szCs w:val="21"/>
                <w:highlight w:val="none"/>
                <w:lang w:val="en-US" w:eastAsia="zh-CN"/>
              </w:rPr>
              <w:t>商务要求”下列</w:t>
            </w:r>
            <w:r>
              <w:rPr>
                <w:rFonts w:hint="eastAsia" w:ascii="宋体" w:hAnsi="宋体" w:cs="宋体"/>
                <w:color w:val="auto"/>
                <w:szCs w:val="21"/>
                <w:highlight w:val="none"/>
                <w:lang w:val="en-US" w:eastAsia="zh-CN"/>
              </w:rPr>
              <w:t>的所有条款</w:t>
            </w:r>
            <w:r>
              <w:rPr>
                <w:rFonts w:hint="eastAsia" w:ascii="宋体" w:hAnsi="宋体" w:eastAsia="宋体" w:cs="宋体"/>
                <w:color w:val="auto"/>
                <w:szCs w:val="21"/>
                <w:highlight w:val="none"/>
              </w:rPr>
              <w:t>（非“★”、非“▲”号条款）共</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项，</w:t>
            </w:r>
            <w:r>
              <w:rPr>
                <w:rFonts w:hint="eastAsia" w:ascii="宋体" w:hAnsi="宋体" w:eastAsia="宋体" w:cs="宋体"/>
                <w:color w:val="auto"/>
                <w:szCs w:val="21"/>
                <w:highlight w:val="none"/>
                <w:lang w:val="en-US" w:eastAsia="zh-CN"/>
              </w:rPr>
              <w:t>本项目满分</w:t>
            </w:r>
            <w:r>
              <w:rPr>
                <w:rFonts w:hint="eastAsia" w:ascii="宋体" w:hAnsi="宋体" w:cs="宋体"/>
                <w:color w:val="auto"/>
                <w:szCs w:val="21"/>
                <w:highlight w:val="none"/>
                <w:lang w:val="en-US" w:eastAsia="zh-CN"/>
              </w:rPr>
              <w:t>18</w:t>
            </w:r>
            <w:r>
              <w:rPr>
                <w:rFonts w:hint="eastAsia" w:ascii="宋体" w:hAnsi="宋体" w:eastAsia="宋体" w:cs="宋体"/>
                <w:color w:val="auto"/>
                <w:szCs w:val="21"/>
                <w:highlight w:val="none"/>
                <w:lang w:val="en-US" w:eastAsia="zh-CN"/>
              </w:rPr>
              <w:t>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评审分数按以下公式计算：优于或完全响应的条款数量</w:t>
            </w:r>
            <w:r>
              <w:rPr>
                <w:rFonts w:hint="default" w:ascii="Arial" w:hAnsi="Arial" w:eastAsia="宋体" w:cs="Arial"/>
                <w:b/>
                <w:bCs/>
                <w:color w:val="auto"/>
                <w:szCs w:val="21"/>
                <w:highlight w:val="none"/>
              </w:rPr>
              <w:t>÷</w:t>
            </w:r>
            <w:r>
              <w:rPr>
                <w:rFonts w:hint="eastAsia" w:ascii="宋体" w:hAnsi="宋体" w:eastAsia="宋体" w:cs="宋体"/>
                <w:color w:val="auto"/>
                <w:szCs w:val="21"/>
                <w:highlight w:val="none"/>
              </w:rPr>
              <w:t>一般条款（非“★”、非“▲”号条款）总数量</w:t>
            </w:r>
            <w:r>
              <w:rPr>
                <w:rFonts w:hint="default" w:ascii="Arial" w:hAnsi="Arial" w:eastAsia="宋体" w:cs="Arial"/>
                <w:b/>
                <w:bCs/>
                <w:color w:val="auto"/>
                <w:szCs w:val="21"/>
                <w:highlight w:val="none"/>
              </w:rPr>
              <w:t>×</w:t>
            </w:r>
            <w:r>
              <w:rPr>
                <w:rFonts w:hint="eastAsia" w:ascii="宋体" w:hAnsi="宋体" w:cs="宋体"/>
                <w:color w:val="auto"/>
                <w:szCs w:val="21"/>
                <w:highlight w:val="none"/>
                <w:lang w:val="en-US" w:eastAsia="zh-CN"/>
              </w:rPr>
              <w:t>18</w:t>
            </w:r>
            <w:r>
              <w:rPr>
                <w:rFonts w:hint="eastAsia" w:ascii="宋体" w:hAnsi="宋体" w:eastAsia="宋体" w:cs="宋体"/>
                <w:color w:val="auto"/>
                <w:szCs w:val="21"/>
                <w:highlight w:val="none"/>
              </w:rPr>
              <w:t>=一般条款响应程度得分（按四舍五入保留两位）。</w:t>
            </w:r>
          </w:p>
          <w:p w14:paraId="4D53FB1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left="0" w:leftChars="0" w:right="0" w:rightChars="0"/>
              <w:jc w:val="both"/>
              <w:rPr>
                <w:rFonts w:hint="default" w:ascii="宋体" w:hAnsi="宋体" w:eastAsia="宋体" w:cs="宋体"/>
                <w:color w:val="auto"/>
                <w:sz w:val="21"/>
                <w:szCs w:val="21"/>
                <w:highlight w:val="none"/>
                <w:lang w:val="en-US" w:eastAsia="zh-CN"/>
              </w:rPr>
            </w:pPr>
            <w:r>
              <w:rPr>
                <w:rFonts w:hint="eastAsia" w:ascii="宋体" w:hAnsi="宋体" w:cs="宋体"/>
                <w:b/>
                <w:bCs w:val="0"/>
                <w:color w:val="auto"/>
                <w:sz w:val="21"/>
                <w:szCs w:val="21"/>
                <w:highlight w:val="none"/>
                <w:lang w:val="en-US" w:eastAsia="zh-CN"/>
              </w:rPr>
              <w:t>注：本项满分为50分，以采购需求书中要求提供（如有）的证明材料和“附件2参选文件格式”要求提供相关证明文件及指引页码作为评审依据，未按要求提供不得分。</w:t>
            </w:r>
          </w:p>
        </w:tc>
      </w:tr>
      <w:tr w14:paraId="374E2221">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tblCellMar>
            <w:top w:w="0" w:type="dxa"/>
            <w:left w:w="0" w:type="dxa"/>
            <w:bottom w:w="0" w:type="dxa"/>
            <w:right w:w="0" w:type="dxa"/>
          </w:tblCellMar>
        </w:tblPrEx>
        <w:trPr>
          <w:trHeight w:val="855" w:hRule="atLeast"/>
          <w:jc w:val="center"/>
        </w:trPr>
        <w:tc>
          <w:tcPr>
            <w:tcW w:w="616" w:type="pct"/>
            <w:vMerge w:val="continue"/>
            <w:tcBorders>
              <w:left w:val="single" w:color="auto" w:sz="4" w:space="0"/>
              <w:right w:val="single" w:color="auto" w:sz="4" w:space="0"/>
            </w:tcBorders>
            <w:shd w:val="clear" w:color="auto" w:fill="auto"/>
            <w:noWrap w:val="0"/>
            <w:tcMar>
              <w:left w:w="105" w:type="dxa"/>
              <w:right w:w="105" w:type="dxa"/>
            </w:tcMar>
            <w:vAlign w:val="center"/>
          </w:tcPr>
          <w:p w14:paraId="3D01F16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right="0"/>
              <w:jc w:val="center"/>
              <w:rPr>
                <w:rFonts w:hint="eastAsia" w:ascii="宋体" w:hAnsi="宋体" w:eastAsia="宋体" w:cs="宋体"/>
                <w:color w:val="333333"/>
                <w:sz w:val="21"/>
                <w:szCs w:val="21"/>
                <w:highlight w:val="yellow"/>
                <w:lang w:eastAsia="zh-CN"/>
              </w:rPr>
            </w:pPr>
          </w:p>
        </w:tc>
        <w:tc>
          <w:tcPr>
            <w:tcW w:w="818" w:type="pct"/>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0F624C16">
            <w:pPr>
              <w:keepNext w:val="0"/>
              <w:keepLines w:val="0"/>
              <w:pageBreakBefore w:val="0"/>
              <w:kinsoku/>
              <w:overflowPunct/>
              <w:topLinePunct w:val="0"/>
              <w:bidi w:val="0"/>
              <w:spacing w:line="360" w:lineRule="exact"/>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技术团队</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投入情况</w:t>
            </w:r>
          </w:p>
          <w:p w14:paraId="3BE718B5">
            <w:pPr>
              <w:keepNext w:val="0"/>
              <w:keepLines w:val="0"/>
              <w:pageBreakBefore w:val="0"/>
              <w:kinsoku/>
              <w:overflowPunct/>
              <w:topLinePunct w:val="0"/>
              <w:bidi w:val="0"/>
              <w:spacing w:line="360" w:lineRule="exact"/>
              <w:jc w:val="center"/>
              <w:rPr>
                <w:rFonts w:hint="eastAsia" w:ascii="宋体" w:hAnsi="宋体" w:eastAsia="宋体" w:cs="宋体"/>
                <w:sz w:val="21"/>
                <w:szCs w:val="21"/>
                <w:highlight w:val="yellow"/>
                <w:lang w:eastAsia="zh-CN"/>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分)</w:t>
            </w:r>
          </w:p>
        </w:tc>
        <w:tc>
          <w:tcPr>
            <w:tcW w:w="3565" w:type="pct"/>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top"/>
          </w:tcPr>
          <w:p w14:paraId="2D50CAF5">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对本项目拟投入的技术团队情况进行评审：</w:t>
            </w:r>
          </w:p>
          <w:p w14:paraId="58639FED">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1.项目负责人/主要人员中有从事相关工作年限8年及以上的得5分；</w:t>
            </w:r>
          </w:p>
          <w:p w14:paraId="01E91CD5">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2.项目负责人/主要人员中有从事相关工作年限5年及以上的得4分；</w:t>
            </w:r>
          </w:p>
          <w:p w14:paraId="287808A9">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3.项目负责人/主要人员中有从事相关工作年限2年及以上的得3分；</w:t>
            </w:r>
          </w:p>
          <w:p w14:paraId="3B95AF08">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4.项目负责人/主要人员中有从事相关工作年限不足2年的得2分；</w:t>
            </w:r>
          </w:p>
          <w:p w14:paraId="214A61E7">
            <w:pPr>
              <w:pStyle w:val="14"/>
              <w:numPr>
                <w:ilvl w:val="0"/>
                <w:numId w:val="0"/>
              </w:numPr>
              <w:tabs>
                <w:tab w:val="left" w:pos="7740"/>
              </w:tabs>
              <w:spacing w:line="24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5.未提供的不得分。</w:t>
            </w:r>
          </w:p>
        </w:tc>
      </w:tr>
      <w:tr w14:paraId="12178F15">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tblCellMar>
            <w:top w:w="0" w:type="dxa"/>
            <w:left w:w="0" w:type="dxa"/>
            <w:bottom w:w="0" w:type="dxa"/>
            <w:right w:w="0" w:type="dxa"/>
          </w:tblCellMar>
        </w:tblPrEx>
        <w:trPr>
          <w:trHeight w:val="601" w:hRule="atLeast"/>
          <w:jc w:val="center"/>
        </w:trPr>
        <w:tc>
          <w:tcPr>
            <w:tcW w:w="616" w:type="pct"/>
            <w:vMerge w:val="continue"/>
            <w:tcBorders>
              <w:left w:val="single" w:color="auto" w:sz="4" w:space="0"/>
              <w:right w:val="single" w:color="auto" w:sz="4" w:space="0"/>
            </w:tcBorders>
            <w:shd w:val="clear" w:color="auto" w:fill="auto"/>
            <w:noWrap w:val="0"/>
            <w:tcMar>
              <w:left w:w="105" w:type="dxa"/>
              <w:right w:w="105" w:type="dxa"/>
            </w:tcMar>
            <w:vAlign w:val="center"/>
          </w:tcPr>
          <w:p w14:paraId="56757E3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right="0"/>
              <w:jc w:val="center"/>
              <w:rPr>
                <w:rFonts w:hint="eastAsia" w:ascii="宋体" w:hAnsi="宋体" w:eastAsia="宋体" w:cs="宋体"/>
                <w:color w:val="333333"/>
                <w:sz w:val="21"/>
                <w:szCs w:val="21"/>
                <w:highlight w:val="yellow"/>
                <w:lang w:eastAsia="zh-CN"/>
              </w:rPr>
            </w:pPr>
          </w:p>
        </w:tc>
        <w:tc>
          <w:tcPr>
            <w:tcW w:w="818" w:type="pct"/>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18FE37E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right="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总体实施方案</w:t>
            </w:r>
          </w:p>
          <w:p w14:paraId="0F01B8F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left="0" w:leftChars="0" w:right="0" w:rightChars="0"/>
              <w:jc w:val="center"/>
              <w:rPr>
                <w:rFonts w:hint="eastAsia" w:ascii="宋体" w:hAnsi="宋体" w:eastAsia="宋体" w:cs="宋体"/>
                <w:sz w:val="21"/>
                <w:szCs w:val="21"/>
                <w:highlight w:val="none"/>
                <w:lang w:eastAsia="zh-CN"/>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lang w:eastAsia="zh-CN"/>
              </w:rPr>
              <w:t>）</w:t>
            </w:r>
          </w:p>
        </w:tc>
        <w:tc>
          <w:tcPr>
            <w:tcW w:w="3565" w:type="pct"/>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top"/>
          </w:tcPr>
          <w:p w14:paraId="58FB4C1E">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根据供应商提供的总体实施方案（包括但不限于：服务目标达成措施、服务计划、具体执行措施等）进行评审： </w:t>
            </w:r>
          </w:p>
          <w:p w14:paraId="3B1A4DEA">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1.服务目标达成措施清晰明确，服务计划详尽，执行方案（包括流程、制度等，下同）可操作性强的，得</w:t>
            </w:r>
            <w:r>
              <w:rPr>
                <w:rFonts w:hint="eastAsia" w:ascii="宋体" w:hAnsi="宋体" w:cs="宋体"/>
                <w:color w:val="auto"/>
                <w:szCs w:val="21"/>
                <w:highlight w:val="none"/>
                <w:lang w:val="en-US" w:eastAsia="zh-CN"/>
              </w:rPr>
              <w:t>15</w:t>
            </w:r>
            <w:r>
              <w:rPr>
                <w:rFonts w:hint="eastAsia" w:ascii="宋体" w:hAnsi="宋体" w:eastAsia="宋体" w:cs="宋体"/>
                <w:color w:val="auto"/>
                <w:szCs w:val="21"/>
                <w:highlight w:val="none"/>
                <w:lang w:val="en-US" w:eastAsia="zh-CN"/>
              </w:rPr>
              <w:t>分；</w:t>
            </w:r>
          </w:p>
          <w:p w14:paraId="1539F399">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2.服务目标达成措施较为明确，服务计划较为详尽，执行方案可操作性较强的，得</w:t>
            </w:r>
            <w:r>
              <w:rPr>
                <w:rFonts w:hint="eastAsia" w:ascii="宋体" w:hAnsi="宋体" w:cs="宋体"/>
                <w:color w:val="auto"/>
                <w:szCs w:val="21"/>
                <w:highlight w:val="none"/>
                <w:lang w:val="en-US" w:eastAsia="zh-CN"/>
              </w:rPr>
              <w:t>11</w:t>
            </w:r>
            <w:r>
              <w:rPr>
                <w:rFonts w:hint="eastAsia" w:ascii="宋体" w:hAnsi="宋体" w:eastAsia="宋体" w:cs="宋体"/>
                <w:color w:val="auto"/>
                <w:szCs w:val="21"/>
                <w:highlight w:val="none"/>
                <w:lang w:val="en-US" w:eastAsia="zh-CN"/>
              </w:rPr>
              <w:t>分；</w:t>
            </w:r>
          </w:p>
          <w:p w14:paraId="656D855D">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3.服务目标达成措施不明确，服务计划简单粗略，执行方案可操作性较弱的，得</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分；</w:t>
            </w:r>
          </w:p>
          <w:p w14:paraId="0A4E35B2">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4.服务目标达成措施模糊，服务计划缺失，执行方案可操作性差的，得</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分；</w:t>
            </w:r>
          </w:p>
          <w:p w14:paraId="24AB8966">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5.未提供相关内容阐述的，不得分。</w:t>
            </w:r>
          </w:p>
        </w:tc>
      </w:tr>
      <w:tr w14:paraId="05EAFE98">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tblCellMar>
            <w:top w:w="0" w:type="dxa"/>
            <w:left w:w="0" w:type="dxa"/>
            <w:bottom w:w="0" w:type="dxa"/>
            <w:right w:w="0" w:type="dxa"/>
          </w:tblCellMar>
        </w:tblPrEx>
        <w:trPr>
          <w:trHeight w:val="601" w:hRule="atLeast"/>
          <w:jc w:val="center"/>
        </w:trPr>
        <w:tc>
          <w:tcPr>
            <w:tcW w:w="616" w:type="pct"/>
            <w:vMerge w:val="continue"/>
            <w:tcBorders>
              <w:left w:val="single" w:color="auto" w:sz="4" w:space="0"/>
              <w:bottom w:val="single" w:color="auto" w:sz="4" w:space="0"/>
              <w:right w:val="single" w:color="auto" w:sz="4" w:space="0"/>
            </w:tcBorders>
            <w:shd w:val="clear" w:color="auto" w:fill="auto"/>
            <w:noWrap w:val="0"/>
            <w:tcMar>
              <w:left w:w="105" w:type="dxa"/>
              <w:right w:w="105" w:type="dxa"/>
            </w:tcMar>
            <w:vAlign w:val="center"/>
          </w:tcPr>
          <w:p w14:paraId="1458AD7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right="0"/>
              <w:jc w:val="center"/>
              <w:rPr>
                <w:rFonts w:hint="eastAsia" w:ascii="宋体" w:hAnsi="宋体" w:eastAsia="宋体" w:cs="宋体"/>
                <w:color w:val="333333"/>
                <w:sz w:val="21"/>
                <w:szCs w:val="21"/>
                <w:highlight w:val="yellow"/>
                <w:lang w:eastAsia="zh-CN"/>
              </w:rPr>
            </w:pPr>
          </w:p>
        </w:tc>
        <w:tc>
          <w:tcPr>
            <w:tcW w:w="818" w:type="pct"/>
            <w:tcBorders>
              <w:top w:val="single" w:color="auto" w:sz="4" w:space="0"/>
              <w:left w:val="single" w:color="auto" w:sz="4" w:space="0"/>
              <w:bottom w:val="single" w:color="auto" w:sz="4" w:space="0"/>
              <w:right w:val="single" w:color="auto" w:sz="4" w:space="0"/>
            </w:tcBorders>
            <w:shd w:val="clear" w:color="auto" w:fill="auto"/>
            <w:noWrap w:val="0"/>
            <w:tcMar>
              <w:left w:w="105" w:type="dxa"/>
              <w:right w:w="105" w:type="dxa"/>
            </w:tcMar>
            <w:vAlign w:val="center"/>
          </w:tcPr>
          <w:p w14:paraId="7E7168C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left="0" w:leftChars="0" w:right="0" w:right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服务保障方案</w:t>
            </w:r>
          </w:p>
          <w:p w14:paraId="7CD3FDD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360" w:lineRule="exact"/>
              <w:ind w:left="0" w:leftChars="0" w:right="0" w:rightChars="0"/>
              <w:jc w:val="center"/>
              <w:rPr>
                <w:rFonts w:hint="eastAsia" w:asciiTheme="minorHAnsi" w:hAnsiTheme="minorHAnsi" w:eastAsiaTheme="minorEastAsia" w:cstheme="minorBidi"/>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w:t>
            </w:r>
          </w:p>
        </w:tc>
        <w:tc>
          <w:tcPr>
            <w:tcW w:w="3565" w:type="pct"/>
            <w:tcBorders>
              <w:top w:val="single" w:color="auto" w:sz="4" w:space="0"/>
              <w:left w:val="single" w:color="auto" w:sz="4" w:space="0"/>
              <w:bottom w:val="single" w:color="auto" w:sz="4" w:space="0"/>
              <w:right w:val="single" w:color="auto" w:sz="4" w:space="0"/>
            </w:tcBorders>
            <w:shd w:val="clear" w:color="auto" w:fill="auto"/>
            <w:noWrap w:val="0"/>
            <w:tcMar>
              <w:left w:w="105" w:type="dxa"/>
              <w:right w:w="105" w:type="dxa"/>
            </w:tcMar>
            <w:vAlign w:val="top"/>
          </w:tcPr>
          <w:p w14:paraId="3D1159A9">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根据供应商提供的服务保障方案（包括但不限于：服务支撑能力、应急保障机制、售后服务体系等）进行评审：</w:t>
            </w:r>
          </w:p>
          <w:p w14:paraId="1724668C">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1.服务支撑能力强，针对本项目运作相关应急保障机制十分详细合理，售后服务体系非常完善，得</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lang w:val="en-US" w:eastAsia="zh-CN"/>
              </w:rPr>
              <w:t>分；</w:t>
            </w:r>
          </w:p>
          <w:p w14:paraId="623EB878">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2.服务支撑能力较强，针对本项目运作的相关应急保障机制比较合理，售后服务体系较完善，得</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分；</w:t>
            </w:r>
          </w:p>
          <w:p w14:paraId="6E868C5F">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3.服务支撑能力一般，针对本项目良好运作的相关应急保障机制一般，售后服务体系一般的，得</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分；</w:t>
            </w:r>
          </w:p>
          <w:p w14:paraId="3E705AB7">
            <w:pPr>
              <w:pStyle w:val="14"/>
              <w:numPr>
                <w:ilvl w:val="0"/>
                <w:numId w:val="0"/>
              </w:numPr>
              <w:tabs>
                <w:tab w:val="left" w:pos="7740"/>
              </w:tabs>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4.服务支撑能力弱，未针对本项目提供相关应急保障机制，售后服务体系较差的，得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分；</w:t>
            </w:r>
          </w:p>
          <w:p w14:paraId="62846504">
            <w:pPr>
              <w:pStyle w:val="14"/>
              <w:numPr>
                <w:ilvl w:val="0"/>
                <w:numId w:val="0"/>
              </w:numPr>
              <w:tabs>
                <w:tab w:val="left" w:pos="7740"/>
              </w:tabs>
              <w:spacing w:line="240" w:lineRule="auto"/>
              <w:rPr>
                <w:rFonts w:hint="default"/>
                <w:lang w:val="en-US" w:eastAsia="zh-CN"/>
              </w:rPr>
            </w:pPr>
            <w:r>
              <w:rPr>
                <w:rFonts w:hint="eastAsia" w:ascii="宋体" w:hAnsi="宋体" w:eastAsia="宋体" w:cs="宋体"/>
                <w:color w:val="auto"/>
                <w:szCs w:val="21"/>
                <w:highlight w:val="none"/>
                <w:lang w:val="en-US" w:eastAsia="zh-CN"/>
              </w:rPr>
              <w:t>5.未提供相关内容阐述的，不得分。</w:t>
            </w:r>
          </w:p>
        </w:tc>
      </w:tr>
    </w:tbl>
    <w:p w14:paraId="7568A1F1">
      <w:pPr>
        <w:keepNext w:val="0"/>
        <w:keepLines w:val="0"/>
        <w:pageBreakBefore w:val="0"/>
        <w:widowControl w:val="0"/>
        <w:kinsoku/>
        <w:wordWrap/>
        <w:overflowPunct/>
        <w:topLinePunct w:val="0"/>
        <w:bidi w:val="0"/>
        <w:adjustRightInd w:val="0"/>
        <w:snapToGrid w:val="0"/>
        <w:spacing w:line="360" w:lineRule="exact"/>
        <w:ind w:left="0" w:leftChars="0" w:firstLine="422" w:firstLineChars="200"/>
        <w:jc w:val="both"/>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十</w:t>
      </w:r>
      <w:r>
        <w:rPr>
          <w:rFonts w:hint="eastAsia" w:ascii="宋体" w:hAnsi="宋体" w:eastAsia="宋体" w:cs="宋体"/>
          <w:b/>
          <w:bCs/>
          <w:color w:val="auto"/>
          <w:sz w:val="21"/>
          <w:szCs w:val="21"/>
          <w:highlight w:val="none"/>
          <w:lang w:eastAsia="zh-CN"/>
        </w:rPr>
        <w:t>、</w:t>
      </w:r>
      <w:r>
        <w:rPr>
          <w:rFonts w:hint="eastAsia" w:ascii="宋体" w:hAnsi="宋体" w:cs="宋体"/>
          <w:color w:val="auto"/>
          <w:sz w:val="21"/>
          <w:szCs w:val="21"/>
          <w:highlight w:val="none"/>
          <w:lang w:eastAsia="zh-CN"/>
        </w:rPr>
        <w:t>采购人</w:t>
      </w:r>
      <w:r>
        <w:rPr>
          <w:rFonts w:hint="eastAsia" w:ascii="宋体" w:hAnsi="宋体" w:eastAsia="宋体" w:cs="宋体"/>
          <w:color w:val="auto"/>
          <w:sz w:val="21"/>
          <w:szCs w:val="21"/>
          <w:highlight w:val="none"/>
        </w:rPr>
        <w:t>将不承担</w:t>
      </w:r>
      <w:r>
        <w:rPr>
          <w:rFonts w:hint="eastAsia" w:ascii="宋体" w:hAnsi="宋体" w:cs="宋体"/>
          <w:color w:val="auto"/>
          <w:sz w:val="21"/>
          <w:szCs w:val="21"/>
          <w:highlight w:val="none"/>
          <w:lang w:val="en-US" w:eastAsia="zh-CN"/>
        </w:rPr>
        <w:t>参选</w:t>
      </w:r>
      <w:r>
        <w:rPr>
          <w:rFonts w:hint="eastAsia" w:ascii="宋体" w:hAnsi="宋体" w:eastAsia="宋体" w:cs="宋体"/>
          <w:color w:val="auto"/>
          <w:sz w:val="21"/>
          <w:szCs w:val="21"/>
          <w:highlight w:val="none"/>
        </w:rPr>
        <w:t>供应商准备响应文件和递交响应文件以及参加本次</w:t>
      </w:r>
      <w:r>
        <w:rPr>
          <w:rFonts w:hint="eastAsia" w:ascii="宋体" w:hAnsi="宋体" w:eastAsia="宋体" w:cs="宋体"/>
          <w:color w:val="auto"/>
          <w:sz w:val="21"/>
          <w:szCs w:val="21"/>
          <w:highlight w:val="none"/>
          <w:lang w:eastAsia="zh-CN"/>
        </w:rPr>
        <w:t>比选</w:t>
      </w:r>
      <w:r>
        <w:rPr>
          <w:rFonts w:hint="eastAsia" w:ascii="宋体" w:hAnsi="宋体" w:eastAsia="宋体" w:cs="宋体"/>
          <w:color w:val="auto"/>
          <w:sz w:val="21"/>
          <w:szCs w:val="21"/>
          <w:highlight w:val="none"/>
        </w:rPr>
        <w:t>活动所发生的任何成本或费用。</w:t>
      </w:r>
    </w:p>
    <w:p w14:paraId="43C3739E">
      <w:pPr>
        <w:keepNext w:val="0"/>
        <w:keepLines w:val="0"/>
        <w:pageBreakBefore w:val="0"/>
        <w:widowControl w:val="0"/>
        <w:kinsoku/>
        <w:wordWrap/>
        <w:overflowPunct/>
        <w:topLinePunct w:val="0"/>
        <w:bidi w:val="0"/>
        <w:adjustRightInd w:val="0"/>
        <w:snapToGrid w:val="0"/>
        <w:spacing w:line="360" w:lineRule="exact"/>
        <w:ind w:left="0" w:leftChars="0" w:firstLine="422" w:firstLineChars="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十</w:t>
      </w:r>
      <w:r>
        <w:rPr>
          <w:rFonts w:hint="eastAsia" w:ascii="宋体" w:hAnsi="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rPr>
        <w:t>、联系</w:t>
      </w:r>
      <w:r>
        <w:rPr>
          <w:rFonts w:hint="eastAsia" w:ascii="宋体" w:hAnsi="宋体" w:eastAsia="宋体" w:cs="宋体"/>
          <w:b/>
          <w:bCs/>
          <w:color w:val="auto"/>
          <w:sz w:val="21"/>
          <w:szCs w:val="21"/>
          <w:highlight w:val="none"/>
          <w:lang w:eastAsia="zh-CN"/>
        </w:rPr>
        <w:t>信息</w:t>
      </w:r>
    </w:p>
    <w:p w14:paraId="1F8006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leftChars="0" w:right="0" w:firstLine="367" w:firstLineChars="175"/>
        <w:jc w:val="left"/>
        <w:textAlignment w:val="auto"/>
        <w:rPr>
          <w:rFonts w:hint="default" w:ascii="宋体" w:hAnsi="宋体" w:eastAsia="宋体" w:cs="宋体"/>
          <w:sz w:val="21"/>
          <w:szCs w:val="21"/>
          <w:lang w:val="en-US"/>
        </w:rPr>
      </w:pP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一</w:t>
      </w: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采购人基本信息</w:t>
      </w:r>
    </w:p>
    <w:p w14:paraId="435A6D6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leftChars="0" w:right="0" w:firstLine="367" w:firstLineChars="175"/>
        <w:jc w:val="left"/>
        <w:textAlignment w:val="auto"/>
        <w:rPr>
          <w:rFonts w:hint="eastAsia" w:ascii="宋体" w:hAnsi="宋体" w:eastAsia="宋体" w:cs="宋体"/>
          <w:sz w:val="21"/>
          <w:szCs w:val="21"/>
        </w:rPr>
      </w:pPr>
      <w:r>
        <w:rPr>
          <w:rFonts w:hint="eastAsia" w:ascii="宋体" w:hAnsi="宋体" w:eastAsia="宋体" w:cs="宋体"/>
          <w:color w:val="000000"/>
          <w:sz w:val="21"/>
          <w:szCs w:val="21"/>
        </w:rPr>
        <w:t>名称：</w:t>
      </w:r>
      <w:r>
        <w:rPr>
          <w:rFonts w:hint="eastAsia" w:ascii="宋体" w:hAnsi="宋体" w:eastAsia="宋体" w:cs="宋体"/>
          <w:color w:val="000000"/>
          <w:sz w:val="21"/>
          <w:szCs w:val="21"/>
          <w:lang w:eastAsia="zh-CN"/>
        </w:rPr>
        <w:t>中山市板芙医院</w:t>
      </w:r>
    </w:p>
    <w:p w14:paraId="33B9F8A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leftChars="0" w:right="0" w:firstLine="367" w:firstLineChars="175"/>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地址：</w:t>
      </w:r>
      <w:r>
        <w:rPr>
          <w:rFonts w:hint="eastAsia" w:ascii="宋体" w:hAnsi="宋体" w:eastAsia="宋体" w:cs="宋体"/>
          <w:color w:val="000000"/>
          <w:sz w:val="21"/>
          <w:szCs w:val="21"/>
          <w:lang w:eastAsia="zh-CN"/>
        </w:rPr>
        <w:t>中山市板芙镇芙中路</w:t>
      </w:r>
      <w:r>
        <w:rPr>
          <w:rFonts w:hint="eastAsia" w:ascii="宋体" w:hAnsi="宋体" w:eastAsia="宋体" w:cs="宋体"/>
          <w:color w:val="000000"/>
          <w:sz w:val="21"/>
          <w:szCs w:val="21"/>
          <w:lang w:val="en-US" w:eastAsia="zh-CN"/>
        </w:rPr>
        <w:t>1号</w:t>
      </w:r>
    </w:p>
    <w:p w14:paraId="7F1F651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leftChars="0" w:right="0" w:firstLine="367" w:firstLineChars="175"/>
        <w:jc w:val="left"/>
        <w:textAlignment w:val="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联系</w:t>
      </w:r>
      <w:r>
        <w:rPr>
          <w:rFonts w:hint="eastAsia" w:ascii="宋体" w:hAnsi="宋体" w:eastAsia="宋体" w:cs="宋体"/>
          <w:color w:val="000000"/>
          <w:sz w:val="21"/>
          <w:szCs w:val="21"/>
          <w:lang w:eastAsia="zh-CN"/>
        </w:rPr>
        <w:t>人</w:t>
      </w:r>
      <w:r>
        <w:rPr>
          <w:rFonts w:hint="eastAsia" w:ascii="宋体" w:hAnsi="宋体" w:eastAsia="宋体" w:cs="宋体"/>
          <w:color w:val="000000"/>
          <w:sz w:val="21"/>
          <w:szCs w:val="21"/>
        </w:rPr>
        <w:t>：</w:t>
      </w:r>
      <w:r>
        <w:rPr>
          <w:rFonts w:hint="eastAsia" w:ascii="宋体" w:hAnsi="宋体" w:cs="宋体"/>
          <w:color w:val="000000"/>
          <w:sz w:val="21"/>
          <w:szCs w:val="21"/>
          <w:lang w:val="en-US" w:eastAsia="zh-CN"/>
        </w:rPr>
        <w:t>招采办杨小姐</w:t>
      </w:r>
    </w:p>
    <w:p w14:paraId="3108906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leftChars="0" w:right="0" w:firstLine="367" w:firstLineChars="175"/>
        <w:jc w:val="left"/>
        <w:textAlignment w:val="auto"/>
        <w:rPr>
          <w:rFonts w:hint="eastAsia" w:ascii="宋体" w:hAnsi="宋体" w:cs="宋体"/>
          <w:color w:val="000000"/>
          <w:sz w:val="21"/>
          <w:szCs w:val="21"/>
          <w:lang w:val="en-US" w:eastAsia="zh-CN"/>
        </w:rPr>
      </w:pPr>
      <w:r>
        <w:rPr>
          <w:rFonts w:hint="eastAsia" w:ascii="宋体" w:hAnsi="宋体" w:eastAsia="宋体" w:cs="宋体"/>
          <w:color w:val="000000"/>
          <w:sz w:val="21"/>
          <w:szCs w:val="21"/>
          <w:lang w:eastAsia="zh-CN"/>
        </w:rPr>
        <w:t>联系电话：</w:t>
      </w:r>
      <w:r>
        <w:rPr>
          <w:rFonts w:hint="eastAsia" w:ascii="宋体" w:hAnsi="宋体" w:eastAsia="宋体" w:cs="宋体"/>
          <w:color w:val="000000"/>
          <w:sz w:val="21"/>
          <w:szCs w:val="21"/>
          <w:lang w:val="en-US" w:eastAsia="zh-CN"/>
        </w:rPr>
        <w:t>0760-2821866</w:t>
      </w:r>
      <w:r>
        <w:rPr>
          <w:rFonts w:hint="eastAsia" w:ascii="宋体" w:hAnsi="宋体" w:cs="宋体"/>
          <w:color w:val="000000"/>
          <w:sz w:val="21"/>
          <w:szCs w:val="21"/>
          <w:lang w:val="en-US" w:eastAsia="zh-CN"/>
        </w:rPr>
        <w:t>2</w:t>
      </w:r>
    </w:p>
    <w:p w14:paraId="6E944E2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leftChars="0" w:right="0" w:firstLine="367" w:firstLineChars="175"/>
        <w:jc w:val="left"/>
        <w:textAlignment w:val="auto"/>
        <w:rPr>
          <w:rFonts w:hint="eastAsia" w:ascii="宋体" w:hAnsi="宋体" w:eastAsia="宋体" w:cs="宋体"/>
          <w:color w:val="000000"/>
          <w:sz w:val="21"/>
          <w:szCs w:val="21"/>
        </w:rPr>
      </w:pP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二</w:t>
      </w:r>
      <w:r>
        <w:rPr>
          <w:rFonts w:hint="eastAsia" w:ascii="宋体" w:hAnsi="宋体" w:cs="宋体"/>
          <w:color w:val="000000"/>
          <w:sz w:val="21"/>
          <w:szCs w:val="21"/>
          <w:lang w:eastAsia="zh-CN"/>
        </w:rPr>
        <w:t>）</w:t>
      </w:r>
      <w:r>
        <w:rPr>
          <w:rFonts w:hint="eastAsia" w:ascii="宋体" w:hAnsi="宋体" w:eastAsia="宋体" w:cs="宋体"/>
          <w:color w:val="000000"/>
          <w:sz w:val="21"/>
          <w:szCs w:val="21"/>
        </w:rPr>
        <w:t>监督投诉</w:t>
      </w:r>
    </w:p>
    <w:p w14:paraId="0B7A107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leftChars="0" w:right="0" w:firstLine="367" w:firstLineChars="175"/>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名称：纪检</w:t>
      </w:r>
      <w:r>
        <w:rPr>
          <w:rFonts w:hint="eastAsia" w:ascii="宋体" w:hAnsi="宋体" w:cs="宋体"/>
          <w:color w:val="000000"/>
          <w:sz w:val="21"/>
          <w:szCs w:val="21"/>
          <w:lang w:val="en-US" w:eastAsia="zh-CN"/>
        </w:rPr>
        <w:t>室</w:t>
      </w:r>
    </w:p>
    <w:p w14:paraId="755AAE02">
      <w:pPr>
        <w:keepNext w:val="0"/>
        <w:keepLines w:val="0"/>
        <w:pageBreakBefore w:val="0"/>
        <w:kinsoku/>
        <w:wordWrap/>
        <w:overflowPunct/>
        <w:topLinePunct w:val="0"/>
        <w:bidi w:val="0"/>
        <w:spacing w:line="360" w:lineRule="exact"/>
        <w:ind w:left="0" w:leftChars="0" w:firstLine="420" w:firstLineChars="200"/>
        <w:jc w:val="both"/>
        <w:rPr>
          <w:rFonts w:hint="eastAsia" w:ascii="宋体" w:hAnsi="宋体" w:cs="宋体"/>
          <w:color w:val="000000"/>
          <w:sz w:val="21"/>
          <w:szCs w:val="21"/>
          <w:lang w:val="en-US" w:eastAsia="zh-CN"/>
        </w:rPr>
      </w:pPr>
      <w:r>
        <w:rPr>
          <w:rFonts w:hint="eastAsia" w:ascii="宋体" w:hAnsi="宋体" w:eastAsia="宋体" w:cs="宋体"/>
          <w:color w:val="000000"/>
          <w:sz w:val="21"/>
          <w:szCs w:val="21"/>
          <w:lang w:eastAsia="zh-CN"/>
        </w:rPr>
        <w:t>联系</w:t>
      </w:r>
      <w:r>
        <w:rPr>
          <w:rFonts w:hint="eastAsia" w:ascii="宋体" w:hAnsi="宋体" w:eastAsia="宋体" w:cs="宋体"/>
          <w:color w:val="000000"/>
          <w:sz w:val="21"/>
          <w:szCs w:val="21"/>
        </w:rPr>
        <w:t>电话：</w:t>
      </w:r>
      <w:r>
        <w:rPr>
          <w:rFonts w:hint="eastAsia" w:ascii="宋体" w:hAnsi="宋体" w:eastAsia="宋体" w:cs="宋体"/>
          <w:color w:val="000000"/>
          <w:sz w:val="21"/>
          <w:szCs w:val="21"/>
          <w:lang w:val="en-US" w:eastAsia="zh-CN"/>
        </w:rPr>
        <w:t>0760-282186</w:t>
      </w:r>
      <w:r>
        <w:rPr>
          <w:rFonts w:hint="eastAsia" w:ascii="宋体" w:hAnsi="宋体" w:cs="宋体"/>
          <w:color w:val="000000"/>
          <w:sz w:val="21"/>
          <w:szCs w:val="21"/>
          <w:lang w:val="en-US" w:eastAsia="zh-CN"/>
        </w:rPr>
        <w:t>59</w:t>
      </w:r>
    </w:p>
    <w:p w14:paraId="6D4EBE6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leftChars="0" w:right="0" w:firstLine="367" w:firstLineChars="175"/>
        <w:jc w:val="left"/>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如对本公告内容有异议，请在参选文件递交截止时间之前以书面方式提出，逾期不予受理。</w:t>
      </w:r>
    </w:p>
    <w:p w14:paraId="5905438D">
      <w:pPr>
        <w:keepNext w:val="0"/>
        <w:keepLines w:val="0"/>
        <w:pageBreakBefore w:val="0"/>
        <w:kinsoku/>
        <w:wordWrap/>
        <w:overflowPunct/>
        <w:topLinePunct w:val="0"/>
        <w:bidi w:val="0"/>
        <w:spacing w:line="360" w:lineRule="exact"/>
        <w:ind w:left="0" w:leftChars="0" w:firstLine="420" w:firstLineChars="200"/>
        <w:jc w:val="both"/>
        <w:rPr>
          <w:rFonts w:hint="default" w:ascii="宋体" w:hAnsi="宋体" w:cs="宋体"/>
          <w:b w:val="0"/>
          <w:bCs/>
          <w:color w:val="auto"/>
          <w:sz w:val="21"/>
          <w:szCs w:val="21"/>
          <w:highlight w:val="none"/>
          <w:lang w:val="en-US" w:eastAsia="zh-CN"/>
        </w:rPr>
      </w:pPr>
    </w:p>
    <w:p w14:paraId="6EE192EC">
      <w:pPr>
        <w:keepNext w:val="0"/>
        <w:keepLines w:val="0"/>
        <w:pageBreakBefore w:val="0"/>
        <w:kinsoku/>
        <w:overflowPunct/>
        <w:topLinePunct w:val="0"/>
        <w:bidi w:val="0"/>
        <w:spacing w:line="360" w:lineRule="exact"/>
        <w:rPr>
          <w:rFonts w:hint="eastAsia" w:ascii="宋体" w:hAnsi="宋体" w:eastAsia="宋体" w:cs="宋体"/>
          <w:sz w:val="21"/>
          <w:szCs w:val="21"/>
        </w:rPr>
      </w:pPr>
    </w:p>
    <w:p w14:paraId="70C575D8">
      <w:pPr>
        <w:keepNext w:val="0"/>
        <w:keepLines w:val="0"/>
        <w:pageBreakBefore w:val="0"/>
        <w:kinsoku/>
        <w:overflowPunct/>
        <w:topLinePunct w:val="0"/>
        <w:bidi w:val="0"/>
        <w:spacing w:line="360" w:lineRule="exact"/>
        <w:rPr>
          <w:rFonts w:hint="eastAsia" w:ascii="宋体" w:hAnsi="宋体" w:eastAsia="宋体" w:cs="宋体"/>
          <w:sz w:val="21"/>
          <w:szCs w:val="21"/>
        </w:rPr>
      </w:pPr>
    </w:p>
    <w:p w14:paraId="199496C4">
      <w:pPr>
        <w:keepNext w:val="0"/>
        <w:keepLines w:val="0"/>
        <w:pageBreakBefore w:val="0"/>
        <w:kinsoku/>
        <w:overflowPunct/>
        <w:topLinePunct w:val="0"/>
        <w:bidi w:val="0"/>
        <w:spacing w:line="360" w:lineRule="exact"/>
        <w:rPr>
          <w:rFonts w:hint="eastAsia" w:ascii="宋体" w:hAnsi="宋体" w:eastAsia="宋体" w:cs="宋体"/>
          <w:sz w:val="21"/>
          <w:szCs w:val="21"/>
        </w:rPr>
      </w:pPr>
    </w:p>
    <w:p w14:paraId="5E1B42E3">
      <w:pPr>
        <w:keepNext w:val="0"/>
        <w:keepLines w:val="0"/>
        <w:pageBreakBefore w:val="0"/>
        <w:kinsoku/>
        <w:overflowPunct/>
        <w:topLinePunct w:val="0"/>
        <w:bidi w:val="0"/>
        <w:spacing w:line="360" w:lineRule="exact"/>
        <w:rPr>
          <w:rFonts w:hint="eastAsia" w:ascii="宋体" w:hAnsi="宋体" w:eastAsia="宋体" w:cs="宋体"/>
          <w:sz w:val="21"/>
          <w:szCs w:val="21"/>
        </w:rPr>
      </w:pPr>
    </w:p>
    <w:p w14:paraId="45D24521">
      <w:pPr>
        <w:keepNext w:val="0"/>
        <w:keepLines w:val="0"/>
        <w:pageBreakBefore w:val="0"/>
        <w:kinsoku/>
        <w:overflowPunct/>
        <w:topLinePunct w:val="0"/>
        <w:bidi w:val="0"/>
        <w:spacing w:line="360" w:lineRule="exact"/>
        <w:rPr>
          <w:rFonts w:hint="eastAsia" w:ascii="宋体" w:hAnsi="宋体" w:eastAsia="宋体" w:cs="宋体"/>
          <w:sz w:val="21"/>
          <w:szCs w:val="21"/>
        </w:rPr>
      </w:pPr>
    </w:p>
    <w:p w14:paraId="03D17AC0">
      <w:pPr>
        <w:keepNext w:val="0"/>
        <w:keepLines w:val="0"/>
        <w:pageBreakBefore w:val="0"/>
        <w:kinsoku/>
        <w:overflowPunct/>
        <w:topLinePunct w:val="0"/>
        <w:bidi w:val="0"/>
        <w:spacing w:line="360" w:lineRule="exact"/>
        <w:rPr>
          <w:rFonts w:hint="eastAsia" w:ascii="宋体" w:hAnsi="宋体" w:eastAsia="宋体" w:cs="宋体"/>
          <w:sz w:val="21"/>
          <w:szCs w:val="21"/>
        </w:rPr>
      </w:pPr>
    </w:p>
    <w:p w14:paraId="0E66E663">
      <w:pPr>
        <w:keepNext w:val="0"/>
        <w:keepLines w:val="0"/>
        <w:pageBreakBefore w:val="0"/>
        <w:kinsoku/>
        <w:overflowPunct/>
        <w:topLinePunct w:val="0"/>
        <w:bidi w:val="0"/>
        <w:spacing w:line="360" w:lineRule="exact"/>
        <w:rPr>
          <w:rFonts w:hint="eastAsia" w:ascii="宋体" w:hAnsi="宋体" w:eastAsia="宋体" w:cs="宋体"/>
          <w:sz w:val="21"/>
          <w:szCs w:val="21"/>
        </w:rPr>
      </w:pPr>
    </w:p>
    <w:p w14:paraId="30661C8B">
      <w:pPr>
        <w:keepNext w:val="0"/>
        <w:keepLines w:val="0"/>
        <w:pageBreakBefore w:val="0"/>
        <w:kinsoku/>
        <w:overflowPunct/>
        <w:topLinePunct w:val="0"/>
        <w:bidi w:val="0"/>
        <w:spacing w:line="360" w:lineRule="exact"/>
        <w:rPr>
          <w:rFonts w:hint="eastAsia" w:ascii="宋体" w:hAnsi="宋体" w:eastAsia="宋体" w:cs="宋体"/>
          <w:sz w:val="21"/>
          <w:szCs w:val="21"/>
        </w:rPr>
      </w:pPr>
    </w:p>
    <w:sectPr>
      <w:headerReference r:id="rId3" w:type="default"/>
      <w:footerReference r:id="rId4" w:type="default"/>
      <w:pgSz w:w="11906" w:h="16838"/>
      <w:pgMar w:top="1134" w:right="1417" w:bottom="1134"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15C46">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9A9C3A">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C9A9C3A">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4B6D5">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65D304"/>
    <w:multiLevelType w:val="singleLevel"/>
    <w:tmpl w:val="C365D304"/>
    <w:lvl w:ilvl="0" w:tentative="0">
      <w:start w:val="1"/>
      <w:numFmt w:val="chineseCounting"/>
      <w:suff w:val="nothing"/>
      <w:lvlText w:val="（%1）"/>
      <w:lvlJc w:val="left"/>
      <w:pPr>
        <w:ind w:left="0" w:firstLine="420"/>
      </w:pPr>
      <w:rPr>
        <w:rFonts w:hint="eastAsia"/>
      </w:rPr>
    </w:lvl>
  </w:abstractNum>
  <w:abstractNum w:abstractNumId="1">
    <w:nsid w:val="25AC67AC"/>
    <w:multiLevelType w:val="singleLevel"/>
    <w:tmpl w:val="25AC67AC"/>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cyNTNhM2Y5OTY0OTJhYTI5NDdhNDQzYjZhODJkNTQifQ=="/>
  </w:docVars>
  <w:rsids>
    <w:rsidRoot w:val="00C87466"/>
    <w:rsid w:val="003E5403"/>
    <w:rsid w:val="00544619"/>
    <w:rsid w:val="00BB6416"/>
    <w:rsid w:val="00C87466"/>
    <w:rsid w:val="0120118E"/>
    <w:rsid w:val="013C7F41"/>
    <w:rsid w:val="01B93CB3"/>
    <w:rsid w:val="020A5FE5"/>
    <w:rsid w:val="02AD51D0"/>
    <w:rsid w:val="067601CC"/>
    <w:rsid w:val="074F28CD"/>
    <w:rsid w:val="075A0C9C"/>
    <w:rsid w:val="075D0E74"/>
    <w:rsid w:val="07742E26"/>
    <w:rsid w:val="088C3CD7"/>
    <w:rsid w:val="08B42162"/>
    <w:rsid w:val="0A552405"/>
    <w:rsid w:val="0B105E8F"/>
    <w:rsid w:val="0B425501"/>
    <w:rsid w:val="0B5A71A0"/>
    <w:rsid w:val="0DA27AF9"/>
    <w:rsid w:val="0DCC347C"/>
    <w:rsid w:val="0F411E6B"/>
    <w:rsid w:val="0F843B2A"/>
    <w:rsid w:val="10FD2C30"/>
    <w:rsid w:val="11F2677F"/>
    <w:rsid w:val="120A5047"/>
    <w:rsid w:val="14764E12"/>
    <w:rsid w:val="15A47E31"/>
    <w:rsid w:val="16AF68E3"/>
    <w:rsid w:val="173C0274"/>
    <w:rsid w:val="17AD667F"/>
    <w:rsid w:val="18F37183"/>
    <w:rsid w:val="19447D23"/>
    <w:rsid w:val="19C23FFF"/>
    <w:rsid w:val="1B52693D"/>
    <w:rsid w:val="1C1F77F3"/>
    <w:rsid w:val="1CA3450A"/>
    <w:rsid w:val="1D1A254A"/>
    <w:rsid w:val="1DAB3FD6"/>
    <w:rsid w:val="20FF1B2F"/>
    <w:rsid w:val="21316930"/>
    <w:rsid w:val="219C3D3D"/>
    <w:rsid w:val="21E441D2"/>
    <w:rsid w:val="241A2687"/>
    <w:rsid w:val="243F400F"/>
    <w:rsid w:val="253202CD"/>
    <w:rsid w:val="26FF2618"/>
    <w:rsid w:val="2810104B"/>
    <w:rsid w:val="282652CF"/>
    <w:rsid w:val="2A524C38"/>
    <w:rsid w:val="2B8336DB"/>
    <w:rsid w:val="2E6A0991"/>
    <w:rsid w:val="318A2084"/>
    <w:rsid w:val="32301FF4"/>
    <w:rsid w:val="32862630"/>
    <w:rsid w:val="33AD6EE0"/>
    <w:rsid w:val="33C31108"/>
    <w:rsid w:val="34D81478"/>
    <w:rsid w:val="3A165106"/>
    <w:rsid w:val="3A822C5D"/>
    <w:rsid w:val="3AEB754D"/>
    <w:rsid w:val="3BBA3E6F"/>
    <w:rsid w:val="3C875F31"/>
    <w:rsid w:val="3DD70A23"/>
    <w:rsid w:val="410F24F8"/>
    <w:rsid w:val="41B868E9"/>
    <w:rsid w:val="429D4B61"/>
    <w:rsid w:val="4667066F"/>
    <w:rsid w:val="488A14A0"/>
    <w:rsid w:val="48B14A50"/>
    <w:rsid w:val="49326564"/>
    <w:rsid w:val="4ACD0CF8"/>
    <w:rsid w:val="4AE91161"/>
    <w:rsid w:val="4BCE02E1"/>
    <w:rsid w:val="4D784A7B"/>
    <w:rsid w:val="4F183C27"/>
    <w:rsid w:val="4FA2515B"/>
    <w:rsid w:val="4FEB151E"/>
    <w:rsid w:val="51DA0BDC"/>
    <w:rsid w:val="51DE39B0"/>
    <w:rsid w:val="522F7C05"/>
    <w:rsid w:val="52D05187"/>
    <w:rsid w:val="53BE1870"/>
    <w:rsid w:val="540C3F99"/>
    <w:rsid w:val="54850CFE"/>
    <w:rsid w:val="557E41CD"/>
    <w:rsid w:val="560857B6"/>
    <w:rsid w:val="570F19E0"/>
    <w:rsid w:val="572B2DFA"/>
    <w:rsid w:val="57A26C6F"/>
    <w:rsid w:val="57A47613"/>
    <w:rsid w:val="5966506E"/>
    <w:rsid w:val="59761BA9"/>
    <w:rsid w:val="5A561E26"/>
    <w:rsid w:val="5B8247AD"/>
    <w:rsid w:val="5DDA7107"/>
    <w:rsid w:val="5E3A6528"/>
    <w:rsid w:val="5E4647B1"/>
    <w:rsid w:val="5FA04E1F"/>
    <w:rsid w:val="5FC6594D"/>
    <w:rsid w:val="62503D99"/>
    <w:rsid w:val="631B1778"/>
    <w:rsid w:val="642705C1"/>
    <w:rsid w:val="64313601"/>
    <w:rsid w:val="65933B9B"/>
    <w:rsid w:val="674D5AB6"/>
    <w:rsid w:val="676D3727"/>
    <w:rsid w:val="67C361BD"/>
    <w:rsid w:val="67CF408D"/>
    <w:rsid w:val="69D1193E"/>
    <w:rsid w:val="6AD80A32"/>
    <w:rsid w:val="6B8E7F8D"/>
    <w:rsid w:val="70C54A6B"/>
    <w:rsid w:val="71465789"/>
    <w:rsid w:val="71B92164"/>
    <w:rsid w:val="720D0AC1"/>
    <w:rsid w:val="721D6DAF"/>
    <w:rsid w:val="728C5C5D"/>
    <w:rsid w:val="73314E5B"/>
    <w:rsid w:val="74C9421C"/>
    <w:rsid w:val="760A3CB4"/>
    <w:rsid w:val="77456506"/>
    <w:rsid w:val="795559D4"/>
    <w:rsid w:val="7E540BF3"/>
    <w:rsid w:val="7E5F029D"/>
    <w:rsid w:val="7EFE1AFE"/>
    <w:rsid w:val="7F5525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1"/>
      <w:lang w:val="en-US" w:eastAsia="zh-CN" w:bidi="ar-SA"/>
    </w:rPr>
  </w:style>
  <w:style w:type="paragraph" w:styleId="3">
    <w:name w:val="heading 1"/>
    <w:basedOn w:val="1"/>
    <w:next w:val="1"/>
    <w:qFormat/>
    <w:uiPriority w:val="0"/>
    <w:pPr>
      <w:keepNext/>
      <w:keepLines/>
      <w:widowControl w:val="0"/>
      <w:tabs>
        <w:tab w:val="left" w:pos="840"/>
      </w:tabs>
      <w:adjustRightInd w:val="0"/>
      <w:snapToGrid w:val="0"/>
      <w:spacing w:before="240" w:line="300" w:lineRule="auto"/>
      <w:jc w:val="center"/>
      <w:outlineLvl w:val="0"/>
    </w:pPr>
    <w:rPr>
      <w:rFonts w:ascii="宋体" w:hAnsi="宋体"/>
      <w:kern w:val="44"/>
      <w:sz w:val="36"/>
      <w:szCs w:val="36"/>
    </w:rPr>
  </w:style>
  <w:style w:type="paragraph" w:styleId="4">
    <w:name w:val="heading 4"/>
    <w:basedOn w:val="1"/>
    <w:next w:val="1"/>
    <w:qFormat/>
    <w:uiPriority w:val="0"/>
    <w:pPr>
      <w:widowControl w:val="0"/>
      <w:tabs>
        <w:tab w:val="left" w:pos="864"/>
      </w:tabs>
      <w:autoSpaceDE w:val="0"/>
      <w:autoSpaceDN w:val="0"/>
      <w:adjustRightInd w:val="0"/>
      <w:snapToGrid w:val="0"/>
      <w:spacing w:line="360" w:lineRule="auto"/>
      <w:ind w:left="864" w:hanging="864"/>
      <w:jc w:val="both"/>
      <w:outlineLvl w:val="3"/>
    </w:pPr>
    <w:rPr>
      <w:rFonts w:ascii="宋体" w:hAnsi="Arial"/>
      <w:snapToGrid w:val="0"/>
      <w:color w:val="000000"/>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5">
    <w:name w:val="Normal Indent"/>
    <w:basedOn w:val="1"/>
    <w:qFormat/>
    <w:uiPriority w:val="0"/>
    <w:pPr>
      <w:ind w:firstLine="420" w:firstLineChars="200"/>
    </w:pPr>
  </w:style>
  <w:style w:type="paragraph" w:styleId="6">
    <w:name w:val="toa heading"/>
    <w:basedOn w:val="1"/>
    <w:next w:val="1"/>
    <w:qFormat/>
    <w:uiPriority w:val="0"/>
    <w:pPr>
      <w:spacing w:before="120" w:beforeLines="0" w:beforeAutospacing="0"/>
    </w:pPr>
    <w:rPr>
      <w:rFonts w:ascii="Arial" w:hAnsi="Arial"/>
      <w:sz w:val="24"/>
    </w:rPr>
  </w:style>
  <w:style w:type="paragraph" w:styleId="7">
    <w:name w:val="annotation text"/>
    <w:basedOn w:val="1"/>
    <w:qFormat/>
    <w:uiPriority w:val="0"/>
    <w:pPr>
      <w:jc w:val="left"/>
    </w:pPr>
  </w:style>
  <w:style w:type="paragraph" w:styleId="8">
    <w:name w:val="Body Text"/>
    <w:basedOn w:val="1"/>
    <w:next w:val="1"/>
    <w:qFormat/>
    <w:uiPriority w:val="0"/>
    <w:pPr>
      <w:widowControl w:val="0"/>
      <w:jc w:val="both"/>
    </w:pPr>
    <w:rPr>
      <w:kern w:val="2"/>
      <w:sz w:val="28"/>
    </w:rPr>
  </w:style>
  <w:style w:type="paragraph" w:styleId="9">
    <w:name w:val="List 2"/>
    <w:basedOn w:val="1"/>
    <w:qFormat/>
    <w:uiPriority w:val="0"/>
    <w:pPr>
      <w:ind w:left="100" w:leftChars="200" w:hanging="200" w:hangingChars="200"/>
    </w:pPr>
  </w:style>
  <w:style w:type="paragraph" w:styleId="10">
    <w:name w:val="toc 5"/>
    <w:basedOn w:val="1"/>
    <w:next w:val="1"/>
    <w:qFormat/>
    <w:uiPriority w:val="39"/>
    <w:pPr>
      <w:widowControl w:val="0"/>
      <w:ind w:left="1680"/>
      <w:jc w:val="both"/>
    </w:pPr>
    <w:rPr>
      <w:kern w:val="2"/>
    </w:rPr>
  </w:style>
  <w:style w:type="paragraph" w:styleId="11">
    <w:name w:val="footer"/>
    <w:basedOn w:val="1"/>
    <w:qFormat/>
    <w:uiPriority w:val="0"/>
    <w:pPr>
      <w:tabs>
        <w:tab w:val="center" w:pos="4153"/>
        <w:tab w:val="right" w:pos="8306"/>
      </w:tabs>
      <w:snapToGrid w:val="0"/>
    </w:pPr>
    <w:rPr>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4">
    <w:name w:val="index 1"/>
    <w:basedOn w:val="1"/>
    <w:next w:val="1"/>
    <w:unhideWhenUsed/>
    <w:qFormat/>
    <w:uiPriority w:val="0"/>
  </w:style>
  <w:style w:type="paragraph" w:styleId="15">
    <w:name w:val="Title"/>
    <w:basedOn w:val="9"/>
    <w:next w:val="1"/>
    <w:qFormat/>
    <w:uiPriority w:val="0"/>
    <w:pPr>
      <w:widowControl w:val="0"/>
      <w:spacing w:before="240" w:after="60"/>
      <w:jc w:val="center"/>
      <w:outlineLvl w:val="0"/>
    </w:pPr>
    <w:rPr>
      <w:rFonts w:ascii="Cambria" w:hAnsi="Cambria"/>
      <w:b/>
      <w:bCs/>
      <w:kern w:val="2"/>
      <w:sz w:val="32"/>
      <w:szCs w:val="32"/>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character" w:styleId="20">
    <w:name w:val="Hyperlink"/>
    <w:basedOn w:val="18"/>
    <w:qFormat/>
    <w:uiPriority w:val="0"/>
    <w:rPr>
      <w:color w:val="0000FF"/>
      <w:u w:val="single"/>
    </w:rPr>
  </w:style>
  <w:style w:type="paragraph" w:customStyle="1" w:styleId="21">
    <w:name w:val="正文首行缩进1"/>
    <w:basedOn w:val="8"/>
    <w:qFormat/>
    <w:uiPriority w:val="2457"/>
    <w:pPr>
      <w:spacing w:before="0" w:after="120" w:line="240" w:lineRule="auto"/>
      <w:ind w:left="0" w:right="0" w:firstLine="100"/>
    </w:pPr>
    <w:rPr>
      <w:szCs w:val="24"/>
    </w:rPr>
  </w:style>
  <w:style w:type="paragraph" w:customStyle="1" w:styleId="22">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3">
    <w:name w:val="Table Paragraph"/>
    <w:basedOn w:val="1"/>
    <w:qFormat/>
    <w:uiPriority w:val="1"/>
    <w:rPr>
      <w:rFonts w:ascii="宋体" w:hAnsi="宋体" w:eastAsia="宋体" w:cs="宋体"/>
      <w:lang w:val="zh-CN" w:eastAsia="zh-CN" w:bidi="zh-CN"/>
    </w:rPr>
  </w:style>
  <w:style w:type="paragraph" w:customStyle="1" w:styleId="24">
    <w:name w:val="Table Text"/>
    <w:basedOn w:val="1"/>
    <w:semiHidden/>
    <w:qFormat/>
    <w:uiPriority w:val="0"/>
    <w:rPr>
      <w:rFonts w:ascii="仿宋" w:hAnsi="仿宋" w:eastAsia="仿宋" w:cs="仿宋"/>
      <w:sz w:val="28"/>
      <w:szCs w:val="28"/>
      <w:lang w:val="en-US" w:eastAsia="en-US" w:bidi="ar-SA"/>
    </w:rPr>
  </w:style>
  <w:style w:type="table" w:customStyle="1" w:styleId="25">
    <w:name w:val="Table Normal"/>
    <w:unhideWhenUsed/>
    <w:qFormat/>
    <w:uiPriority w:val="0"/>
    <w:tblPr>
      <w:tblCellMar>
        <w:top w:w="0" w:type="dxa"/>
        <w:left w:w="0" w:type="dxa"/>
        <w:bottom w:w="0" w:type="dxa"/>
        <w:right w:w="0" w:type="dxa"/>
      </w:tblCellMar>
    </w:tblPr>
  </w:style>
  <w:style w:type="paragraph" w:customStyle="1" w:styleId="2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2968</Words>
  <Characters>3139</Characters>
  <Lines>0</Lines>
  <Paragraphs>0</Paragraphs>
  <TotalTime>45</TotalTime>
  <ScaleCrop>false</ScaleCrop>
  <LinksUpToDate>false</LinksUpToDate>
  <CharactersWithSpaces>3157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2023-11-10T09:42:00Z</dcterms:created>
  <dc:creator>秋秋秋秋</dc:creator>
  <cp:lastModifiedBy>мìττý</cp:lastModifiedBy>
  <cp:lastPrinted>2025-08-25T09:00:00Z</cp:lastPrinted>
  <dcterms:modified xsi:type="dcterms:W3CDTF">2026-09-02T09:22:58Z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09ECCB05D3B74FB9857E198F7286EE9B_13</vt:lpwstr>
  </property>
  <property fmtid="{D5CDD505-2E9C-101B-9397-08002B2CF9AE}" pid="4" name="KSOTemplateDocerSaveRecord">
    <vt:lpwstr>eyJoZGlkIjoiM2UzZjQwNWRhOTQyYzZlZTQyOGMyZDUxNjRkOTE4ODciLCJ1c2VySWQiOiIzMzc0NDkxODMifQ==</vt:lpwstr>
  </property>
</Properties>
</file>