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DE7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jc w:val="center"/>
        <w:textAlignment w:val="baseline"/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</w:pPr>
      <w:r>
        <w:rPr>
          <w:rFonts w:hint="eastAsia" w:ascii="Times New Roman" w:eastAsia="方正小标宋简体" w:cs="Times New Roman"/>
          <w:b w:val="0"/>
          <w:bCs w:val="0"/>
          <w:color w:val="auto"/>
          <w:spacing w:val="-6"/>
          <w:w w:val="100"/>
          <w:kern w:val="0"/>
          <w:sz w:val="44"/>
          <w:szCs w:val="44"/>
          <w:highlight w:val="none"/>
          <w:lang w:val="en-US" w:eastAsia="zh-CN"/>
        </w:rPr>
        <w:t>关于石岐街道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w w:val="100"/>
          <w:kern w:val="0"/>
          <w:sz w:val="44"/>
          <w:szCs w:val="44"/>
          <w:highlight w:val="none"/>
          <w:lang w:eastAsia="zh-CN"/>
        </w:rPr>
        <w:t>202</w:t>
      </w:r>
      <w:r>
        <w:rPr>
          <w:rFonts w:hint="eastAsia" w:ascii="Times New Roman" w:eastAsia="方正小标宋简体" w:cs="Times New Roman"/>
          <w:b w:val="0"/>
          <w:bCs w:val="0"/>
          <w:color w:val="auto"/>
          <w:spacing w:val="-6"/>
          <w:w w:val="100"/>
          <w:kern w:val="0"/>
          <w:sz w:val="44"/>
          <w:szCs w:val="44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w w:val="100"/>
          <w:kern w:val="0"/>
          <w:sz w:val="44"/>
          <w:szCs w:val="44"/>
          <w:highlight w:val="none"/>
          <w:lang w:eastAsia="zh-CN"/>
        </w:rPr>
        <w:t>年</w:t>
      </w:r>
      <w:r>
        <w:rPr>
          <w:rFonts w:hint="eastAsia" w:ascii="Times New Roman" w:eastAsia="方正小标宋简体" w:cs="Times New Roman"/>
          <w:b w:val="0"/>
          <w:bCs w:val="0"/>
          <w:color w:val="auto"/>
          <w:spacing w:val="-6"/>
          <w:w w:val="100"/>
          <w:kern w:val="0"/>
          <w:sz w:val="44"/>
          <w:szCs w:val="44"/>
          <w:highlight w:val="none"/>
          <w:lang w:val="en-US" w:eastAsia="zh-CN"/>
        </w:rPr>
        <w:t>财政决算的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w w:val="100"/>
          <w:kern w:val="0"/>
          <w:sz w:val="44"/>
          <w:szCs w:val="44"/>
          <w:highlight w:val="none"/>
        </w:rPr>
        <w:t>报告</w:t>
      </w:r>
    </w:p>
    <w:p w14:paraId="2E468A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baseline"/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</w:pPr>
    </w:p>
    <w:p w14:paraId="2FB9A73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baseline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eastAsia" w:ascii="Times New Roman" w:hAnsi="Times New Roman"/>
          <w:kern w:val="0"/>
          <w:sz w:val="32"/>
          <w:szCs w:val="32"/>
          <w:highlight w:val="none"/>
          <w:lang w:val="en-US" w:eastAsia="zh-CN"/>
        </w:rPr>
        <w:t>2025年，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石岐街道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坚持以习近平新时代中国特色社会主义思想为指导，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全面贯彻落实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党的二十大</w:t>
      </w:r>
      <w:r>
        <w:rPr>
          <w:rFonts w:hint="eastAsia" w:ascii="Times New Roman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二十届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历次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全会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以及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val="en-US" w:eastAsia="zh-CN"/>
        </w:rPr>
        <w:t>中央经济工作会议精神，</w:t>
      </w:r>
      <w:r>
        <w:rPr>
          <w:rFonts w:hint="eastAsia" w:ascii="Times New Roman" w:hAnsi="Times New Roman"/>
          <w:kern w:val="0"/>
          <w:sz w:val="32"/>
          <w:szCs w:val="32"/>
          <w:highlight w:val="none"/>
          <w:lang w:val="en-US" w:eastAsia="zh-CN"/>
        </w:rPr>
        <w:t>深入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学习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val="en-US" w:eastAsia="zh-CN"/>
        </w:rPr>
        <w:t>贯彻习近平总书记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视察广东和出席第十五届全国运动会开幕式重要讲话重要指示精神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按照省委</w:t>
      </w:r>
      <w:r>
        <w:rPr>
          <w:rFonts w:hint="eastAsia" w:ascii="Times New Roman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1310</w:t>
      </w:r>
      <w:r>
        <w:rPr>
          <w:rFonts w:hint="eastAsia" w:ascii="Times New Roman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具体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部署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和市委“13388”行动安排，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进一步全面深化改革，举全街道之力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落实“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百千万工程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”三年初见成效的目标要求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锚定“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香山原点、总部高地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”的定位，持续发力做好石岐“两旧一新”文章，紧锣密鼓、紧抓快干</w:t>
      </w:r>
      <w:r>
        <w:rPr>
          <w:rFonts w:hint="eastAsia" w:ascii="Times New Roman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六大行动</w:t>
      </w:r>
      <w:r>
        <w:rPr>
          <w:rFonts w:hint="eastAsia" w:ascii="Times New Roman"/>
          <w:kern w:val="0"/>
          <w:sz w:val="32"/>
          <w:szCs w:val="32"/>
          <w:highlight w:val="none"/>
          <w:lang w:eastAsia="zh-CN"/>
        </w:rPr>
        <w:t>”，</w:t>
      </w:r>
      <w:r>
        <w:rPr>
          <w:rFonts w:hint="eastAsia" w:ascii="Times New Roman"/>
          <w:kern w:val="0"/>
          <w:sz w:val="32"/>
          <w:szCs w:val="32"/>
          <w:highlight w:val="none"/>
          <w:lang w:val="en-US" w:eastAsia="zh-CN"/>
        </w:rPr>
        <w:t>高质量完成“十四五”规划目标任务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现将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石岐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eastAsia="zh-CN"/>
        </w:rPr>
        <w:t>街道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202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预算执行情况报告如下：</w:t>
      </w:r>
    </w:p>
    <w:p w14:paraId="5ECE1E5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outlineLvl w:val="0"/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一、全</w:t>
      </w: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  <w:lang w:eastAsia="zh-CN"/>
        </w:rPr>
        <w:t>街道</w:t>
      </w: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财政收支完成情况</w:t>
      </w:r>
    </w:p>
    <w:p w14:paraId="2FBA0A3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154" w:leftChars="50" w:firstLine="462" w:firstLineChars="150"/>
        <w:jc w:val="left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</w:rPr>
        <w:t>（一）</w:t>
      </w:r>
      <w:r>
        <w:rPr>
          <w:rFonts w:hint="eastAsia" w:ascii="Times New Roman" w:eastAsia="楷体_GB2312" w:cs="Times New Roman"/>
          <w:b w:val="0"/>
          <w:bCs/>
          <w:color w:val="auto"/>
          <w:kern w:val="0"/>
          <w:szCs w:val="32"/>
          <w:highlight w:val="none"/>
          <w:lang w:val="en-US" w:eastAsia="zh-CN"/>
        </w:rPr>
        <w:t>2025年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</w:rPr>
        <w:t>财政收入执行情况。</w:t>
      </w:r>
    </w:p>
    <w:p w14:paraId="34439A1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154" w:leftChars="50" w:firstLine="462" w:firstLineChars="15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202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年，全街道总收入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155,725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万元，具体情况：</w:t>
      </w:r>
    </w:p>
    <w:p w14:paraId="420B5EF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154" w:leftChars="50" w:firstLine="462" w:firstLineChars="15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1．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eastAsia="zh-CN"/>
        </w:rPr>
        <w:t>一般公共预算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上级补助收入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115,665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万元，完成调整后预算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89.8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%，同比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增加6,163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增长5.6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%。其中：返还性收入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79,410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万元（税收返还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51,721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万元，非税返还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18,113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万元，税收基数返还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1,227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万元，四税收入返还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4,634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万元，其他返还性收入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3,715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万元），一般性转移支付收入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12,697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万元，专项转移支付收入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23,558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万元。</w:t>
      </w:r>
    </w:p>
    <w:p w14:paraId="55BDDCCF">
      <w:pPr>
        <w:spacing w:line="560" w:lineRule="exact"/>
        <w:ind w:firstLine="616" w:firstLineChars="200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．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一般公共预算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调入资金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1,056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。</w:t>
      </w:r>
    </w:p>
    <w:p w14:paraId="20AA4E1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154" w:leftChars="50" w:firstLine="462" w:firstLineChars="150"/>
        <w:jc w:val="left"/>
        <w:rPr>
          <w:rFonts w:hint="default" w:ascii="Times New Roman" w:hAnsi="Times New Roman" w:eastAsia="仿宋_GB2312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．政府性基金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eastAsia="zh-CN"/>
        </w:rPr>
        <w:t>预算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上级补助收入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21,251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万元，完成调整后预算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95.6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%，同比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减少412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下降1.9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%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。</w:t>
      </w:r>
    </w:p>
    <w:p w14:paraId="5CB18A80">
      <w:pPr>
        <w:spacing w:line="560" w:lineRule="exact"/>
        <w:ind w:firstLine="616" w:firstLineChars="200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．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专项债券转贷收入17,753万元，全部为新增专项债券收入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。</w:t>
      </w:r>
    </w:p>
    <w:p w14:paraId="32F5B4E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154" w:leftChars="50" w:firstLine="462" w:firstLineChars="150"/>
        <w:jc w:val="left"/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</w:rPr>
        <w:t>（二）财政支出完成情况。</w:t>
      </w:r>
    </w:p>
    <w:p w14:paraId="60ACF34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154" w:leftChars="50" w:firstLine="462" w:firstLineChars="15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202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年，全街道总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支出154,776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万元，具体情况：</w:t>
      </w:r>
    </w:p>
    <w:p w14:paraId="12FFF8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一般公共预算本级支出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106,192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万元，完成调整后预算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89.1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%，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同比增加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732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增长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0.7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%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上解上级支出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9,580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。</w:t>
      </w:r>
    </w:p>
    <w:p w14:paraId="26C9B686">
      <w:pPr>
        <w:spacing w:line="560" w:lineRule="exact"/>
        <w:ind w:firstLine="616" w:firstLineChars="200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政府性基金预算本级支出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41,104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万元，完成调整后预算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106.2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%，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同比增加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2,105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增长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5.4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%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上解上级支出（政府性基金）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1,252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调出资金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-3,352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万元。</w:t>
      </w:r>
    </w:p>
    <w:p w14:paraId="42FDE5FA">
      <w:pPr>
        <w:pStyle w:val="2"/>
        <w:numPr>
          <w:ilvl w:val="0"/>
          <w:numId w:val="1"/>
        </w:numPr>
        <w:ind w:firstLine="616" w:firstLineChars="200"/>
        <w:jc w:val="both"/>
        <w:rPr>
          <w:rFonts w:hint="eastAsia" w:eastAsia="楷体_GB2312" w:cs="Times New Roman"/>
          <w:b w:val="0"/>
          <w:bCs w:val="0"/>
          <w:color w:val="auto"/>
          <w:spacing w:val="-6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-6"/>
          <w:w w:val="100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-6"/>
          <w:w w:val="100"/>
          <w:kern w:val="0"/>
          <w:sz w:val="32"/>
          <w:szCs w:val="32"/>
          <w:highlight w:val="none"/>
        </w:rPr>
        <w:t>三公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-6"/>
          <w:w w:val="100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-6"/>
          <w:w w:val="100"/>
          <w:kern w:val="0"/>
          <w:sz w:val="32"/>
          <w:szCs w:val="32"/>
          <w:highlight w:val="none"/>
        </w:rPr>
        <w:t>经费情况</w:t>
      </w:r>
      <w:r>
        <w:rPr>
          <w:rFonts w:hint="eastAsia" w:eastAsia="楷体_GB2312" w:cs="Times New Roman"/>
          <w:b w:val="0"/>
          <w:bCs w:val="0"/>
          <w:color w:val="auto"/>
          <w:spacing w:val="-6"/>
          <w:w w:val="100"/>
          <w:kern w:val="0"/>
          <w:sz w:val="32"/>
          <w:szCs w:val="32"/>
          <w:highlight w:val="none"/>
          <w:lang w:eastAsia="zh-CN"/>
        </w:rPr>
        <w:t>。</w:t>
      </w:r>
    </w:p>
    <w:p w14:paraId="58231437">
      <w:pPr>
        <w:numPr>
          <w:ilvl w:val="0"/>
          <w:numId w:val="0"/>
        </w:num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2025年汇总全街道行政事业单位“三公”经费支出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合计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104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万元，较上年决算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增加53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增长103.9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%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其中公务用车购置及运行维护支出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102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（包括：公务用车购置费8万元、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公务用车运行维护费</w:t>
      </w:r>
      <w:r>
        <w:rPr>
          <w:rFonts w:hint="eastAsia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94万元）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增长126.7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%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，主要是2024年财政资金紧张，部分公务用车油费、维修费暂缓支出，以及2025年街道城建局购置一台公务用车（分期付款）；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因公出国（境）费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下降80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%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公务接待费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与上年持平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。</w:t>
      </w:r>
    </w:p>
    <w:p w14:paraId="4F8ABB6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rPr>
          <w:rFonts w:hint="eastAsia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</w:rPr>
        <w:t>（</w:t>
      </w:r>
      <w:r>
        <w:rPr>
          <w:rFonts w:hint="eastAsia" w:ascii="Times New Roman" w:eastAsia="楷体_GB2312" w:cs="Times New Roman"/>
          <w:b w:val="0"/>
          <w:bCs/>
          <w:color w:val="auto"/>
          <w:kern w:val="0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</w:rPr>
        <w:t>）政府债务情况</w:t>
      </w:r>
      <w:r>
        <w:rPr>
          <w:rFonts w:hint="eastAsia" w:ascii="Times New Roman" w:eastAsia="楷体_GB2312" w:cs="Times New Roman"/>
          <w:b w:val="0"/>
          <w:bCs/>
          <w:color w:val="auto"/>
          <w:kern w:val="0"/>
          <w:szCs w:val="32"/>
          <w:highlight w:val="none"/>
          <w:lang w:eastAsia="zh-CN"/>
        </w:rPr>
        <w:t>。</w:t>
      </w:r>
    </w:p>
    <w:p w14:paraId="27E7E03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kern w:val="0"/>
          <w:szCs w:val="32"/>
          <w:highlight w:val="none"/>
          <w:lang w:val="en-US" w:eastAsia="zh-CN"/>
        </w:rPr>
        <w:t>202</w:t>
      </w:r>
      <w:r>
        <w:rPr>
          <w:rFonts w:hint="eastAsia" w:ascii="Times New Roman" w:cs="Times New Roman"/>
          <w:color w:val="auto"/>
          <w:spacing w:val="0"/>
          <w:kern w:val="0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kern w:val="0"/>
          <w:szCs w:val="32"/>
          <w:highlight w:val="none"/>
          <w:lang w:val="en-US" w:eastAsia="zh-CN"/>
        </w:rPr>
        <w:t>年全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街道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新增债券额度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17,753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万元，全部为地方政府专项债券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。法定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eastAsia="zh-CN"/>
        </w:rPr>
        <w:t>政府债务余额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57,033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万元。</w:t>
      </w:r>
    </w:p>
    <w:p w14:paraId="55DC8FF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当年新增专项债具体安排用于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广东省中山市人文湾区产学研创新产业平台建设项目3,780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万元；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广东省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中山市城镇雨污分流管网改造项目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2,900万元；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广东省中山市都市经济产业园区及配套基础设施建设项目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2,000万元；广东省中山市石岐街道张溪等城中村微改造项目1,700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万元；广东省中山市石岐街道民族片区老旧街区改造工程项目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1,000万元；中山市补充政府性基金财力523万元；广东省中山市“十四五”优质高效医疗卫生服务体系建设项目280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；其他专项工作7,661万元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。返纳市财政局往年专项债收入（中山市康复医院改扩建项目）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2,091万元。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当年新增专项债</w:t>
      </w:r>
      <w:r>
        <w:rPr>
          <w:rFonts w:hint="eastAsia" w:ascii="Times New Roman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已于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年内全部支出完毕。</w:t>
      </w:r>
    </w:p>
    <w:p w14:paraId="3B4AFFF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rPr>
          <w:rFonts w:hint="default" w:ascii="Times New Roman" w:hAnsi="Times New Roman" w:eastAsia="仿宋_GB2312" w:cs="Times New Roman"/>
          <w:color w:val="auto"/>
          <w:spacing w:val="0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此外，202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年上解债券利息、发行费及服务费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等合计1,252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万元。</w:t>
      </w:r>
    </w:p>
    <w:p w14:paraId="7C19441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outlineLvl w:val="0"/>
        <w:rPr>
          <w:rFonts w:hint="eastAsia" w:ascii="Times New Roman" w:hAnsi="Times New Roman" w:eastAsia="楷体_GB2312" w:cs="Times New Roman"/>
          <w:b w:val="0"/>
          <w:bCs/>
          <w:color w:val="auto"/>
          <w:kern w:val="0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二、预算平衡和结余情况</w:t>
      </w:r>
    </w:p>
    <w:p w14:paraId="0D6D330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202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年全街道财政专户结余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949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万元，其中：</w:t>
      </w:r>
    </w:p>
    <w:p w14:paraId="7CB0BB2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一般公共预算收入上级补助收入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115,665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万元，加调入资金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1,056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万元，合计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116,721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万元；减一般公共预算支出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106,192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万元、上解上级支出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9,580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万元，年终结转结余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949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万元。</w:t>
      </w:r>
    </w:p>
    <w:p w14:paraId="1FCCDB5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政府性基金预算上级补助收入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21,251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万元，加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债券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转贷收入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17,753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合计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39,004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万元；减政府性基金预算支出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41,104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万元、上解上级支出（政府性基金）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1,252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万元及调出资金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-3,352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万元，结转结余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为0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。</w:t>
      </w:r>
    </w:p>
    <w:p w14:paraId="0FC86CC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outlineLvl w:val="0"/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三、预备费使用及预算调整情况</w:t>
      </w:r>
    </w:p>
    <w:p w14:paraId="571E795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outlineLvl w:val="0"/>
        <w:rPr>
          <w:rFonts w:hint="eastAsia" w:ascii="Times New Roman" w:hAnsi="Times New Roman" w:eastAsia="楷体_GB2312" w:cs="Times New Roman"/>
          <w:color w:val="auto"/>
          <w:kern w:val="0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Cs w:val="32"/>
          <w:highlight w:val="none"/>
        </w:rPr>
        <w:t>（一）预备费使用情况</w:t>
      </w:r>
      <w:r>
        <w:rPr>
          <w:rFonts w:hint="eastAsia" w:ascii="Times New Roman" w:eastAsia="楷体_GB2312" w:cs="Times New Roman"/>
          <w:color w:val="auto"/>
          <w:kern w:val="0"/>
          <w:szCs w:val="32"/>
          <w:highlight w:val="none"/>
          <w:lang w:eastAsia="zh-CN"/>
        </w:rPr>
        <w:t>。</w:t>
      </w:r>
    </w:p>
    <w:p w14:paraId="236BBF8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outlineLvl w:val="0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2025年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eastAsia="zh-CN"/>
        </w:rPr>
        <w:t>全街道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年初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eastAsia="zh-CN"/>
        </w:rPr>
        <w:t>安排预备费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1,500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eastAsia="zh-CN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当年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未动用</w:t>
      </w:r>
      <w:r>
        <w:rPr>
          <w:rFonts w:hint="eastAsia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预备费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。</w:t>
      </w:r>
    </w:p>
    <w:p w14:paraId="63E126A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outlineLvl w:val="0"/>
        <w:rPr>
          <w:rFonts w:hint="eastAsia" w:ascii="Times New Roman" w:hAnsi="Times New Roman" w:eastAsia="楷体_GB2312" w:cs="Times New Roman"/>
          <w:color w:val="auto"/>
          <w:kern w:val="0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Cs w:val="32"/>
          <w:highlight w:val="none"/>
        </w:rPr>
        <w:t>（二）预算调整情况</w:t>
      </w:r>
      <w:r>
        <w:rPr>
          <w:rFonts w:hint="eastAsia" w:ascii="Times New Roman" w:eastAsia="楷体_GB2312" w:cs="Times New Roman"/>
          <w:color w:val="auto"/>
          <w:kern w:val="0"/>
          <w:szCs w:val="32"/>
          <w:highlight w:val="none"/>
          <w:lang w:eastAsia="zh-CN"/>
        </w:rPr>
        <w:t>。</w:t>
      </w:r>
    </w:p>
    <w:p w14:paraId="2CFAAF4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1．一般公共预算调整情况</w:t>
      </w:r>
    </w:p>
    <w:p w14:paraId="223337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全街道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一般公共预算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总收入由年初预算</w:t>
      </w:r>
      <w:r>
        <w:rPr>
          <w:rFonts w:hint="eastAsia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139,567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万元，调整为</w:t>
      </w:r>
      <w:r>
        <w:rPr>
          <w:rFonts w:hint="eastAsia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133,198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万元，调减</w:t>
      </w:r>
      <w:r>
        <w:rPr>
          <w:rFonts w:hint="eastAsia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6,369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万元；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一般公共预算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总支出相应调整为</w:t>
      </w:r>
      <w:r>
        <w:rPr>
          <w:rFonts w:hint="eastAsia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133,198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万元，实现收支平衡。主要收支调整事项包括：</w:t>
      </w:r>
    </w:p>
    <w:p w14:paraId="46A57EF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税收返还收入由年初预算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56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,000万元，调整为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68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482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万元，调增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482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万元，主要是因财政困难，向上级申请提前预拨税收分成款。</w:t>
      </w:r>
    </w:p>
    <w:p w14:paraId="454DE81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一般性转移支付收入由年初预算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483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,1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94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万元，调增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711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万元，主要是本年新增上级共同财政事权转移支付收入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801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万元。</w:t>
      </w:r>
    </w:p>
    <w:p w14:paraId="11FDCAD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专项转移支付收入由年初预算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440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万元，调增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440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万元，主要是本年新增上级专项转移支付收入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440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万元。</w:t>
      </w:r>
    </w:p>
    <w:p w14:paraId="473B31E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一般公共预算调入资金由年初预算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52,231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4,362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万元，调减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7,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869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其中：政府性基金预算调入资金由年初预算47,800万元，调整为0万元，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主要是本年国有土地使用权出让收入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预算没有实现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，调入资金随之大幅下降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eastAsia="zh-CN"/>
        </w:rPr>
        <w:t>；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其他调入资金由年初预算429万元，调整为360万元。</w:t>
      </w:r>
    </w:p>
    <w:p w14:paraId="7BF9881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一般公共预算本级支出由年初预算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135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125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万元，调整为1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756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万元，调减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6,369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万元，主要是因财政困难，暂缓相关支出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合计调减25,026万元；因收到上级资金而调减街道项目合计调减9,820万元；体制上解支出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、城乡居民医疗保险缴费财政补贴等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专项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上解支出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调减2,795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；年中新增街道专项支出合计调增3,123万元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对应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市专项资金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收入安排的支出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调增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28,149万元。</w:t>
      </w:r>
    </w:p>
    <w:p w14:paraId="20E1A5D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16" w:firstLineChars="200"/>
        <w:jc w:val="left"/>
        <w:textAlignment w:val="auto"/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2．政府性基金预算调整情况</w:t>
      </w:r>
    </w:p>
    <w:p w14:paraId="18AE2B6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全街道政府性基金总收入由年初预算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238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39,897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万元，调减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341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万元；政府性基金总支出相应调整为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39,897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万元，实现收支平衡。主要收支调整事项包括：</w:t>
      </w:r>
    </w:p>
    <w:p w14:paraId="09A822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国有土地使用权出让收入由年初预算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168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140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万元，调减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028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万元，主要是本年国有土地使用权出让收入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预算没有实现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，国有土地使用权出让收入大幅下降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；城市基础设施配套费由年初预算70万元，调整为633万元，调增563万元，主要是本年收到上级下拨城市基础设施配套费分成收入；福利彩票销售机构的业务费用、福利彩票公益金、体育彩票公益金收入调增212万元。</w:t>
      </w:r>
    </w:p>
    <w:p w14:paraId="7206D15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其他政府性基金预算收入由年初预算0万元，调整为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14,237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万元，调增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14,237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其中：其他城乡社区收入由年初预算0万元，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调整为1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382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万元，调增1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382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万元，主要是本年新增上级发行专项债券收入1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382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超长期特别国债</w:t>
      </w:r>
      <w:r>
        <w:rPr>
          <w:rFonts w:hint="eastAsia" w:ascii="Times New Roman" w:hAnsi="Times New Roman" w:eastAsia="仿宋_GB2312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收入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由年初预算0万元，调整为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855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万元，调增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855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万元，主要是本年新增上级发行</w:t>
      </w:r>
      <w:r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超长期特别国债</w:t>
      </w:r>
      <w:r>
        <w:rPr>
          <w:rFonts w:hint="eastAsia" w:ascii="Times New Roman" w:hAnsi="Times New Roman" w:eastAsia="仿宋_GB2312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855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万元。</w:t>
      </w:r>
    </w:p>
    <w:p w14:paraId="7A7C8FB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专项债券转贷收入由年初预算0万元，调整为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675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万元，调增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675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万元，主要是本年新增街道发行专项债券收入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675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万元。</w:t>
      </w:r>
    </w:p>
    <w:p w14:paraId="175701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政府性基金预算本级支出由年初预算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260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万元，调整为3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719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万元，调增3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459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万元，主要是本年新增专项债券资金收入安排的支出3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148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万元。</w:t>
      </w:r>
    </w:p>
    <w:p w14:paraId="1279E47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auto"/>
        <w:rPr>
          <w:rFonts w:hint="default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调出资金由年初预算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800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万元，调整为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万元，调减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47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,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800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主要是本年国有土地使用权出让收入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预算没有实现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，调</w:t>
      </w: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出</w:t>
      </w:r>
      <w:r>
        <w:rPr>
          <w:rFonts w:hint="default" w:ascii="Times New Roman" w:hAnsi="Times New Roman" w:cs="Times New Roman"/>
          <w:color w:val="auto"/>
          <w:kern w:val="0"/>
          <w:szCs w:val="32"/>
          <w:highlight w:val="none"/>
        </w:rPr>
        <w:t>资金随之大幅下降。</w:t>
      </w:r>
    </w:p>
    <w:p w14:paraId="3326ACE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四、</w:t>
      </w:r>
      <w:r>
        <w:rPr>
          <w:rFonts w:hint="eastAsia" w:ascii="Times New Roman" w:eastAsia="黑体" w:cs="Times New Roman"/>
          <w:color w:val="auto"/>
          <w:kern w:val="0"/>
          <w:szCs w:val="32"/>
          <w:highlight w:val="none"/>
          <w:lang w:val="en-US" w:eastAsia="zh-CN"/>
        </w:rPr>
        <w:t>重点领域支出政策落实情况</w:t>
      </w:r>
    </w:p>
    <w:p w14:paraId="68415769">
      <w:pPr>
        <w:numPr>
          <w:ilvl w:val="0"/>
          <w:numId w:val="2"/>
        </w:numPr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eastAsia="楷体_GB2312" w:cs="Times New Roman"/>
          <w:color w:val="auto"/>
          <w:kern w:val="0"/>
          <w:szCs w:val="32"/>
          <w:highlight w:val="none"/>
          <w:lang w:eastAsia="zh-CN"/>
        </w:rPr>
      </w:pPr>
      <w:r>
        <w:rPr>
          <w:rFonts w:hint="eastAsia" w:ascii="Times New Roman" w:eastAsia="楷体_GB2312" w:cs="Times New Roman"/>
          <w:color w:val="auto"/>
          <w:kern w:val="0"/>
          <w:szCs w:val="32"/>
          <w:highlight w:val="none"/>
          <w:lang w:val="en-US" w:eastAsia="zh-CN"/>
        </w:rPr>
        <w:t>香山古城活力焕发</w:t>
      </w:r>
      <w:r>
        <w:rPr>
          <w:rFonts w:hint="eastAsia" w:ascii="Times New Roman" w:hAnsi="Times New Roman" w:eastAsia="楷体_GB2312" w:cs="Times New Roman"/>
          <w:color w:val="auto"/>
          <w:kern w:val="0"/>
          <w:szCs w:val="32"/>
          <w:highlight w:val="none"/>
          <w:lang w:eastAsia="zh-CN"/>
        </w:rPr>
        <w:t>。</w:t>
      </w:r>
    </w:p>
    <w:p w14:paraId="7601686F">
      <w:pPr>
        <w:numPr>
          <w:ilvl w:val="0"/>
          <w:numId w:val="0"/>
        </w:numPr>
        <w:adjustRightInd w:val="0"/>
        <w:snapToGrid w:val="0"/>
        <w:spacing w:line="560" w:lineRule="exact"/>
        <w:ind w:firstLine="616" w:firstLineChars="200"/>
        <w:rPr>
          <w:rFonts w:hint="default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2025年，香山古城保护活化工程项目资金</w:t>
      </w:r>
      <w:r>
        <w:rPr>
          <w:rFonts w:hint="eastAsia" w:asci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投入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超7</w:t>
      </w:r>
      <w:r>
        <w:rPr>
          <w:rFonts w:hint="eastAsia" w:asci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500万元，助力古城活力焕发。一是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重构街区空间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品质。坚持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修旧如旧、修旧如初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，系统解决孙文西路步行街建筑风貌衰败、基础设施老化、业态活力不足等难题，有效探索侨房活化利用新路径，打造香山剧场、大庙下、庆隆广场等新地标，全面重塑步行街空间品质、文旅活力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商业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业态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提质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焕新。盘活39栋公有物业，打造大师工作坊、高端旅游民宿等人气新业态，南成行南洋餐厅等特色商户开业。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石岐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文旅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火红出圈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高标准举办9月28日孙文西路步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行街焕新开放活动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>打造深中“岐”遇、“月上烟墩”等兼具本土特色与湾区影响力的文旅IP，助力石岐登上央视、央媒超20次，</w:t>
      </w:r>
      <w:r>
        <w:rPr>
          <w:rFonts w:hint="eastAsia" w:ascii="Times New Roman" w:cs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全年举办文旅活动超500场次，1,111万市民涌入，带动消费超50亿元。</w:t>
      </w:r>
    </w:p>
    <w:p w14:paraId="27186098">
      <w:pPr>
        <w:numPr>
          <w:ilvl w:val="0"/>
          <w:numId w:val="2"/>
        </w:numPr>
        <w:adjustRightInd w:val="0"/>
        <w:snapToGrid w:val="0"/>
        <w:spacing w:line="560" w:lineRule="exact"/>
        <w:ind w:left="0" w:leftChars="0" w:firstLine="616" w:firstLineChars="200"/>
        <w:rPr>
          <w:rFonts w:hint="eastAsia" w:ascii="Times New Roman" w:hAnsi="Times New Roman" w:eastAsia="楷体_GB2312" w:cs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eastAsia="楷体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城市品质持续提升</w:t>
      </w:r>
      <w:r>
        <w:rPr>
          <w:rFonts w:hint="eastAsia" w:ascii="Times New Roman" w:hAnsi="Times New Roman" w:eastAsia="楷体_GB2312" w:cs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。</w:t>
      </w:r>
    </w:p>
    <w:p w14:paraId="4ABA4967"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一是持续推进老旧小区改造暖心工程。全年老旧小区改造项目资金</w:t>
      </w:r>
      <w:r>
        <w:rPr>
          <w:rFonts w:hint="eastAsia" w:asci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投入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超1.6亿元，完成9个片区共51个小区改造，有序推进12个片区共138个小区改造施工，上海城、第一城等四个片区共59个小区改造计划开工，惠及群众超4万户。二是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打赢打好水污染治理攻坚战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。投入财政资金超8</w:t>
      </w:r>
      <w:r>
        <w:rPr>
          <w:rFonts w:hint="eastAsia" w:asci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000万元，用于暗涵整治工程、雨污分流管网改造工程等项目，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段暗涵清淤，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辖区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河涌全部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实现“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不黑不臭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推进人居环境综合治理。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中山北站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拆围透绿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万平方米，新建2个小公园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，完成石岐文化公园改造省级及沙咀公园基础改造，岐江道等主次干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道整治提升外立面面积超3.2万平方米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3BB035D0">
      <w:pPr>
        <w:numPr>
          <w:ilvl w:val="0"/>
          <w:numId w:val="0"/>
        </w:numPr>
        <w:spacing w:line="560" w:lineRule="exact"/>
        <w:ind w:leftChars="200"/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产业平台加速建设</w:t>
      </w:r>
      <w:r>
        <w:rPr>
          <w:rFonts w:hint="eastAsia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。</w:t>
      </w:r>
    </w:p>
    <w:p w14:paraId="79ABAB54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12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总部经济区加速开发。基础设施及公共配套项目基本建成，长源智能技术科创中心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项目落地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岐江新城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VIGO新动能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文体综合体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/>
        </w:rPr>
        <w:t>正式建成；标志性项目中山农商银行总部大厦工程建设进度超90%。二是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中山欢乐海岸片区稳步发展。支持奇遇时光乐园高水平运营，沙咀公园完成基础改造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推动香山欢乐岛项目前期工作。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 w:color="auto"/>
          <w:lang w:eastAsia="zh-CN"/>
        </w:rPr>
        <w:t>海景片区改造提速。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12"/>
          <w:sz w:val="32"/>
          <w:szCs w:val="32"/>
          <w:highlight w:val="none"/>
          <w:shd w:val="clear" w:fill="FFFFFF"/>
        </w:rPr>
        <w:t>岐江数贸港（一期）、海景加能站建成投运，霞湖世家时尚智造生态产业园动工建设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12"/>
          <w:sz w:val="32"/>
          <w:szCs w:val="32"/>
          <w:highlight w:val="none"/>
          <w:shd w:val="clear" w:fill="FFFFFF"/>
          <w:lang w:eastAsia="zh-CN"/>
        </w:rPr>
        <w:t>。</w:t>
      </w:r>
    </w:p>
    <w:p w14:paraId="4A78993D">
      <w:pPr>
        <w:numPr>
          <w:ilvl w:val="0"/>
          <w:numId w:val="0"/>
        </w:numPr>
        <w:spacing w:line="560" w:lineRule="exact"/>
        <w:ind w:leftChars="200"/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（四）</w:t>
      </w:r>
      <w:r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产业层次提档升级</w:t>
      </w:r>
      <w:r>
        <w:rPr>
          <w:rFonts w:hint="eastAsia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。</w:t>
      </w:r>
    </w:p>
    <w:p w14:paraId="600F4C55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大力推进产业招商。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签约高端产业投资项目</w:t>
      </w:r>
      <w:r>
        <w:rPr>
          <w:rFonts w:hint="eastAsia" w:ascii="Times New Roman" w:cs="Times New Roman"/>
          <w:b w:val="0"/>
          <w:bCs w:val="0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34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个、总投资额约</w:t>
      </w:r>
      <w:r>
        <w:rPr>
          <w:rFonts w:hint="eastAsia" w:ascii="Times New Roman" w:cs="Times New Roman"/>
          <w:b w:val="0"/>
          <w:bCs w:val="0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Times New Roman" w:hAnsi="Times New Roman" w:cs="Times New Roman"/>
          <w:b w:val="0"/>
          <w:bCs w:val="0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.7亿元</w:t>
      </w:r>
      <w:r>
        <w:rPr>
          <w:rFonts w:hint="eastAsia" w:ascii="Times New Roman" w:cs="Times New Roman"/>
          <w:b w:val="0"/>
          <w:bCs w:val="0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。全年实现签约项目100%落地动或动工，供地类项目100%完成供地，落地金额同比增长178%。二是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强化龙头企业培育。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推动完美公司发展持续向好，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助力专精特新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小巨人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企业太力科技成功上市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，中山美居产业园挂牌国家电子商务示范基地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加速聚集高端消费。恒远海立方环游城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山姆会员商店开业，岐江美食文化街、岐创产业园、民族路等文旅消费、夜间经济聚集地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形成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完美金鹰</w:t>
      </w:r>
      <w:r>
        <w:rPr>
          <w:rFonts w:hint="eastAsia" w:ascii="微软雅黑" w:hAnsi="微软雅黑" w:eastAsia="微软雅黑" w:cs="微软雅黑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·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假日商圈获评全市唯一“省级特色商圈”，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2025年元旦、春节等节假日共25天期间，辖区六大商圈客流量超775万人次，带动消费超3.6亿元。</w:t>
      </w:r>
    </w:p>
    <w:p w14:paraId="5921C48B">
      <w:pPr>
        <w:numPr>
          <w:ilvl w:val="0"/>
          <w:numId w:val="0"/>
        </w:numPr>
        <w:spacing w:line="560" w:lineRule="exact"/>
        <w:ind w:leftChars="200"/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（五）</w:t>
      </w:r>
      <w:r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交通出行更加便捷</w:t>
      </w:r>
      <w:r>
        <w:rPr>
          <w:rFonts w:hint="eastAsia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。</w:t>
      </w:r>
    </w:p>
    <w:p w14:paraId="7B85871A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持续优化路网体系。古城周边6条道路完工，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投入财政资金超2</w:t>
      </w:r>
      <w:r>
        <w:rPr>
          <w:rFonts w:hint="eastAsia" w:asci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000万元；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石岐总部经济区北部路网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山姆会员商店周边兴港南路、民盈西路、侨城路等道路通车。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融入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轨道上的大湾区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。保障深江铁路、南中城际有序施工，实施中山北站改扩建工程。</w:t>
      </w:r>
      <w:r>
        <w:rPr>
          <w:rFonts w:hint="eastAsia" w:ascii="Times New Roman" w:hAnsi="Times New Roman" w:cs="Times New Roman"/>
          <w:b w:val="0"/>
          <w:bCs w:val="0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三是直面“停车难”问题。在香山古城、岐江道及主要商圈周边新建或改造升级停车场5个，累计新增停车位约260个。</w:t>
      </w:r>
    </w:p>
    <w:p w14:paraId="4463C9CC">
      <w:pPr>
        <w:numPr>
          <w:ilvl w:val="0"/>
          <w:numId w:val="0"/>
        </w:numPr>
        <w:spacing w:line="560" w:lineRule="exact"/>
        <w:ind w:leftChars="200"/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（六）</w:t>
      </w:r>
      <w:r>
        <w:rPr>
          <w:rFonts w:hint="default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民生保障坚实有力</w:t>
      </w:r>
      <w:r>
        <w:rPr>
          <w:rFonts w:hint="eastAsia" w:ascii="Times New Roman" w:hAnsi="Times New Roman" w:eastAsia="楷体_GB2312" w:cs="Times New Roman"/>
          <w:spacing w:val="0"/>
          <w:kern w:val="0"/>
          <w:sz w:val="32"/>
          <w:szCs w:val="32"/>
          <w:highlight w:val="none"/>
          <w:lang w:val="en-US" w:eastAsia="zh-CN"/>
        </w:rPr>
        <w:t>。</w:t>
      </w:r>
    </w:p>
    <w:p w14:paraId="0B2CD66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40" w:firstLineChars="200"/>
        <w:outlineLvl w:val="0"/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strike w:val="0"/>
          <w:color w:val="auto"/>
          <w:spacing w:val="0"/>
          <w:kern w:val="0"/>
          <w:sz w:val="32"/>
          <w:szCs w:val="32"/>
          <w:highlight w:val="none"/>
          <w:u w:val="none"/>
        </w:rPr>
        <w:t>提升教育配套质量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推动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启发中学</w:t>
      </w:r>
      <w:r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扩容等12个校园改建项目顺利完成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优质学位占比提升至92.3%，2025年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中考普高</w:t>
      </w:r>
      <w:r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录取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率达83.</w:t>
      </w:r>
      <w:r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，4所初中获市级办学质量一等奖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医疗配套再上新台阶。中山市康复医院(石岐苏华赞医院）升级成为中山市首家公立二级康复专科医院。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社会大局平安稳定。高规格打造街道综治中心，</w:t>
      </w:r>
      <w:r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累计化解矛盾纠纷1,093起，涉及金额达378.5万元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2025年街道刑事治安警情数同比下降24.1%。</w:t>
      </w:r>
    </w:p>
    <w:p w14:paraId="320ECC9D">
      <w:pPr>
        <w:pStyle w:val="2"/>
        <w:ind w:firstLine="616" w:firstLineChars="200"/>
        <w:jc w:val="both"/>
        <w:rPr>
          <w:rFonts w:hint="default" w:ascii="Times New Roman" w:hAnsi="Times New Roman" w:eastAsia="黑体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五</w:t>
      </w:r>
      <w:r>
        <w:rPr>
          <w:rFonts w:hint="default" w:ascii="Times New Roman" w:hAnsi="Times New Roman" w:eastAsia="黑体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其他财政重点工作情况</w:t>
      </w:r>
    </w:p>
    <w:p w14:paraId="01522C9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16" w:firstLineChars="200"/>
        <w:textAlignment w:val="auto"/>
        <w:outlineLvl w:val="0"/>
        <w:rPr>
          <w:rFonts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cs="Times New Roman"/>
          <w:color w:val="auto"/>
          <w:kern w:val="0"/>
          <w:szCs w:val="32"/>
          <w:highlight w:val="none"/>
          <w:lang w:val="en-US" w:eastAsia="zh-CN"/>
        </w:rPr>
        <w:t>2025年，石岐街道坚持稳字当头、稳中求进的工作总基调，着力在“统筹、节流、优化、提效”方面下功夫，坚决落实关于习惯过紧日子的各项要求，尽力而为、量力而行，加强资金资源资产统筹，依法依规积极组织收入，合理压减预算支出规模，把有限的资金用在高质量发展的关键处，尽力兜实“三保”底线。</w:t>
      </w:r>
    </w:p>
    <w:p w14:paraId="3CA77A5E">
      <w:pPr>
        <w:adjustRightInd w:val="0"/>
        <w:snapToGrid w:val="0"/>
        <w:spacing w:line="560" w:lineRule="exact"/>
        <w:ind w:firstLine="616" w:firstLineChars="200"/>
        <w:rPr>
          <w:rFonts w:ascii="Times New Roman" w:hAnsi="Times New Roman" w:eastAsia="楷体_GB2312"/>
          <w:snapToGrid w:val="0"/>
          <w:spacing w:val="-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0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color w:val="auto"/>
          <w:kern w:val="0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楷体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习惯</w:t>
      </w:r>
      <w:r>
        <w:rPr>
          <w:rFonts w:ascii="Times New Roman" w:hAnsi="Times New Roman" w:eastAsia="楷体_GB2312"/>
          <w:snapToGrid w:val="0"/>
          <w:spacing w:val="-6"/>
          <w:kern w:val="0"/>
          <w:sz w:val="32"/>
          <w:szCs w:val="32"/>
          <w:highlight w:val="none"/>
        </w:rPr>
        <w:t>过紧日子，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加强财政资源统筹。</w:t>
      </w:r>
    </w:p>
    <w:p w14:paraId="3F93BBB3">
      <w:pPr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一是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20"/>
          <w:highlight w:val="none"/>
          <w:lang w:val="en-US" w:eastAsia="zh-CN" w:bidi="ar-SA"/>
        </w:rPr>
        <w:t>进一步加大组织收入工作力度，积极挖潜非税收入，主动盘活各类资源资产，全力以赴抓好收入，加强街道财力、上级补助等财政资源联动统筹，主动对接争取上级更多政策资金支持。二是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全面实施零基预算改革，兜牢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三保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底线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spacing w:val="-6"/>
          <w:kern w:val="0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坚持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三保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支出在财政支出的优先地位，严格对照国家和省级标准，足额编列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三保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支出预算，确保不留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硬缺口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严格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三公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经费、行政经费等预算较上年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只减不增</w:t>
      </w:r>
      <w:r>
        <w:rPr>
          <w:rFonts w:hint="eastAsia" w:ascii="Times New Roman" w:hAnsi="Times New Roman"/>
          <w:snapToGrid w:val="0"/>
          <w:spacing w:val="-6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习惯过紧日子，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尽力而为、量力而行，坚持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20"/>
          <w:highlight w:val="none"/>
          <w:lang w:val="en-US" w:eastAsia="zh-CN" w:bidi="ar-SA"/>
        </w:rPr>
        <w:t>以可用财力为基础，结合实际工作需求，科学合理安排支出计划，大力优化支出结构，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精打细算、节用裕民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是严格规范完整编制政府采购和政府购买服务预算，严禁将应当由政府直接履职的事项纳入政府购买服务范围。除涉及面广、兜底民生的项目外，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对购买服务进一步清理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；无法取消的，必须压减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金额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</w:rPr>
        <w:t>，切实降本增效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eastAsia="zh-CN"/>
        </w:rPr>
        <w:t>。</w:t>
      </w:r>
    </w:p>
    <w:p w14:paraId="2E95E9FB">
      <w:pPr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eastAsia="楷体_GB2312"/>
          <w:snapToGrid w:val="0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0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kern w:val="0"/>
          <w:szCs w:val="32"/>
          <w:highlight w:val="none"/>
          <w:lang w:eastAsia="zh-CN"/>
        </w:rPr>
        <w:t>）</w:t>
      </w:r>
      <w:r>
        <w:rPr>
          <w:rFonts w:ascii="Times New Roman" w:hAnsi="Times New Roman" w:eastAsia="楷体_GB2312"/>
          <w:snapToGrid w:val="0"/>
          <w:spacing w:val="-6"/>
          <w:kern w:val="0"/>
          <w:sz w:val="32"/>
          <w:szCs w:val="32"/>
          <w:highlight w:val="none"/>
        </w:rPr>
        <w:t>强化绩效管理，</w:t>
      </w:r>
      <w:r>
        <w:rPr>
          <w:rFonts w:hint="eastAsia" w:ascii="Times New Roman" w:hAnsi="Times New Roman" w:eastAsia="楷体_GB2312"/>
          <w:snapToGrid w:val="0"/>
          <w:spacing w:val="-6"/>
          <w:kern w:val="0"/>
          <w:sz w:val="32"/>
          <w:szCs w:val="32"/>
          <w:highlight w:val="none"/>
        </w:rPr>
        <w:t>提高资金使用效益</w:t>
      </w:r>
      <w:r>
        <w:rPr>
          <w:rFonts w:hint="eastAsia" w:ascii="Times New Roman" w:hAnsi="Times New Roman" w:eastAsia="楷体_GB2312"/>
          <w:snapToGrid w:val="0"/>
          <w:spacing w:val="-6"/>
          <w:kern w:val="0"/>
          <w:sz w:val="32"/>
          <w:szCs w:val="32"/>
          <w:highlight w:val="none"/>
          <w:lang w:eastAsia="zh-CN"/>
        </w:rPr>
        <w:t>。</w:t>
      </w:r>
    </w:p>
    <w:p w14:paraId="5D24F215">
      <w:pPr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一是严格落实资金使用主体责任，将绩效理念融入预算编制全过程，紧密结合主责主业申报预算，合理设置项目绩效目标，未按规定申报绩效目标或绩效目标审核不通过的，不予安排预算。二是实施新增重大政策和项目事前绩效评审，科学合理确定项目支出内容和规模，构建</w:t>
      </w:r>
      <w:r>
        <w:rPr>
          <w:rFonts w:hint="eastAsia" w:ascii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花钱必问效、无效必问责、违规必严惩</w:t>
      </w:r>
      <w:r>
        <w:rPr>
          <w:rFonts w:hint="eastAsia" w:ascii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的长效机制。</w:t>
      </w:r>
    </w:p>
    <w:p w14:paraId="212FAB3C">
      <w:pPr>
        <w:adjustRightInd w:val="0"/>
        <w:snapToGrid w:val="0"/>
        <w:spacing w:line="560" w:lineRule="exact"/>
        <w:ind w:firstLine="616" w:firstLineChars="200"/>
        <w:rPr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年是“十</w:t>
      </w:r>
      <w:r>
        <w:rPr>
          <w:rFonts w:hint="eastAsia" w:ascii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五”规划</w:t>
      </w:r>
      <w:r>
        <w:rPr>
          <w:rFonts w:hint="eastAsia" w:ascii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开局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之年，石岐街道将坚持以习近平新时代中国特色社会主义思想为指导，深入贯彻落实中央经济工作会议精神，充分认清当前财政形势，保持稳中求进工作基调，锚定“香山原点、总部高地”的发展定位，以“六大行动”为抓手，</w:t>
      </w:r>
      <w:r>
        <w:rPr>
          <w:rFonts w:hint="eastAsia" w:ascii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以奔跑之姿奋力拼闯、以笃行之志缔造奇迹，推动石岐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“百千万工程”</w:t>
      </w:r>
      <w:r>
        <w:rPr>
          <w:rFonts w:hint="eastAsia" w:ascii="Times New Roman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建设取得更大成效，为全市奋力在新起点上增创新优势、实现新突破、不断开创中山现代化建设新局面作出更大贡献</w:t>
      </w:r>
      <w:r>
        <w:rPr>
          <w:rFonts w:hint="eastAsia" w:ascii="Times New Roman" w:hAnsi="Times New Roman" w:eastAsia="仿宋_GB2312"/>
          <w:snapToGrid w:val="0"/>
          <w:spacing w:val="-6"/>
          <w:kern w:val="0"/>
          <w:sz w:val="32"/>
          <w:szCs w:val="32"/>
          <w:highlight w:val="none"/>
          <w:lang w:val="en-US" w:eastAsia="zh-CN"/>
        </w:rPr>
        <w:t>！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8829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8C2FD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8C2FD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CD67E8"/>
    <w:multiLevelType w:val="singleLevel"/>
    <w:tmpl w:val="B1CD67E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DAB6372"/>
    <w:multiLevelType w:val="singleLevel"/>
    <w:tmpl w:val="4DAB637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0083E"/>
    <w:rsid w:val="025A67C0"/>
    <w:rsid w:val="02E2325D"/>
    <w:rsid w:val="0329566B"/>
    <w:rsid w:val="05DB5CFC"/>
    <w:rsid w:val="0885110D"/>
    <w:rsid w:val="0D4C267E"/>
    <w:rsid w:val="100655DD"/>
    <w:rsid w:val="11A754BD"/>
    <w:rsid w:val="120B593A"/>
    <w:rsid w:val="12F504E5"/>
    <w:rsid w:val="15171ED8"/>
    <w:rsid w:val="1A8026EB"/>
    <w:rsid w:val="1F6559D6"/>
    <w:rsid w:val="22F94294"/>
    <w:rsid w:val="2308024A"/>
    <w:rsid w:val="23DB01E2"/>
    <w:rsid w:val="2824179E"/>
    <w:rsid w:val="291C704D"/>
    <w:rsid w:val="2C9A267D"/>
    <w:rsid w:val="2DCD71EB"/>
    <w:rsid w:val="333A797A"/>
    <w:rsid w:val="33AA1C24"/>
    <w:rsid w:val="37C12A91"/>
    <w:rsid w:val="3ABC65DC"/>
    <w:rsid w:val="3B965952"/>
    <w:rsid w:val="3DB251E3"/>
    <w:rsid w:val="3E7664D1"/>
    <w:rsid w:val="3ED31742"/>
    <w:rsid w:val="43742B58"/>
    <w:rsid w:val="45BB19AF"/>
    <w:rsid w:val="4C3A06FF"/>
    <w:rsid w:val="4D9D0B9A"/>
    <w:rsid w:val="4F800DEA"/>
    <w:rsid w:val="51D35AE0"/>
    <w:rsid w:val="55E074E7"/>
    <w:rsid w:val="5621509D"/>
    <w:rsid w:val="5B102642"/>
    <w:rsid w:val="5B383A37"/>
    <w:rsid w:val="5FBE60E7"/>
    <w:rsid w:val="612B3078"/>
    <w:rsid w:val="63F10F28"/>
    <w:rsid w:val="63FC2835"/>
    <w:rsid w:val="66450875"/>
    <w:rsid w:val="66C76419"/>
    <w:rsid w:val="6CD37F78"/>
    <w:rsid w:val="6D545ACC"/>
    <w:rsid w:val="708449AF"/>
    <w:rsid w:val="721F3C43"/>
    <w:rsid w:val="72E87B62"/>
    <w:rsid w:val="73790F60"/>
    <w:rsid w:val="73FC77D8"/>
    <w:rsid w:val="74F5420A"/>
    <w:rsid w:val="77870FE4"/>
    <w:rsid w:val="79CA7BAA"/>
    <w:rsid w:val="7A247863"/>
    <w:rsid w:val="7AF0083E"/>
    <w:rsid w:val="7C9E7A01"/>
    <w:rsid w:val="7D085C04"/>
    <w:rsid w:val="7DE641E7"/>
    <w:rsid w:val="7E202745"/>
    <w:rsid w:val="7ED351E0"/>
    <w:rsid w:val="7ED542E2"/>
    <w:rsid w:val="7F4A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LineNumbers/>
      <w:adjustRightInd w:val="0"/>
      <w:snapToGrid w:val="0"/>
      <w:spacing w:line="574" w:lineRule="exact"/>
      <w:jc w:val="both"/>
    </w:pPr>
    <w:rPr>
      <w:rFonts w:ascii="仿宋_GB2312" w:hAnsi="Times New Roman" w:eastAsia="仿宋_GB2312" w:cs="Times New Roman"/>
      <w:snapToGrid w:val="0"/>
      <w:spacing w:val="-6"/>
      <w:kern w:val="3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jc w:val="center"/>
      <w:outlineLvl w:val="3"/>
    </w:pPr>
    <w:rPr>
      <w:rFonts w:eastAsia="公文小标宋简"/>
      <w:b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customStyle="1" w:styleId="9">
    <w:name w:val="样式 宋体 四号 首行缩进:  2 字符"/>
    <w:basedOn w:val="1"/>
    <w:qFormat/>
    <w:uiPriority w:val="0"/>
    <w:pPr>
      <w:widowControl/>
    </w:pPr>
    <w:rPr>
      <w:rFonts w:cs="宋体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中共中山市委统一战线工作部</Company>
  <Pages>10</Pages>
  <Words>5897</Words>
  <Characters>6727</Characters>
  <Lines>0</Lines>
  <Paragraphs>0</Paragraphs>
  <TotalTime>156</TotalTime>
  <ScaleCrop>false</ScaleCrop>
  <LinksUpToDate>false</LinksUpToDate>
  <CharactersWithSpaces>6728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2025-12-10T16:43:00Z</dcterms:created>
  <dc:creator>hjy</dc:creator>
  <cp:lastModifiedBy>Administrator</cp:lastModifiedBy>
  <cp:lastPrinted>2026-06-26T12:18:00Z</cp:lastPrinted>
  <dcterms:modified xsi:type="dcterms:W3CDTF">2026-09-03T09:05:28Z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4BFFA5DF74734DBDD8C7986AB6966B55_43</vt:lpwstr>
  </property>
  <property fmtid="{D5CDD505-2E9C-101B-9397-08002B2CF9AE}" pid="4" name="KSOTemplateDocerSaveRecord">
    <vt:lpwstr>eyJoZGlkIjoiN2YzNjBkOTgyNWQ1YTMxYzM3MzMwNWFiODNmOWIzYWMiLCJ1c2VySWQiOiI3Mzk2NjY5NDgifQ==</vt:lpwstr>
  </property>
</Properties>
</file>