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topLinePunct w:val="0"/>
        <w:bidi w:val="0"/>
        <w:adjustRightInd w:val="0"/>
        <w:snapToGrid w:val="0"/>
        <w:spacing w:line="574" w:lineRule="exact"/>
        <w:jc w:val="center"/>
        <w:rPr>
          <w:rFonts w:hint="eastAsia" w:ascii="方正小标宋简体" w:hAnsi="方正小标宋简体" w:eastAsia="方正小标宋简体" w:cs="方正小标宋简体"/>
          <w:snapToGrid w:val="0"/>
          <w:color w:val="000000"/>
          <w:spacing w:val="-2"/>
          <w:kern w:val="0"/>
          <w:sz w:val="44"/>
          <w:szCs w:val="44"/>
          <w:highlight w:val="none"/>
        </w:rPr>
      </w:pPr>
      <w:r>
        <w:rPr>
          <w:rFonts w:hint="eastAsia" w:ascii="方正小标宋简体" w:hAnsi="方正小标宋简体" w:eastAsia="方正小标宋简体" w:cs="方正小标宋简体"/>
          <w:snapToGrid w:val="0"/>
          <w:color w:val="000000"/>
          <w:spacing w:val="-2"/>
          <w:kern w:val="0"/>
          <w:sz w:val="44"/>
          <w:szCs w:val="44"/>
          <w:highlight w:val="none"/>
        </w:rPr>
        <w:t>第三部分  相关说明</w:t>
      </w:r>
    </w:p>
    <w:p>
      <w:pPr>
        <w:ind w:firstLine="643" w:firstLineChars="200"/>
        <w:rPr>
          <w:rFonts w:ascii="仿宋_GB2312" w:hAnsi="仿宋_GB2312" w:eastAsia="仿宋_GB2312" w:cs="仿宋_GB2312"/>
          <w:b/>
          <w:kern w:val="0"/>
          <w:sz w:val="32"/>
          <w:szCs w:val="32"/>
          <w:lang w:bidi="ar"/>
        </w:rPr>
      </w:pP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kern w:val="0"/>
          <w:sz w:val="32"/>
          <w:szCs w:val="32"/>
          <w:lang w:bidi="ar"/>
        </w:rPr>
        <w:t>一、</w:t>
      </w:r>
      <w:r>
        <w:rPr>
          <w:rFonts w:hint="eastAsia" w:ascii="黑体" w:hAnsi="黑体" w:eastAsia="黑体" w:cs="黑体"/>
          <w:b w:val="0"/>
          <w:bCs/>
          <w:sz w:val="32"/>
          <w:szCs w:val="32"/>
        </w:rPr>
        <w:t>一般公共预算支出决算的说明</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bookmarkStart w:id="0" w:name="PO_part3Year1"/>
      <w:r>
        <w:rPr>
          <w:rFonts w:hint="default" w:ascii="Times New Roman" w:hAnsi="Times New Roman" w:eastAsia="仿宋_GB2312" w:cs="Times New Roman"/>
          <w:color w:val="000000"/>
          <w:spacing w:val="-6"/>
          <w:kern w:val="0"/>
          <w:sz w:val="32"/>
          <w:szCs w:val="32"/>
          <w:lang w:val="en-US" w:eastAsia="zh-CN"/>
        </w:rPr>
        <w:t>（一）</w:t>
      </w:r>
      <w:bookmarkEnd w:id="0"/>
      <w:r>
        <w:rPr>
          <w:rFonts w:hint="default" w:ascii="Times New Roman" w:hAnsi="Times New Roman" w:eastAsia="仿宋_GB2312" w:cs="Times New Roman"/>
          <w:color w:val="000000"/>
          <w:spacing w:val="-6"/>
          <w:kern w:val="0"/>
          <w:sz w:val="32"/>
          <w:szCs w:val="32"/>
          <w:lang w:val="en-US" w:eastAsia="zh-CN"/>
        </w:rPr>
        <w:t>一般公共服务支出10,942万元，完成调整后预算88.5%，同比减少80万元，下降0.7%；</w:t>
      </w:r>
      <w:bookmarkStart w:id="1" w:name="_GoBack"/>
      <w:bookmarkEnd w:id="1"/>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（二）国防支出4万元，完成调整后预算66.7%，同比增加4万元；</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（三）公共安全支出14,582万元，完成调整后预算86.3%，同比减少3,363万元，下降18.7%，主要是人员经费支出的减少；</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（四）教育支出34,986万元，完成调整后预算86.8%，同比减少395万元，下降1.1%；</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（五）科学技术支出33万元，完成调整后预算82.5%，同比减少208万元，下降86.3%，主要是去年同期上级下拨产业扶持资金抬高了基数；</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（六）文化旅游体育与传媒支出5,146万元，完成调整后预算99.4%，同比减少1,367万元，下降21%，主要是去年同期上级下拨孙文西路历史文化街区保护提升项目资金抬高了基数；</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（七）社会保障和就业支出13,601万元，完成调整后预算87.7%，同比增加697万元，增长5.4%；</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（八）卫生健康支出7,627万元，完成调整后预算98.9%，同比增加1,311万元，增长20.8%，主要是上级下拨计划生育专项经费同比增加的支出，育儿补贴中央补助资金增加的支出；</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（九）节能环保支出1,313万元，完成调整后预算99.7%，同比减少2,086万元，下降61.4%，主要是暂缓了保洁外包服务经费支出；</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（十）城乡社区支出6,267万元，完成调整后预算84%，同比减少177万元，下降2.7%；</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（十一）农林水支出684万元，完成调整后预算47.4%，同比增加330万元，增长93.2%，主要是上级下拨“百千万工程”资金增加的支出；</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（十二）资源勘探信息等支出1万元，完成调整后预算100%；</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十三）住房保障支出10,653万元，完成调整后预算117.6%，同比增加6,066万元，增长132.2%，主要是市下拨城镇保障性安居工程补助资金（老旧小区改造）、中央预算内投资计划资金、住宅加装电梯补助资金增加的支出；</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（十四）灾害防治及应急管理支出353万元，完成调整后预算81%，同比减少1万元，下降0.3%。</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黑体" w:hAnsi="黑体" w:eastAsia="黑体" w:cs="黑体"/>
          <w:b w:val="0"/>
          <w:bCs/>
          <w:kern w:val="0"/>
          <w:sz w:val="32"/>
          <w:szCs w:val="32"/>
          <w:lang w:bidi="ar"/>
        </w:rPr>
      </w:pPr>
      <w:r>
        <w:rPr>
          <w:rFonts w:hint="eastAsia" w:ascii="黑体" w:hAnsi="黑体" w:eastAsia="黑体" w:cs="黑体"/>
          <w:b w:val="0"/>
          <w:bCs/>
          <w:kern w:val="0"/>
          <w:sz w:val="32"/>
          <w:szCs w:val="32"/>
          <w:lang w:bidi="ar"/>
        </w:rPr>
        <w:t>二、举借债务情况</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2025年全街道新增债券额度17,753万元，全部为地方政府专项债券。法定政府债务余额57,033万元。</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当年新增专项债具体安排用于广东省中山市人文湾区产学研创新产业平台建设项目3,780万元；广东省中山市城镇雨污分流管网改造项目2,900万元；广东省中山市都市经济产业园区及配套基础设施建设项目2,000万元；广东省中山市石岐街道张溪等城中村微改造项目1,700万元；广东省中山市石岐街道民族片区老旧街区改造工程项目1,000万元；中山市补充政府性基金财力523万元；广东省中山市“十四五”优质高效医疗卫生服务体系建设项目280万元；其他专项工作7,661万元。返纳市财政局往年专项债收入（中山市康复医院改扩建项目）2,091万元。当年新增专项债已于年内全部支出完毕。</w:t>
      </w:r>
    </w:p>
    <w:p>
      <w:pPr>
        <w:keepNext w:val="0"/>
        <w:keepLines w:val="0"/>
        <w:pageBreakBefore w:val="0"/>
        <w:widowControl w:val="0"/>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此外，2025年上解债券利息、发行费及服务费等合计1,252万元。</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黑体" w:hAnsi="黑体" w:eastAsia="黑体" w:cs="黑体"/>
          <w:b w:val="0"/>
          <w:bCs/>
          <w:kern w:val="0"/>
          <w:sz w:val="32"/>
          <w:szCs w:val="32"/>
          <w:lang w:bidi="ar"/>
        </w:rPr>
      </w:pPr>
      <w:r>
        <w:rPr>
          <w:rFonts w:hint="eastAsia" w:ascii="黑体" w:hAnsi="黑体" w:eastAsia="黑体" w:cs="黑体"/>
          <w:b w:val="0"/>
          <w:bCs/>
          <w:kern w:val="0"/>
          <w:sz w:val="32"/>
          <w:szCs w:val="32"/>
          <w:lang w:bidi="ar"/>
        </w:rPr>
        <w:t>三、一般公共预算“三公”经费决算执行情况。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16" w:firstLineChars="200"/>
        <w:textAlignment w:val="auto"/>
        <w:rPr>
          <w:rFonts w:hint="default" w:ascii="Times New Roman" w:hAnsi="Times New Roman" w:eastAsia="仿宋_GB2312" w:cs="Times New Roman"/>
          <w:color w:val="000000"/>
          <w:spacing w:val="-6"/>
          <w:kern w:val="0"/>
          <w:sz w:val="32"/>
          <w:szCs w:val="32"/>
          <w:lang w:val="en-US" w:eastAsia="zh-CN"/>
        </w:rPr>
      </w:pPr>
      <w:r>
        <w:rPr>
          <w:rFonts w:hint="default" w:ascii="Times New Roman" w:hAnsi="Times New Roman" w:eastAsia="仿宋_GB2312" w:cs="Times New Roman"/>
          <w:color w:val="000000"/>
          <w:spacing w:val="-6"/>
          <w:kern w:val="0"/>
          <w:sz w:val="32"/>
          <w:szCs w:val="32"/>
          <w:lang w:val="en-US" w:eastAsia="zh-CN"/>
        </w:rPr>
        <w:t>2025年汇总全街道行政事业单位“三公”经费支出合计104万元，较上年决算增加53万元，增长103.9%，主要是2024年财政资金紧张，部分经费暂缓支出。其中公务用车购置及运行维护支出102万元（包括：公务用车购置费8万元、公务用车运行维护费94万元），同比增加57万元，增长126.7%，主要是2024年财政资金紧张，部分公务用车油费、维修费暂缓支出，以及街道城建局购置一台公务用车（分期付款），因公出国（境）费1万元，同比减少4万元，下降80%，主要是2025年港澳统战联谊等事项频次减少，公务出行有所减少；公务接待费1万元，与上年持平。</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黑体" w:hAnsi="黑体" w:eastAsia="黑体" w:cs="黑体"/>
          <w:b w:val="0"/>
          <w:bCs/>
          <w:kern w:val="0"/>
          <w:sz w:val="32"/>
          <w:szCs w:val="32"/>
          <w:highlight w:val="none"/>
          <w:lang w:bidi="ar"/>
        </w:rPr>
      </w:pPr>
      <w:r>
        <w:rPr>
          <w:rFonts w:hint="eastAsia" w:ascii="黑体" w:hAnsi="黑体" w:eastAsia="黑体" w:cs="黑体"/>
          <w:b w:val="0"/>
          <w:bCs/>
          <w:kern w:val="0"/>
          <w:sz w:val="32"/>
          <w:szCs w:val="32"/>
          <w:highlight w:val="none"/>
          <w:lang w:bidi="ar"/>
        </w:rPr>
        <w:t>四、</w:t>
      </w:r>
      <w:r>
        <w:rPr>
          <w:rFonts w:hint="eastAsia" w:ascii="黑体" w:hAnsi="黑体" w:eastAsia="黑体" w:cs="黑体"/>
          <w:b w:val="0"/>
          <w:bCs/>
          <w:color w:val="auto"/>
          <w:kern w:val="0"/>
          <w:sz w:val="32"/>
          <w:szCs w:val="32"/>
          <w:highlight w:val="none"/>
          <w:lang w:bidi="ar"/>
        </w:rPr>
        <w:t>预算绩效工作推进情况</w:t>
      </w:r>
    </w:p>
    <w:p>
      <w:pPr>
        <w:keepNext w:val="0"/>
        <w:keepLines w:val="0"/>
        <w:pageBreakBefore w:val="0"/>
        <w:widowControl w:val="0"/>
        <w:kinsoku/>
        <w:wordWrap/>
        <w:overflowPunct/>
        <w:topLinePunct w:val="0"/>
        <w:autoSpaceDE/>
        <w:autoSpaceDN/>
        <w:bidi w:val="0"/>
        <w:adjustRightInd/>
        <w:snapToGrid/>
        <w:spacing w:line="560" w:lineRule="atLeast"/>
        <w:ind w:firstLine="632" w:firstLineChars="200"/>
        <w:textAlignment w:val="auto"/>
        <w:rPr>
          <w:rFonts w:hint="default" w:ascii="Times New Roman" w:hAnsi="Times New Roman" w:eastAsia="仿宋_GB2312" w:cs="Times New Roman"/>
          <w:snapToGrid w:val="0"/>
          <w:spacing w:val="-2"/>
          <w:kern w:val="0"/>
          <w:sz w:val="32"/>
          <w:szCs w:val="32"/>
          <w:highlight w:val="none"/>
          <w:lang w:val="en-US" w:eastAsia="zh-CN"/>
        </w:rPr>
      </w:pPr>
      <w:r>
        <w:rPr>
          <w:rFonts w:hint="default" w:ascii="Times New Roman" w:hAnsi="Times New Roman" w:eastAsia="仿宋_GB2312" w:cs="Times New Roman"/>
          <w:snapToGrid w:val="0"/>
          <w:spacing w:val="-2"/>
          <w:kern w:val="0"/>
          <w:sz w:val="32"/>
          <w:szCs w:val="32"/>
          <w:highlight w:val="none"/>
          <w:lang w:val="en-US" w:eastAsia="zh-CN"/>
        </w:rPr>
        <w:t>我街道坚持</w:t>
      </w:r>
      <w:r>
        <w:rPr>
          <w:rFonts w:hint="eastAsia" w:ascii="Times New Roman" w:hAnsi="Times New Roman" w:eastAsia="仿宋_GB2312" w:cs="Times New Roman"/>
          <w:snapToGrid w:val="0"/>
          <w:spacing w:val="-2"/>
          <w:kern w:val="0"/>
          <w:sz w:val="32"/>
          <w:szCs w:val="32"/>
          <w:highlight w:val="none"/>
          <w:lang w:val="en-US" w:eastAsia="zh-CN"/>
        </w:rPr>
        <w:t>“</w:t>
      </w:r>
      <w:r>
        <w:rPr>
          <w:rFonts w:hint="default" w:ascii="Times New Roman" w:hAnsi="Times New Roman" w:eastAsia="仿宋_GB2312" w:cs="Times New Roman"/>
          <w:color w:val="000000"/>
          <w:kern w:val="0"/>
          <w:sz w:val="32"/>
          <w:szCs w:val="20"/>
          <w:lang w:val="en-US" w:eastAsia="zh-CN" w:bidi="ar-SA"/>
        </w:rPr>
        <w:t>绩效优先</w:t>
      </w:r>
      <w:r>
        <w:rPr>
          <w:rFonts w:hint="eastAsia" w:ascii="Times New Roman" w:hAnsi="Times New Roman" w:eastAsia="仿宋_GB2312" w:cs="Times New Roman"/>
          <w:color w:val="000000"/>
          <w:kern w:val="0"/>
          <w:sz w:val="32"/>
          <w:szCs w:val="20"/>
          <w:lang w:val="en-US" w:eastAsia="zh-CN" w:bidi="ar-SA"/>
        </w:rPr>
        <w:t>”</w:t>
      </w:r>
      <w:r>
        <w:rPr>
          <w:rFonts w:hint="default" w:ascii="Times New Roman" w:hAnsi="Times New Roman" w:eastAsia="仿宋_GB2312" w:cs="Times New Roman"/>
          <w:color w:val="000000"/>
          <w:kern w:val="0"/>
          <w:sz w:val="32"/>
          <w:szCs w:val="20"/>
          <w:lang w:val="en-US" w:eastAsia="zh-CN" w:bidi="ar-SA"/>
        </w:rPr>
        <w:t>的预算管理理念，</w:t>
      </w:r>
      <w:r>
        <w:rPr>
          <w:rFonts w:hint="default" w:ascii="Times New Roman" w:hAnsi="Times New Roman" w:eastAsia="仿宋_GB2312" w:cs="Times New Roman"/>
          <w:snapToGrid w:val="0"/>
          <w:spacing w:val="-2"/>
          <w:kern w:val="0"/>
          <w:sz w:val="32"/>
          <w:szCs w:val="32"/>
          <w:highlight w:val="none"/>
          <w:lang w:val="en-US" w:eastAsia="zh-CN"/>
        </w:rPr>
        <w:t>强化绩效管理，用好绩效评价结果。一是严格落实资金使用主体责任，将绩效理念融入预算编制全过程，紧密结合主责主业申报预算，合理设置项目绩效目标，未按规定申报绩效目标或绩效目标审核不通过的，不予安排预算。二是实施新增重大政策和项目事前绩效评审，科学合理确定项目支出内容和规模，构建</w:t>
      </w:r>
      <w:r>
        <w:rPr>
          <w:rFonts w:hint="eastAsia" w:ascii="Times New Roman" w:hAnsi="Times New Roman" w:eastAsia="仿宋_GB2312" w:cs="Times New Roman"/>
          <w:snapToGrid w:val="0"/>
          <w:spacing w:val="-2"/>
          <w:kern w:val="0"/>
          <w:sz w:val="32"/>
          <w:szCs w:val="32"/>
          <w:highlight w:val="none"/>
          <w:lang w:val="en-US" w:eastAsia="zh-CN"/>
        </w:rPr>
        <w:t>“</w:t>
      </w:r>
      <w:r>
        <w:rPr>
          <w:rFonts w:hint="default" w:ascii="Times New Roman" w:hAnsi="Times New Roman" w:eastAsia="仿宋_GB2312" w:cs="Times New Roman"/>
          <w:snapToGrid w:val="0"/>
          <w:spacing w:val="-2"/>
          <w:kern w:val="0"/>
          <w:sz w:val="32"/>
          <w:szCs w:val="32"/>
          <w:highlight w:val="none"/>
          <w:lang w:val="en-US" w:eastAsia="zh-CN"/>
        </w:rPr>
        <w:t>花钱必问效、无效必问责、违规必严惩</w:t>
      </w:r>
      <w:r>
        <w:rPr>
          <w:rFonts w:hint="eastAsia" w:ascii="Times New Roman" w:hAnsi="Times New Roman" w:eastAsia="仿宋_GB2312" w:cs="Times New Roman"/>
          <w:snapToGrid w:val="0"/>
          <w:spacing w:val="-2"/>
          <w:kern w:val="0"/>
          <w:sz w:val="32"/>
          <w:szCs w:val="32"/>
          <w:highlight w:val="none"/>
          <w:lang w:val="en-US" w:eastAsia="zh-CN"/>
        </w:rPr>
        <w:t>”</w:t>
      </w:r>
      <w:r>
        <w:rPr>
          <w:rFonts w:hint="default" w:ascii="Times New Roman" w:hAnsi="Times New Roman" w:eastAsia="仿宋_GB2312" w:cs="Times New Roman"/>
          <w:snapToGrid w:val="0"/>
          <w:spacing w:val="-2"/>
          <w:kern w:val="0"/>
          <w:sz w:val="32"/>
          <w:szCs w:val="32"/>
          <w:highlight w:val="none"/>
          <w:lang w:val="en-US" w:eastAsia="zh-CN"/>
        </w:rPr>
        <w:t>的长效机制。</w:t>
      </w:r>
    </w:p>
    <w:p>
      <w:pPr>
        <w:keepNext w:val="0"/>
        <w:keepLines w:val="0"/>
        <w:pageBreakBefore w:val="0"/>
        <w:widowControl w:val="0"/>
        <w:kinsoku/>
        <w:wordWrap/>
        <w:overflowPunct/>
        <w:topLinePunct w:val="0"/>
        <w:autoSpaceDE/>
        <w:autoSpaceDN/>
        <w:bidi w:val="0"/>
        <w:adjustRightInd/>
        <w:snapToGrid/>
        <w:ind w:firstLine="616" w:firstLineChars="200"/>
        <w:jc w:val="both"/>
        <w:textAlignment w:val="auto"/>
        <w:rPr>
          <w:rFonts w:hint="default" w:ascii="仿宋_GB2312" w:hAnsi="黑体" w:eastAsia="仿宋_GB2312" w:cs="宋体"/>
          <w:spacing w:val="-6"/>
          <w:kern w:val="0"/>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公文小标宋简">
    <w:altName w:val="宋体"/>
    <w:panose1 w:val="02010609010101010101"/>
    <w:charset w:val="00"/>
    <w:family w:val="auto"/>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E47264"/>
    <w:rsid w:val="001C361E"/>
    <w:rsid w:val="001C6E81"/>
    <w:rsid w:val="0024636A"/>
    <w:rsid w:val="00281AB0"/>
    <w:rsid w:val="003B3AAB"/>
    <w:rsid w:val="003E76C9"/>
    <w:rsid w:val="006E2725"/>
    <w:rsid w:val="006E4210"/>
    <w:rsid w:val="00AE3488"/>
    <w:rsid w:val="00B91210"/>
    <w:rsid w:val="00CA45B4"/>
    <w:rsid w:val="00E373C3"/>
    <w:rsid w:val="00FC676A"/>
    <w:rsid w:val="01A32CFD"/>
    <w:rsid w:val="01D166CA"/>
    <w:rsid w:val="01E230F8"/>
    <w:rsid w:val="025A363A"/>
    <w:rsid w:val="02652258"/>
    <w:rsid w:val="02E66CC1"/>
    <w:rsid w:val="042A6DF9"/>
    <w:rsid w:val="044A44AE"/>
    <w:rsid w:val="0491658C"/>
    <w:rsid w:val="062F5658"/>
    <w:rsid w:val="0663615A"/>
    <w:rsid w:val="06DC2762"/>
    <w:rsid w:val="07784C02"/>
    <w:rsid w:val="084D7DE7"/>
    <w:rsid w:val="08BB04F6"/>
    <w:rsid w:val="091A3E80"/>
    <w:rsid w:val="0C2E0FDF"/>
    <w:rsid w:val="0C9A243C"/>
    <w:rsid w:val="0D5D7689"/>
    <w:rsid w:val="0DCE0914"/>
    <w:rsid w:val="0E8233FB"/>
    <w:rsid w:val="0ED7096D"/>
    <w:rsid w:val="0F2B6974"/>
    <w:rsid w:val="0FA4099B"/>
    <w:rsid w:val="0FBD4DDA"/>
    <w:rsid w:val="0FCD1D3A"/>
    <w:rsid w:val="0FF97A78"/>
    <w:rsid w:val="102D5085"/>
    <w:rsid w:val="10912C95"/>
    <w:rsid w:val="11971B56"/>
    <w:rsid w:val="11A318D2"/>
    <w:rsid w:val="12473B06"/>
    <w:rsid w:val="12856F30"/>
    <w:rsid w:val="13B5533E"/>
    <w:rsid w:val="13B86DEA"/>
    <w:rsid w:val="1570227C"/>
    <w:rsid w:val="172A1C6B"/>
    <w:rsid w:val="17433A6D"/>
    <w:rsid w:val="17A22AA2"/>
    <w:rsid w:val="186A20D3"/>
    <w:rsid w:val="18841C5C"/>
    <w:rsid w:val="1B0D0735"/>
    <w:rsid w:val="1B4836E5"/>
    <w:rsid w:val="1DE45745"/>
    <w:rsid w:val="1E684F55"/>
    <w:rsid w:val="1E771E56"/>
    <w:rsid w:val="1EC25DEA"/>
    <w:rsid w:val="1F920742"/>
    <w:rsid w:val="20387597"/>
    <w:rsid w:val="216E3C45"/>
    <w:rsid w:val="21E5703E"/>
    <w:rsid w:val="220A59D5"/>
    <w:rsid w:val="23124E2F"/>
    <w:rsid w:val="2350593E"/>
    <w:rsid w:val="23C50B5C"/>
    <w:rsid w:val="23DE4C53"/>
    <w:rsid w:val="243D4691"/>
    <w:rsid w:val="24BF2416"/>
    <w:rsid w:val="251C24F4"/>
    <w:rsid w:val="259A5CD8"/>
    <w:rsid w:val="259B6A23"/>
    <w:rsid w:val="26066C2B"/>
    <w:rsid w:val="26345CA2"/>
    <w:rsid w:val="27747605"/>
    <w:rsid w:val="27F27AE7"/>
    <w:rsid w:val="28B56654"/>
    <w:rsid w:val="28C361DA"/>
    <w:rsid w:val="2B260491"/>
    <w:rsid w:val="2B843ECC"/>
    <w:rsid w:val="2BE47264"/>
    <w:rsid w:val="2C943F90"/>
    <w:rsid w:val="2D3E58B9"/>
    <w:rsid w:val="2DCD259B"/>
    <w:rsid w:val="2DF97CAB"/>
    <w:rsid w:val="2F7A6607"/>
    <w:rsid w:val="2FAC77AE"/>
    <w:rsid w:val="2FE72982"/>
    <w:rsid w:val="2FEB49B8"/>
    <w:rsid w:val="3000737D"/>
    <w:rsid w:val="31305D6D"/>
    <w:rsid w:val="3131529B"/>
    <w:rsid w:val="31F432E9"/>
    <w:rsid w:val="32087004"/>
    <w:rsid w:val="32962EEA"/>
    <w:rsid w:val="32F02757"/>
    <w:rsid w:val="335C7511"/>
    <w:rsid w:val="339A6061"/>
    <w:rsid w:val="34301E98"/>
    <w:rsid w:val="343A1F1A"/>
    <w:rsid w:val="35465D04"/>
    <w:rsid w:val="359165CA"/>
    <w:rsid w:val="36911167"/>
    <w:rsid w:val="36FC41D9"/>
    <w:rsid w:val="372D1724"/>
    <w:rsid w:val="377B0A29"/>
    <w:rsid w:val="3793579B"/>
    <w:rsid w:val="388E749B"/>
    <w:rsid w:val="38934233"/>
    <w:rsid w:val="396B3C7C"/>
    <w:rsid w:val="3AFE66E2"/>
    <w:rsid w:val="3B81188E"/>
    <w:rsid w:val="3BC155B4"/>
    <w:rsid w:val="3C676D69"/>
    <w:rsid w:val="3C7D5EDD"/>
    <w:rsid w:val="3CDC5CCD"/>
    <w:rsid w:val="3D4D330D"/>
    <w:rsid w:val="3D962750"/>
    <w:rsid w:val="3F7109AB"/>
    <w:rsid w:val="40B0262C"/>
    <w:rsid w:val="40E5657D"/>
    <w:rsid w:val="41BC0015"/>
    <w:rsid w:val="41BE0250"/>
    <w:rsid w:val="41D710A6"/>
    <w:rsid w:val="4312722A"/>
    <w:rsid w:val="43C0557B"/>
    <w:rsid w:val="45B23327"/>
    <w:rsid w:val="45F50992"/>
    <w:rsid w:val="46983507"/>
    <w:rsid w:val="48EA3958"/>
    <w:rsid w:val="493C315B"/>
    <w:rsid w:val="49B375FC"/>
    <w:rsid w:val="4A450B7D"/>
    <w:rsid w:val="4AB8648A"/>
    <w:rsid w:val="4AC813A3"/>
    <w:rsid w:val="4AD0437C"/>
    <w:rsid w:val="4AD738A9"/>
    <w:rsid w:val="4B4B1EE6"/>
    <w:rsid w:val="4BAF4A37"/>
    <w:rsid w:val="4CCC2C06"/>
    <w:rsid w:val="4D50641F"/>
    <w:rsid w:val="4E5A39BF"/>
    <w:rsid w:val="4EFB5E9E"/>
    <w:rsid w:val="4F262599"/>
    <w:rsid w:val="4FA8082B"/>
    <w:rsid w:val="50BA0212"/>
    <w:rsid w:val="50BF41AB"/>
    <w:rsid w:val="51004B39"/>
    <w:rsid w:val="51154EC5"/>
    <w:rsid w:val="512A268E"/>
    <w:rsid w:val="516539A1"/>
    <w:rsid w:val="51963BE2"/>
    <w:rsid w:val="51CF5B8F"/>
    <w:rsid w:val="52B361C4"/>
    <w:rsid w:val="53696534"/>
    <w:rsid w:val="539362D7"/>
    <w:rsid w:val="540049E6"/>
    <w:rsid w:val="543C1B5E"/>
    <w:rsid w:val="551D0A46"/>
    <w:rsid w:val="55391CDE"/>
    <w:rsid w:val="55A151A3"/>
    <w:rsid w:val="55FE16EB"/>
    <w:rsid w:val="56135425"/>
    <w:rsid w:val="56754EAA"/>
    <w:rsid w:val="568836A8"/>
    <w:rsid w:val="57564C39"/>
    <w:rsid w:val="57E129B3"/>
    <w:rsid w:val="58361FF9"/>
    <w:rsid w:val="583B3E12"/>
    <w:rsid w:val="58636779"/>
    <w:rsid w:val="5A9C5360"/>
    <w:rsid w:val="5AF463A1"/>
    <w:rsid w:val="5C5D1AD9"/>
    <w:rsid w:val="5D97284E"/>
    <w:rsid w:val="5E265116"/>
    <w:rsid w:val="5E6825D9"/>
    <w:rsid w:val="5E971570"/>
    <w:rsid w:val="5EAD5D0B"/>
    <w:rsid w:val="5F6558D0"/>
    <w:rsid w:val="5F895D45"/>
    <w:rsid w:val="603F5F81"/>
    <w:rsid w:val="60666565"/>
    <w:rsid w:val="60907F82"/>
    <w:rsid w:val="60B225B9"/>
    <w:rsid w:val="61015B3D"/>
    <w:rsid w:val="62E779CC"/>
    <w:rsid w:val="630C2E04"/>
    <w:rsid w:val="64517AFC"/>
    <w:rsid w:val="652858F5"/>
    <w:rsid w:val="659368B1"/>
    <w:rsid w:val="66913E69"/>
    <w:rsid w:val="66AB3D5E"/>
    <w:rsid w:val="66BA67C2"/>
    <w:rsid w:val="67145271"/>
    <w:rsid w:val="67E61F35"/>
    <w:rsid w:val="67F062AB"/>
    <w:rsid w:val="67FA33AD"/>
    <w:rsid w:val="693A54C3"/>
    <w:rsid w:val="69C35281"/>
    <w:rsid w:val="6A2651A1"/>
    <w:rsid w:val="6B031731"/>
    <w:rsid w:val="6BB1223D"/>
    <w:rsid w:val="6CD47640"/>
    <w:rsid w:val="6E6A745C"/>
    <w:rsid w:val="6E8F28A3"/>
    <w:rsid w:val="6EA03B66"/>
    <w:rsid w:val="6F125D54"/>
    <w:rsid w:val="70CB373B"/>
    <w:rsid w:val="716F0041"/>
    <w:rsid w:val="71C40577"/>
    <w:rsid w:val="71E5645E"/>
    <w:rsid w:val="727527B6"/>
    <w:rsid w:val="72A91BDA"/>
    <w:rsid w:val="733E73F8"/>
    <w:rsid w:val="73673D83"/>
    <w:rsid w:val="73CB544E"/>
    <w:rsid w:val="74092E31"/>
    <w:rsid w:val="743E1485"/>
    <w:rsid w:val="75494385"/>
    <w:rsid w:val="76CF332D"/>
    <w:rsid w:val="771E52B0"/>
    <w:rsid w:val="773C4B6F"/>
    <w:rsid w:val="774A4972"/>
    <w:rsid w:val="7768516E"/>
    <w:rsid w:val="78064CBC"/>
    <w:rsid w:val="78323FFC"/>
    <w:rsid w:val="785B121C"/>
    <w:rsid w:val="787B08E0"/>
    <w:rsid w:val="78894B33"/>
    <w:rsid w:val="79C63141"/>
    <w:rsid w:val="7A402A3E"/>
    <w:rsid w:val="7A9004F5"/>
    <w:rsid w:val="7A9F6EBA"/>
    <w:rsid w:val="7ABB5503"/>
    <w:rsid w:val="7C02271F"/>
    <w:rsid w:val="7C0D6913"/>
    <w:rsid w:val="7CAE45D8"/>
    <w:rsid w:val="7CC07DA1"/>
    <w:rsid w:val="7D2B1882"/>
    <w:rsid w:val="7D357CBF"/>
    <w:rsid w:val="7DBB1F79"/>
    <w:rsid w:val="7DED4785"/>
    <w:rsid w:val="7E15361D"/>
    <w:rsid w:val="7F0322D5"/>
    <w:rsid w:val="7F0A31B3"/>
    <w:rsid w:val="7F6E6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9"/>
    <w:pPr>
      <w:keepNext/>
      <w:jc w:val="center"/>
      <w:outlineLvl w:val="3"/>
    </w:pPr>
    <w:rPr>
      <w:rFonts w:eastAsia="公文小标宋简"/>
      <w:b/>
      <w:sz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afterLines="0"/>
    </w:pPr>
  </w:style>
  <w:style w:type="paragraph" w:styleId="4">
    <w:name w:val="toc 5"/>
    <w:basedOn w:val="1"/>
    <w:next w:val="1"/>
    <w:qFormat/>
    <w:uiPriority w:val="0"/>
    <w:pPr>
      <w:ind w:left="1680"/>
    </w:pPr>
    <w:rPr>
      <w:rFonts w:ascii="Times New Roman" w:hAnsi="Times New Roman" w:eastAsia="宋体" w:cs="Times New Roman"/>
    </w:rPr>
  </w:style>
  <w:style w:type="paragraph" w:styleId="5">
    <w:name w:val="Body Text Indent 2"/>
    <w:basedOn w:val="1"/>
    <w:next w:val="3"/>
    <w:qFormat/>
    <w:uiPriority w:val="0"/>
    <w:pPr>
      <w:widowControl w:val="0"/>
      <w:spacing w:before="0" w:beforeAutospacing="0" w:after="120" w:afterAutospacing="0" w:line="480" w:lineRule="auto"/>
      <w:ind w:left="420" w:leftChars="200" w:right="0"/>
      <w:jc w:val="both"/>
    </w:pPr>
    <w:rPr>
      <w:rFonts w:hint="default" w:ascii="Times New Roman" w:hAnsi="Times New Roman" w:eastAsia="宋体" w:cs="Times New Roman"/>
      <w:kern w:val="2"/>
      <w:sz w:val="21"/>
      <w:szCs w:val="24"/>
      <w:lang w:val="en-US" w:eastAsia="zh-CN"/>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toc 2"/>
    <w:basedOn w:val="1"/>
    <w:next w:val="1"/>
    <w:qFormat/>
    <w:uiPriority w:val="39"/>
  </w:style>
  <w:style w:type="paragraph" w:customStyle="1" w:styleId="10">
    <w:name w:val="列表段落"/>
    <w:basedOn w:val="1"/>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市财政局</Company>
  <Pages>3</Pages>
  <Words>192</Words>
  <Characters>1101</Characters>
  <Lines>9</Lines>
  <Paragraphs>2</Paragraphs>
  <TotalTime>319</TotalTime>
  <ScaleCrop>false</ScaleCrop>
  <LinksUpToDate>false</LinksUpToDate>
  <CharactersWithSpaces>1291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2019-02-01T10:00:00Z</dcterms:created>
  <dc:creator>llh</dc:creator>
  <cp:lastModifiedBy>Administrator</cp:lastModifiedBy>
  <cp:lastPrinted>2025-05-26T03:55:00Z</cp:lastPrinted>
  <dcterms:modified xsi:type="dcterms:W3CDTF">2026-06-10T07:15:26Z</dcterms:modified>
  <dc:title>第三部分  相关说明</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C67B35C0DB374BA79798C284D1410A5B</vt:lpwstr>
  </property>
</Properties>
</file>