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59223956">
      <w:pPr>
        <w:pStyle w:val="5"/>
        <w:widowControl/>
        <w:spacing w:before="0" w:beforeAutospacing="0" w:after="0" w:afterAutospacing="0"/>
        <w:jc w:val="center"/>
        <w:rPr>
          <w:rFonts w:hint="eastAsia" w:ascii="创艺简标宋" w:hAnsi="微软雅黑" w:eastAsia="创艺简标宋" w:cs="微软雅黑"/>
          <w:b/>
          <w:sz w:val="36"/>
          <w:szCs w:val="36"/>
        </w:rPr>
      </w:pPr>
      <w:bookmarkStart w:id="0" w:name="_GoBack"/>
      <w:r>
        <w:rPr>
          <w:rFonts w:hint="eastAsia" w:ascii="创艺简标宋" w:hAnsi="微软雅黑" w:eastAsia="创艺简标宋" w:cs="微软雅黑"/>
          <w:b/>
          <w:sz w:val="36"/>
          <w:szCs w:val="36"/>
        </w:rPr>
        <w:t>关于</w:t>
      </w:r>
      <w:r>
        <w:rPr>
          <w:rFonts w:hint="eastAsia" w:ascii="创艺简标宋" w:hAnsi="微软雅黑" w:eastAsia="创艺简标宋" w:cs="微软雅黑"/>
          <w:b/>
          <w:sz w:val="36"/>
          <w:szCs w:val="36"/>
          <w:lang w:eastAsia="zh-CN"/>
        </w:rPr>
        <w:t>中山林科电器有限公司变更规划条件</w:t>
      </w:r>
      <w:r>
        <w:rPr>
          <w:rFonts w:hint="eastAsia" w:ascii="创艺简标宋" w:hAnsi="微软雅黑" w:eastAsia="创艺简标宋" w:cs="微软雅黑"/>
          <w:b/>
          <w:sz w:val="36"/>
          <w:szCs w:val="36"/>
        </w:rPr>
        <w:t>公示的通告</w:t>
      </w:r>
      <w:bookmarkEnd w:id="0"/>
    </w:p>
    <w:p w14:paraId="0E3A003E">
      <w:pPr>
        <w:pStyle w:val="5"/>
        <w:widowControl/>
        <w:spacing w:before="0" w:beforeAutospacing="0" w:after="0" w:afterAutospacing="0"/>
        <w:jc w:val="center"/>
        <w:rPr>
          <w:rFonts w:hint="eastAsia" w:ascii="仿宋_GB2312" w:hAnsi="Arial" w:eastAsia="仿宋_GB2312" w:cs="Arial"/>
          <w:spacing w:val="-20"/>
          <w:sz w:val="32"/>
          <w:szCs w:val="32"/>
          <w:lang w:eastAsia="zh-CN"/>
        </w:rPr>
      </w:pPr>
      <w:r>
        <w:rPr>
          <w:rFonts w:hint="eastAsia" w:ascii="仿宋_GB2312" w:hAnsi="Arial" w:eastAsia="仿宋_GB2312" w:cs="Arial"/>
          <w:spacing w:val="-20"/>
          <w:sz w:val="32"/>
          <w:szCs w:val="32"/>
          <w:lang w:eastAsia="zh-CN"/>
        </w:rPr>
        <w:drawing>
          <wp:inline distT="0" distB="0" distL="114300" distR="114300">
            <wp:extent cx="5034280" cy="4242435"/>
            <wp:effectExtent l="0" t="0" r="13970" b="5715"/>
            <wp:docPr id="1" name="图片 1" descr="控规截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控规截图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034280" cy="4242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01A029">
      <w:pPr>
        <w:pStyle w:val="5"/>
        <w:widowControl/>
        <w:spacing w:before="0" w:beforeAutospacing="0" w:after="0" w:afterAutospacing="0"/>
        <w:jc w:val="center"/>
        <w:rPr>
          <w:rFonts w:hint="eastAsia" w:ascii="仿宋_GB2312" w:hAnsi="Arial" w:eastAsia="仿宋_GB2312" w:cs="Arial"/>
          <w:spacing w:val="-20"/>
          <w:sz w:val="32"/>
          <w:szCs w:val="32"/>
        </w:rPr>
      </w:pPr>
      <w:r>
        <w:rPr>
          <w:rFonts w:hint="eastAsia" w:ascii="仿宋_GB2312" w:hAnsi="Arial" w:eastAsia="仿宋_GB2312" w:cs="Arial"/>
          <w:spacing w:val="-20"/>
          <w:sz w:val="32"/>
          <w:szCs w:val="32"/>
        </w:rPr>
        <w:t>地块区位图</w:t>
      </w:r>
    </w:p>
    <w:p w14:paraId="29DDAA42">
      <w:pPr>
        <w:widowControl/>
        <w:ind w:firstLine="560" w:firstLineChars="200"/>
        <w:jc w:val="left"/>
        <w:rPr>
          <w:rFonts w:hint="eastAsia" w:ascii="仿宋_GB2312" w:hAnsi="Arial" w:eastAsia="仿宋_GB2312" w:cs="Arial"/>
          <w:spacing w:val="-20"/>
          <w:sz w:val="32"/>
          <w:szCs w:val="32"/>
        </w:rPr>
      </w:pPr>
      <w:r>
        <w:rPr>
          <w:rFonts w:hint="eastAsia" w:ascii="仿宋_GB2312" w:hAnsi="Arial" w:eastAsia="仿宋_GB2312" w:cs="Arial"/>
          <w:spacing w:val="-20"/>
          <w:sz w:val="32"/>
          <w:szCs w:val="32"/>
        </w:rPr>
        <w:t>建设单位</w:t>
      </w:r>
      <w:r>
        <w:rPr>
          <w:rFonts w:hint="eastAsia" w:ascii="仿宋_GB2312" w:hAnsi="Arial" w:eastAsia="仿宋_GB2312" w:cs="Arial"/>
          <w:spacing w:val="-20"/>
          <w:sz w:val="32"/>
          <w:szCs w:val="32"/>
          <w:lang w:eastAsia="zh-CN"/>
        </w:rPr>
        <w:t>中山林科电器有限公司</w:t>
      </w:r>
      <w:r>
        <w:rPr>
          <w:rFonts w:hint="eastAsia" w:ascii="仿宋_GB2312" w:hAnsi="Arial" w:eastAsia="仿宋_GB2312" w:cs="Arial"/>
          <w:spacing w:val="-20"/>
          <w:sz w:val="32"/>
          <w:szCs w:val="32"/>
        </w:rPr>
        <w:t>向我局申请变更名下一宗用地规划条件。我局已受理其申请，按照城乡规划相关法律、法规的有关规定，现对申请变更规划条件事项进行公示，公示如下：</w:t>
      </w:r>
    </w:p>
    <w:p w14:paraId="1A79C96C">
      <w:pPr>
        <w:widowControl/>
        <w:ind w:firstLine="560" w:firstLineChars="200"/>
        <w:jc w:val="left"/>
        <w:rPr>
          <w:rFonts w:hint="eastAsia" w:ascii="仿宋_GB2312" w:hAnsi="Arial" w:eastAsia="仿宋_GB2312" w:cs="Arial"/>
          <w:spacing w:val="-20"/>
          <w:sz w:val="32"/>
          <w:szCs w:val="32"/>
        </w:rPr>
      </w:pPr>
      <w:r>
        <w:rPr>
          <w:rFonts w:hint="eastAsia" w:ascii="仿宋_GB2312" w:hAnsi="Arial" w:eastAsia="仿宋_GB2312" w:cs="Arial"/>
          <w:spacing w:val="-20"/>
          <w:sz w:val="32"/>
          <w:szCs w:val="32"/>
        </w:rPr>
        <w:t>一、申请调整</w:t>
      </w:r>
      <w:r>
        <w:rPr>
          <w:rFonts w:hint="eastAsia" w:ascii="仿宋_GB2312" w:hAnsi="Arial" w:eastAsia="仿宋_GB2312" w:cs="Arial"/>
          <w:spacing w:val="-20"/>
          <w:sz w:val="32"/>
          <w:szCs w:val="32"/>
          <w:lang w:eastAsia="zh-CN"/>
        </w:rPr>
        <w:t>建筑限高</w:t>
      </w:r>
      <w:r>
        <w:rPr>
          <w:rFonts w:hint="eastAsia" w:ascii="仿宋_GB2312" w:hAnsi="Arial" w:eastAsia="仿宋_GB2312" w:cs="Arial"/>
          <w:spacing w:val="-20"/>
          <w:sz w:val="32"/>
          <w:szCs w:val="32"/>
        </w:rPr>
        <w:t>事项用地的基本情况</w:t>
      </w:r>
    </w:p>
    <w:p w14:paraId="7150DE52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0" w:afterAutospacing="0"/>
        <w:ind w:left="0" w:right="0" w:firstLine="560" w:firstLineChars="200"/>
        <w:jc w:val="left"/>
        <w:rPr>
          <w:rFonts w:hint="eastAsia" w:ascii="仿宋_GB2312" w:hAnsi="Arial" w:eastAsia="仿宋_GB2312" w:cs="Arial"/>
          <w:spacing w:val="-20"/>
          <w:sz w:val="32"/>
          <w:szCs w:val="32"/>
        </w:rPr>
      </w:pPr>
      <w:r>
        <w:rPr>
          <w:rFonts w:hint="eastAsia" w:ascii="仿宋_GB2312" w:hAnsi="Arial" w:eastAsia="仿宋_GB2312" w:cs="Arial"/>
          <w:spacing w:val="-20"/>
          <w:sz w:val="32"/>
          <w:szCs w:val="32"/>
          <w:lang w:eastAsia="zh-CN"/>
        </w:rPr>
        <w:t>不动产权证</w:t>
      </w:r>
      <w:r>
        <w:rPr>
          <w:rFonts w:hint="eastAsia" w:ascii="仿宋_GB2312" w:hAnsi="Arial" w:eastAsia="仿宋_GB2312" w:cs="Arial"/>
          <w:spacing w:val="-20"/>
          <w:sz w:val="32"/>
          <w:szCs w:val="32"/>
        </w:rPr>
        <w:t>号：粤（2026）中山市不动产权第0439914号，权利人：</w:t>
      </w:r>
      <w:r>
        <w:rPr>
          <w:rFonts w:hint="eastAsia" w:ascii="仿宋_GB2312" w:hAnsi="Arial" w:eastAsia="仿宋_GB2312" w:cs="Arial"/>
          <w:spacing w:val="-20"/>
          <w:sz w:val="32"/>
          <w:szCs w:val="32"/>
          <w:lang w:eastAsia="zh-CN"/>
        </w:rPr>
        <w:t>中山林科电器有限公司</w:t>
      </w:r>
      <w:r>
        <w:rPr>
          <w:rFonts w:hint="eastAsia" w:ascii="仿宋_GB2312" w:hAnsi="Arial" w:eastAsia="仿宋_GB2312" w:cs="Arial"/>
          <w:spacing w:val="-20"/>
          <w:sz w:val="32"/>
          <w:szCs w:val="32"/>
        </w:rPr>
        <w:t>，坐落：中山市黄圃镇宝珠东路38号，土地使用权取得方式：出让，用途：工业</w:t>
      </w:r>
      <w:r>
        <w:rPr>
          <w:rFonts w:hint="eastAsia" w:ascii="仿宋_GB2312" w:hAnsi="Arial" w:eastAsia="仿宋_GB2312" w:cs="Arial"/>
          <w:spacing w:val="-20"/>
          <w:sz w:val="32"/>
          <w:szCs w:val="32"/>
          <w:lang w:eastAsia="zh-CN"/>
        </w:rPr>
        <w:t>用地</w:t>
      </w:r>
      <w:r>
        <w:rPr>
          <w:rFonts w:hint="eastAsia" w:ascii="仿宋_GB2312" w:hAnsi="Arial" w:eastAsia="仿宋_GB2312" w:cs="Arial"/>
          <w:spacing w:val="-20"/>
          <w:sz w:val="32"/>
          <w:szCs w:val="32"/>
        </w:rPr>
        <w:t>，用地面积11824.06平方米。该用地在《</w:t>
      </w:r>
      <w:r>
        <w:rPr>
          <w:rFonts w:hint="eastAsia" w:ascii="仿宋_GB2312" w:hAnsi="Arial" w:eastAsia="仿宋_GB2312" w:cs="Arial"/>
          <w:spacing w:val="-20"/>
          <w:sz w:val="32"/>
          <w:szCs w:val="32"/>
          <w:lang w:val="en-US" w:eastAsia="zh-CN"/>
        </w:rPr>
        <w:t>中山市黄圃镇吴栏片区（0505单元）07街区控制性详细规划一般修改（2026）</w:t>
      </w:r>
      <w:r>
        <w:rPr>
          <w:rFonts w:hint="eastAsia" w:ascii="仿宋_GB2312" w:hAnsi="Arial" w:eastAsia="仿宋_GB2312" w:cs="Arial"/>
          <w:spacing w:val="-20"/>
          <w:sz w:val="32"/>
          <w:szCs w:val="32"/>
        </w:rPr>
        <w:t>》中确定的规划用地性质为</w:t>
      </w:r>
      <w:r>
        <w:rPr>
          <w:rFonts w:hint="eastAsia" w:ascii="仿宋_GB2312" w:hAnsi="Arial" w:eastAsia="仿宋_GB2312" w:cs="Arial"/>
          <w:spacing w:val="-20"/>
          <w:sz w:val="32"/>
          <w:szCs w:val="32"/>
          <w:lang w:eastAsia="zh-CN"/>
        </w:rPr>
        <w:t>二</w:t>
      </w:r>
      <w:r>
        <w:rPr>
          <w:rFonts w:hint="eastAsia" w:ascii="仿宋_GB2312" w:hAnsi="Arial" w:eastAsia="仿宋_GB2312" w:cs="Arial"/>
          <w:spacing w:val="-20"/>
          <w:sz w:val="32"/>
          <w:szCs w:val="32"/>
        </w:rPr>
        <w:t>类工业用地，地块编码：</w:t>
      </w:r>
      <w:r>
        <w:rPr>
          <w:rFonts w:hint="eastAsia" w:ascii="仿宋_GB2312" w:hAnsi="Arial" w:eastAsia="仿宋_GB2312" w:cs="Arial"/>
          <w:spacing w:val="-20"/>
          <w:sz w:val="32"/>
          <w:szCs w:val="32"/>
          <w:lang w:val="zh-CN"/>
        </w:rPr>
        <w:t>0505-07-C06</w:t>
      </w:r>
      <w:r>
        <w:rPr>
          <w:rFonts w:hint="eastAsia" w:ascii="仿宋_GB2312" w:hAnsi="Arial" w:eastAsia="仿宋_GB2312" w:cs="Arial"/>
          <w:spacing w:val="-20"/>
          <w:sz w:val="32"/>
          <w:szCs w:val="32"/>
        </w:rPr>
        <w:t>。</w:t>
      </w:r>
    </w:p>
    <w:p w14:paraId="7C8CB225">
      <w:pPr>
        <w:widowControl/>
        <w:ind w:firstLine="560" w:firstLineChars="200"/>
        <w:jc w:val="left"/>
        <w:rPr>
          <w:rFonts w:hint="eastAsia" w:ascii="仿宋_GB2312" w:hAnsi="Arial" w:eastAsia="仿宋_GB2312" w:cs="Arial"/>
          <w:spacing w:val="-20"/>
          <w:sz w:val="32"/>
          <w:szCs w:val="32"/>
        </w:rPr>
      </w:pPr>
      <w:r>
        <w:rPr>
          <w:rFonts w:hint="eastAsia" w:ascii="仿宋_GB2312" w:hAnsi="Arial" w:eastAsia="仿宋_GB2312" w:cs="Arial"/>
          <w:spacing w:val="-20"/>
          <w:sz w:val="32"/>
          <w:szCs w:val="32"/>
        </w:rPr>
        <w:t>二、原出让合同建设指标</w:t>
      </w:r>
    </w:p>
    <w:p w14:paraId="0838B77C">
      <w:pPr>
        <w:widowControl/>
        <w:ind w:firstLine="560" w:firstLineChars="200"/>
        <w:jc w:val="left"/>
        <w:rPr>
          <w:rFonts w:hint="eastAsia" w:ascii="仿宋_GB2312" w:hAnsi="Arial" w:eastAsia="仿宋_GB2312" w:cs="Arial"/>
          <w:spacing w:val="-20"/>
          <w:sz w:val="32"/>
          <w:szCs w:val="32"/>
          <w:lang w:eastAsia="zh-CN"/>
        </w:rPr>
      </w:pPr>
      <w:r>
        <w:rPr>
          <w:rFonts w:hint="eastAsia" w:ascii="仿宋_GB2312" w:hAnsi="Arial" w:eastAsia="仿宋_GB2312" w:cs="Arial"/>
          <w:spacing w:val="-20"/>
          <w:sz w:val="32"/>
          <w:szCs w:val="32"/>
        </w:rPr>
        <w:t>用地性质：工业</w:t>
      </w:r>
    </w:p>
    <w:p w14:paraId="1D4EBDEA">
      <w:pPr>
        <w:widowControl/>
        <w:ind w:firstLine="560" w:firstLineChars="200"/>
        <w:jc w:val="left"/>
        <w:rPr>
          <w:rFonts w:hint="eastAsia" w:ascii="仿宋_GB2312" w:hAnsi="Arial" w:eastAsia="仿宋_GB2312" w:cs="Arial"/>
          <w:spacing w:val="-20"/>
          <w:sz w:val="32"/>
          <w:szCs w:val="32"/>
        </w:rPr>
      </w:pPr>
      <w:r>
        <w:rPr>
          <w:rFonts w:hint="eastAsia" w:ascii="仿宋_GB2312" w:hAnsi="Arial" w:eastAsia="仿宋_GB2312" w:cs="Arial"/>
          <w:spacing w:val="-20"/>
          <w:sz w:val="32"/>
          <w:szCs w:val="32"/>
        </w:rPr>
        <w:t>容积率：</w:t>
      </w:r>
      <w:r>
        <w:rPr>
          <w:rFonts w:hint="eastAsia" w:ascii="仿宋_GB2312" w:hAnsi="Arial" w:eastAsia="仿宋_GB2312" w:cs="Arial"/>
          <w:spacing w:val="-20"/>
          <w:sz w:val="32"/>
          <w:szCs w:val="32"/>
          <w:lang w:val="en-US" w:eastAsia="zh-CN"/>
        </w:rPr>
        <w:t>2</w:t>
      </w:r>
      <w:r>
        <w:rPr>
          <w:rFonts w:hint="eastAsia" w:ascii="仿宋_GB2312" w:hAnsi="Arial" w:eastAsia="仿宋_GB2312" w:cs="Arial"/>
          <w:spacing w:val="-20"/>
          <w:sz w:val="32"/>
          <w:szCs w:val="32"/>
          <w:lang w:eastAsia="zh-CN"/>
        </w:rPr>
        <w:t>.0-</w:t>
      </w:r>
      <w:r>
        <w:rPr>
          <w:rFonts w:hint="eastAsia" w:ascii="仿宋_GB2312" w:hAnsi="Arial" w:eastAsia="仿宋_GB2312" w:cs="Arial"/>
          <w:spacing w:val="-20"/>
          <w:sz w:val="32"/>
          <w:szCs w:val="32"/>
          <w:lang w:val="en-US" w:eastAsia="zh-CN"/>
        </w:rPr>
        <w:t>4</w:t>
      </w:r>
      <w:r>
        <w:rPr>
          <w:rFonts w:hint="eastAsia" w:ascii="仿宋_GB2312" w:hAnsi="Arial" w:eastAsia="仿宋_GB2312" w:cs="Arial"/>
          <w:spacing w:val="-20"/>
          <w:sz w:val="32"/>
          <w:szCs w:val="32"/>
          <w:lang w:eastAsia="zh-CN"/>
        </w:rPr>
        <w:t>.</w:t>
      </w:r>
      <w:r>
        <w:rPr>
          <w:rFonts w:hint="eastAsia" w:ascii="仿宋_GB2312" w:hAnsi="Arial" w:eastAsia="仿宋_GB2312" w:cs="Arial"/>
          <w:spacing w:val="-20"/>
          <w:sz w:val="32"/>
          <w:szCs w:val="32"/>
          <w:lang w:val="en-US" w:eastAsia="zh-CN"/>
        </w:rPr>
        <w:t>0</w:t>
      </w:r>
      <w:r>
        <w:rPr>
          <w:rFonts w:hint="eastAsia" w:ascii="仿宋_GB2312" w:hAnsi="Arial" w:eastAsia="仿宋_GB2312" w:cs="Arial"/>
          <w:spacing w:val="-20"/>
          <w:sz w:val="32"/>
          <w:szCs w:val="32"/>
        </w:rPr>
        <w:t>，绿地率：</w:t>
      </w:r>
      <w:r>
        <w:rPr>
          <w:rFonts w:hint="eastAsia" w:ascii="仿宋_GB2312" w:hAnsi="Arial" w:eastAsia="仿宋_GB2312" w:cs="Arial"/>
          <w:spacing w:val="-20"/>
          <w:sz w:val="32"/>
          <w:szCs w:val="32"/>
          <w:lang w:eastAsia="zh-CN"/>
        </w:rPr>
        <w:t>10</w:t>
      </w:r>
      <w:r>
        <w:rPr>
          <w:rFonts w:hint="eastAsia" w:ascii="仿宋_GB2312" w:hAnsi="Arial" w:eastAsia="仿宋_GB2312" w:cs="Arial"/>
          <w:spacing w:val="-20"/>
          <w:sz w:val="32"/>
          <w:szCs w:val="32"/>
          <w:lang w:val="en-US" w:eastAsia="zh-CN"/>
        </w:rPr>
        <w:t>%</w:t>
      </w:r>
      <w:r>
        <w:rPr>
          <w:rFonts w:hint="eastAsia" w:ascii="仿宋_GB2312" w:hAnsi="Arial" w:eastAsia="仿宋_GB2312" w:cs="Arial"/>
          <w:spacing w:val="-20"/>
          <w:sz w:val="32"/>
          <w:szCs w:val="32"/>
          <w:lang w:eastAsia="zh-CN"/>
        </w:rPr>
        <w:t>-15</w:t>
      </w:r>
      <w:r>
        <w:rPr>
          <w:rFonts w:hint="eastAsia" w:ascii="仿宋_GB2312" w:hAnsi="Arial" w:eastAsia="仿宋_GB2312" w:cs="Arial"/>
          <w:spacing w:val="-20"/>
          <w:sz w:val="32"/>
          <w:szCs w:val="32"/>
          <w:lang w:val="en-US" w:eastAsia="zh-CN"/>
        </w:rPr>
        <w:t>%</w:t>
      </w:r>
      <w:r>
        <w:rPr>
          <w:rFonts w:hint="eastAsia" w:ascii="仿宋_GB2312" w:hAnsi="Arial" w:eastAsia="仿宋_GB2312" w:cs="Arial"/>
          <w:spacing w:val="-20"/>
          <w:sz w:val="32"/>
          <w:szCs w:val="32"/>
        </w:rPr>
        <w:t>，建筑密度：</w:t>
      </w:r>
      <w:r>
        <w:rPr>
          <w:rFonts w:hint="eastAsia" w:ascii="仿宋_GB2312" w:hAnsi="Arial" w:eastAsia="仿宋_GB2312" w:cs="Arial"/>
          <w:spacing w:val="-20"/>
          <w:sz w:val="32"/>
          <w:szCs w:val="32"/>
          <w:lang w:val="en-US" w:eastAsia="zh-CN"/>
        </w:rPr>
        <w:t>35%-60%</w:t>
      </w:r>
      <w:r>
        <w:rPr>
          <w:rFonts w:hint="eastAsia" w:ascii="仿宋_GB2312" w:hAnsi="Arial" w:eastAsia="仿宋_GB2312" w:cs="Arial"/>
          <w:spacing w:val="-20"/>
          <w:sz w:val="32"/>
          <w:szCs w:val="32"/>
        </w:rPr>
        <w:t>，建筑限高：</w:t>
      </w:r>
      <w:r>
        <w:rPr>
          <w:rFonts w:hint="eastAsia" w:ascii="仿宋_GB2312" w:hAnsi="Arial" w:eastAsia="仿宋_GB2312" w:cs="Arial"/>
          <w:spacing w:val="-20"/>
          <w:sz w:val="32"/>
          <w:szCs w:val="32"/>
          <w:lang w:val="en-US" w:eastAsia="zh-CN"/>
        </w:rPr>
        <w:t>生产性建筑高度≤70米；配套设施建筑高度≤100米</w:t>
      </w:r>
      <w:r>
        <w:rPr>
          <w:rFonts w:hint="eastAsia" w:ascii="仿宋_GB2312" w:hAnsi="Arial" w:eastAsia="仿宋_GB2312" w:cs="Arial"/>
          <w:spacing w:val="-20"/>
          <w:sz w:val="32"/>
          <w:szCs w:val="32"/>
        </w:rPr>
        <w:t>。</w:t>
      </w:r>
    </w:p>
    <w:p w14:paraId="4CFC5E9A">
      <w:pPr>
        <w:widowControl/>
        <w:ind w:firstLine="560" w:firstLineChars="200"/>
        <w:jc w:val="left"/>
        <w:rPr>
          <w:rFonts w:hint="eastAsia" w:ascii="仿宋_GB2312" w:hAnsi="Arial" w:eastAsia="仿宋_GB2312" w:cs="Arial"/>
          <w:spacing w:val="-20"/>
          <w:sz w:val="32"/>
          <w:szCs w:val="32"/>
        </w:rPr>
      </w:pPr>
      <w:r>
        <w:rPr>
          <w:rFonts w:hint="eastAsia" w:ascii="仿宋_GB2312" w:hAnsi="Arial" w:eastAsia="仿宋_GB2312" w:cs="Arial"/>
          <w:spacing w:val="-20"/>
          <w:sz w:val="32"/>
          <w:szCs w:val="32"/>
        </w:rPr>
        <w:t>三、控制性详细规划指标</w:t>
      </w:r>
    </w:p>
    <w:p w14:paraId="1209CB09">
      <w:pPr>
        <w:widowControl/>
        <w:ind w:firstLine="560" w:firstLineChars="200"/>
        <w:jc w:val="left"/>
        <w:rPr>
          <w:rFonts w:hint="eastAsia" w:ascii="仿宋_GB2312" w:hAnsi="Arial" w:eastAsia="仿宋_GB2312" w:cs="Arial"/>
          <w:spacing w:val="-20"/>
          <w:sz w:val="32"/>
          <w:szCs w:val="32"/>
        </w:rPr>
      </w:pPr>
      <w:r>
        <w:rPr>
          <w:rFonts w:hint="eastAsia" w:ascii="仿宋_GB2312" w:hAnsi="Arial" w:eastAsia="仿宋_GB2312" w:cs="Arial"/>
          <w:spacing w:val="-20"/>
          <w:sz w:val="32"/>
          <w:szCs w:val="32"/>
        </w:rPr>
        <w:t>用地性质：</w:t>
      </w:r>
      <w:r>
        <w:rPr>
          <w:rFonts w:hint="eastAsia" w:ascii="仿宋_GB2312" w:hAnsi="Arial" w:eastAsia="仿宋_GB2312" w:cs="Arial"/>
          <w:spacing w:val="-20"/>
          <w:sz w:val="32"/>
          <w:szCs w:val="32"/>
          <w:lang w:eastAsia="zh-CN"/>
        </w:rPr>
        <w:t>二类</w:t>
      </w:r>
      <w:r>
        <w:rPr>
          <w:rFonts w:hint="eastAsia" w:ascii="仿宋_GB2312" w:hAnsi="Arial" w:eastAsia="仿宋_GB2312" w:cs="Arial"/>
          <w:spacing w:val="-20"/>
          <w:sz w:val="32"/>
          <w:szCs w:val="32"/>
        </w:rPr>
        <w:t>工业</w:t>
      </w:r>
      <w:r>
        <w:rPr>
          <w:rFonts w:hint="eastAsia" w:ascii="仿宋_GB2312" w:hAnsi="Arial" w:eastAsia="仿宋_GB2312" w:cs="Arial"/>
          <w:spacing w:val="-20"/>
          <w:sz w:val="32"/>
          <w:szCs w:val="32"/>
          <w:lang w:eastAsia="zh-CN"/>
        </w:rPr>
        <w:t>用地</w:t>
      </w:r>
    </w:p>
    <w:p w14:paraId="52BF3C1C">
      <w:pPr>
        <w:widowControl/>
        <w:ind w:firstLine="560" w:firstLineChars="200"/>
        <w:jc w:val="left"/>
        <w:rPr>
          <w:rFonts w:hint="eastAsia" w:ascii="仿宋_GB2312" w:hAnsi="Arial" w:eastAsia="仿宋_GB2312" w:cs="Arial"/>
          <w:spacing w:val="-20"/>
          <w:sz w:val="32"/>
          <w:szCs w:val="32"/>
        </w:rPr>
      </w:pPr>
      <w:r>
        <w:rPr>
          <w:rFonts w:hint="eastAsia" w:ascii="仿宋_GB2312" w:hAnsi="Arial" w:eastAsia="仿宋_GB2312" w:cs="Arial"/>
          <w:spacing w:val="-20"/>
          <w:sz w:val="32"/>
          <w:szCs w:val="32"/>
        </w:rPr>
        <w:t>容积率</w:t>
      </w:r>
      <w:r>
        <w:rPr>
          <w:rFonts w:hint="eastAsia" w:ascii="仿宋_GB2312" w:hAnsi="Arial" w:eastAsia="仿宋_GB2312" w:cs="Arial"/>
          <w:spacing w:val="-20"/>
          <w:sz w:val="32"/>
          <w:szCs w:val="32"/>
          <w:lang w:eastAsia="zh-CN"/>
        </w:rPr>
        <w:t>：</w:t>
      </w:r>
      <w:r>
        <w:rPr>
          <w:rFonts w:hint="eastAsia" w:ascii="仿宋_GB2312" w:hAnsi="Arial" w:eastAsia="仿宋_GB2312" w:cs="Arial"/>
          <w:spacing w:val="-20"/>
          <w:sz w:val="32"/>
          <w:szCs w:val="32"/>
          <w:lang w:val="en-US" w:eastAsia="zh-CN"/>
        </w:rPr>
        <w:t>2</w:t>
      </w:r>
      <w:r>
        <w:rPr>
          <w:rFonts w:hint="eastAsia" w:ascii="仿宋_GB2312" w:hAnsi="Arial" w:eastAsia="仿宋_GB2312" w:cs="Arial"/>
          <w:spacing w:val="-20"/>
          <w:sz w:val="32"/>
          <w:szCs w:val="32"/>
          <w:lang w:eastAsia="zh-CN"/>
        </w:rPr>
        <w:t>.0-</w:t>
      </w:r>
      <w:r>
        <w:rPr>
          <w:rFonts w:hint="eastAsia" w:ascii="仿宋_GB2312" w:hAnsi="Arial" w:eastAsia="仿宋_GB2312" w:cs="Arial"/>
          <w:spacing w:val="-20"/>
          <w:sz w:val="32"/>
          <w:szCs w:val="32"/>
          <w:lang w:val="en-US" w:eastAsia="zh-CN"/>
        </w:rPr>
        <w:t>4</w:t>
      </w:r>
      <w:r>
        <w:rPr>
          <w:rFonts w:hint="eastAsia" w:ascii="仿宋_GB2312" w:hAnsi="Arial" w:eastAsia="仿宋_GB2312" w:cs="Arial"/>
          <w:spacing w:val="-20"/>
          <w:sz w:val="32"/>
          <w:szCs w:val="32"/>
          <w:lang w:eastAsia="zh-CN"/>
        </w:rPr>
        <w:t>.</w:t>
      </w:r>
      <w:r>
        <w:rPr>
          <w:rFonts w:hint="eastAsia" w:ascii="仿宋_GB2312" w:hAnsi="Arial" w:eastAsia="仿宋_GB2312" w:cs="Arial"/>
          <w:spacing w:val="-20"/>
          <w:sz w:val="32"/>
          <w:szCs w:val="32"/>
          <w:lang w:val="en-US" w:eastAsia="zh-CN"/>
        </w:rPr>
        <w:t>0，绿地率：10%-15%，建筑密度：35%-60%，建筑限高：生产性建筑高度≤70米；配套设施建筑高度≤100米</w:t>
      </w:r>
      <w:r>
        <w:rPr>
          <w:rFonts w:hint="eastAsia" w:ascii="仿宋_GB2312" w:hAnsi="Arial" w:eastAsia="仿宋_GB2312" w:cs="Arial"/>
          <w:spacing w:val="-20"/>
          <w:sz w:val="32"/>
          <w:szCs w:val="32"/>
        </w:rPr>
        <w:t>。</w:t>
      </w:r>
    </w:p>
    <w:p w14:paraId="4D5EA665">
      <w:pPr>
        <w:widowControl/>
        <w:ind w:firstLine="560" w:firstLineChars="200"/>
        <w:jc w:val="left"/>
        <w:rPr>
          <w:rFonts w:hint="eastAsia" w:ascii="仿宋_GB2312" w:hAnsi="Arial" w:eastAsia="仿宋_GB2312" w:cs="Arial"/>
          <w:spacing w:val="-20"/>
          <w:sz w:val="32"/>
          <w:szCs w:val="32"/>
        </w:rPr>
      </w:pPr>
      <w:r>
        <w:rPr>
          <w:rFonts w:hint="eastAsia" w:ascii="仿宋_GB2312" w:hAnsi="Arial" w:eastAsia="仿宋_GB2312" w:cs="Arial"/>
          <w:spacing w:val="-20"/>
          <w:sz w:val="32"/>
          <w:szCs w:val="32"/>
        </w:rPr>
        <w:t>四、变更后规划条件建设指标</w:t>
      </w:r>
    </w:p>
    <w:p w14:paraId="0221E2A2">
      <w:pPr>
        <w:widowControl/>
        <w:ind w:firstLine="560" w:firstLineChars="200"/>
        <w:jc w:val="left"/>
        <w:rPr>
          <w:rFonts w:hint="eastAsia" w:ascii="仿宋_GB2312" w:hAnsi="Arial" w:eastAsia="仿宋_GB2312" w:cs="Arial"/>
          <w:spacing w:val="-20"/>
          <w:sz w:val="32"/>
          <w:szCs w:val="32"/>
        </w:rPr>
      </w:pPr>
      <w:r>
        <w:rPr>
          <w:rFonts w:hint="eastAsia" w:ascii="仿宋_GB2312" w:hAnsi="Arial" w:eastAsia="仿宋_GB2312" w:cs="Arial"/>
          <w:spacing w:val="-20"/>
          <w:sz w:val="32"/>
          <w:szCs w:val="32"/>
        </w:rPr>
        <w:t>用地性质：</w:t>
      </w:r>
      <w:r>
        <w:rPr>
          <w:rFonts w:hint="eastAsia" w:ascii="仿宋_GB2312" w:hAnsi="Arial" w:eastAsia="仿宋_GB2312" w:cs="Arial"/>
          <w:spacing w:val="-20"/>
          <w:sz w:val="32"/>
          <w:szCs w:val="32"/>
          <w:lang w:eastAsia="zh-CN"/>
        </w:rPr>
        <w:t>二</w:t>
      </w:r>
      <w:r>
        <w:rPr>
          <w:rFonts w:hint="eastAsia" w:ascii="仿宋_GB2312" w:hAnsi="Arial" w:eastAsia="仿宋_GB2312" w:cs="Arial"/>
          <w:spacing w:val="-20"/>
          <w:sz w:val="32"/>
          <w:szCs w:val="32"/>
        </w:rPr>
        <w:t>类工业用地</w:t>
      </w:r>
    </w:p>
    <w:p w14:paraId="0976B62E">
      <w:pPr>
        <w:widowControl/>
        <w:ind w:firstLine="560" w:firstLineChars="200"/>
        <w:jc w:val="left"/>
        <w:rPr>
          <w:rFonts w:hint="eastAsia" w:ascii="仿宋_GB2312" w:hAnsi="Arial" w:eastAsia="仿宋_GB2312" w:cs="Arial"/>
          <w:spacing w:val="-20"/>
          <w:sz w:val="32"/>
          <w:szCs w:val="32"/>
        </w:rPr>
      </w:pPr>
      <w:r>
        <w:rPr>
          <w:rFonts w:hint="eastAsia" w:ascii="仿宋_GB2312" w:hAnsi="Arial" w:eastAsia="仿宋_GB2312" w:cs="Arial"/>
          <w:spacing w:val="-20"/>
          <w:sz w:val="32"/>
          <w:szCs w:val="32"/>
        </w:rPr>
        <w:t>容积率</w:t>
      </w:r>
      <w:r>
        <w:rPr>
          <w:rFonts w:hint="eastAsia" w:ascii="仿宋_GB2312" w:hAnsi="Arial" w:eastAsia="仿宋_GB2312" w:cs="Arial"/>
          <w:spacing w:val="-20"/>
          <w:sz w:val="32"/>
          <w:szCs w:val="32"/>
          <w:lang w:eastAsia="zh-CN"/>
        </w:rPr>
        <w:t>：</w:t>
      </w:r>
      <w:r>
        <w:rPr>
          <w:rFonts w:hint="eastAsia" w:ascii="仿宋_GB2312" w:hAnsi="Arial" w:eastAsia="仿宋_GB2312" w:cs="Arial"/>
          <w:spacing w:val="-20"/>
          <w:sz w:val="32"/>
          <w:szCs w:val="32"/>
          <w:lang w:val="en-US" w:eastAsia="zh-CN"/>
        </w:rPr>
        <w:t>2</w:t>
      </w:r>
      <w:r>
        <w:rPr>
          <w:rFonts w:hint="eastAsia" w:ascii="仿宋_GB2312" w:hAnsi="Arial" w:eastAsia="仿宋_GB2312" w:cs="Arial"/>
          <w:spacing w:val="-20"/>
          <w:sz w:val="32"/>
          <w:szCs w:val="32"/>
          <w:lang w:eastAsia="zh-CN"/>
        </w:rPr>
        <w:t>.0-</w:t>
      </w:r>
      <w:r>
        <w:rPr>
          <w:rFonts w:hint="eastAsia" w:ascii="仿宋_GB2312" w:hAnsi="Arial" w:eastAsia="仿宋_GB2312" w:cs="Arial"/>
          <w:spacing w:val="-20"/>
          <w:sz w:val="32"/>
          <w:szCs w:val="32"/>
          <w:lang w:val="en-US" w:eastAsia="zh-CN"/>
        </w:rPr>
        <w:t>4</w:t>
      </w:r>
      <w:r>
        <w:rPr>
          <w:rFonts w:hint="eastAsia" w:ascii="仿宋_GB2312" w:hAnsi="Arial" w:eastAsia="仿宋_GB2312" w:cs="Arial"/>
          <w:spacing w:val="-20"/>
          <w:sz w:val="32"/>
          <w:szCs w:val="32"/>
          <w:lang w:eastAsia="zh-CN"/>
        </w:rPr>
        <w:t>.</w:t>
      </w:r>
      <w:r>
        <w:rPr>
          <w:rFonts w:hint="eastAsia" w:ascii="仿宋_GB2312" w:hAnsi="Arial" w:eastAsia="仿宋_GB2312" w:cs="Arial"/>
          <w:spacing w:val="-20"/>
          <w:sz w:val="32"/>
          <w:szCs w:val="32"/>
          <w:lang w:val="en-US" w:eastAsia="zh-CN"/>
        </w:rPr>
        <w:t>0，绿地率：10%-15%，建筑密度：35%-60%，建筑限高：生产性建筑高度≤70米；配套设施建筑高度≤100米（其中，配套宿舍不得超过80米）</w:t>
      </w:r>
      <w:r>
        <w:rPr>
          <w:rFonts w:hint="eastAsia" w:ascii="仿宋_GB2312" w:hAnsi="Arial" w:eastAsia="仿宋_GB2312" w:cs="Arial"/>
          <w:spacing w:val="-20"/>
          <w:sz w:val="32"/>
          <w:szCs w:val="32"/>
        </w:rPr>
        <w:t>。</w:t>
      </w:r>
    </w:p>
    <w:p w14:paraId="5068F717">
      <w:pPr>
        <w:widowControl/>
        <w:ind w:firstLine="560" w:firstLineChars="200"/>
        <w:jc w:val="left"/>
        <w:rPr>
          <w:rFonts w:hint="eastAsia" w:ascii="仿宋_GB2312" w:hAnsi="Arial" w:eastAsia="仿宋_GB2312" w:cs="Arial"/>
          <w:spacing w:val="-20"/>
          <w:sz w:val="32"/>
          <w:szCs w:val="32"/>
        </w:rPr>
      </w:pPr>
      <w:r>
        <w:rPr>
          <w:rFonts w:hint="eastAsia" w:ascii="仿宋_GB2312" w:hAnsi="Arial" w:eastAsia="仿宋_GB2312" w:cs="Arial"/>
          <w:spacing w:val="-20"/>
          <w:sz w:val="32"/>
          <w:szCs w:val="32"/>
        </w:rPr>
        <w:t>年径流总量控制率：≥50%</w:t>
      </w:r>
      <w:r>
        <w:rPr>
          <w:rFonts w:hint="eastAsia" w:ascii="仿宋_GB2312" w:hAnsi="Arial" w:eastAsia="仿宋_GB2312" w:cs="Arial"/>
          <w:spacing w:val="-20"/>
          <w:sz w:val="32"/>
          <w:szCs w:val="32"/>
          <w:lang w:eastAsia="zh-CN"/>
        </w:rPr>
        <w:t>，</w:t>
      </w:r>
      <w:r>
        <w:rPr>
          <w:rFonts w:hint="eastAsia" w:ascii="仿宋_GB2312" w:hAnsi="Arial" w:eastAsia="仿宋_GB2312" w:cs="Arial"/>
          <w:spacing w:val="-20"/>
          <w:sz w:val="32"/>
          <w:szCs w:val="32"/>
        </w:rPr>
        <w:t>可渗透面积比例：≥20%</w:t>
      </w:r>
    </w:p>
    <w:p w14:paraId="329195D7">
      <w:pPr>
        <w:widowControl/>
        <w:ind w:firstLine="560" w:firstLineChars="200"/>
        <w:jc w:val="left"/>
        <w:rPr>
          <w:rFonts w:hint="eastAsia" w:ascii="仿宋_GB2312" w:hAnsi="Arial" w:eastAsia="仿宋_GB2312" w:cs="Arial"/>
          <w:spacing w:val="-20"/>
          <w:sz w:val="32"/>
          <w:szCs w:val="32"/>
        </w:rPr>
      </w:pPr>
      <w:r>
        <w:rPr>
          <w:rFonts w:hint="eastAsia" w:ascii="仿宋_GB2312" w:hAnsi="Arial" w:eastAsia="仿宋_GB2312" w:cs="Arial"/>
          <w:spacing w:val="-20"/>
          <w:sz w:val="32"/>
          <w:szCs w:val="32"/>
          <w:lang w:eastAsia="zh-CN"/>
        </w:rPr>
        <w:t>根据</w:t>
      </w:r>
      <w:r>
        <w:rPr>
          <w:rFonts w:hint="eastAsia" w:ascii="仿宋_GB2312" w:hAnsi="Arial" w:eastAsia="仿宋_GB2312" w:cs="Arial"/>
          <w:spacing w:val="-20"/>
          <w:sz w:val="32"/>
          <w:szCs w:val="32"/>
        </w:rPr>
        <w:t>《中华人民共和国城乡规划法》等法律、法规的相关规定，现就申请变更规划条件事项予以公示，公示时间自本公示刊登之日起十天。在公示期内如对上述申请变更规划条件事项有意见或建议，请使用真实姓名及联系方式，以书面形式反馈到以下地址：中山市黄圃镇兴圃大道中139号，逾期视为无异议。</w:t>
      </w:r>
    </w:p>
    <w:p w14:paraId="58CF255A">
      <w:pPr>
        <w:widowControl/>
        <w:ind w:firstLine="560" w:firstLineChars="200"/>
        <w:jc w:val="left"/>
        <w:rPr>
          <w:rFonts w:hint="eastAsia" w:ascii="仿宋_GB2312" w:hAnsi="Arial" w:eastAsia="仿宋_GB2312" w:cs="Arial"/>
          <w:spacing w:val="-20"/>
          <w:sz w:val="32"/>
          <w:szCs w:val="32"/>
        </w:rPr>
      </w:pPr>
      <w:r>
        <w:rPr>
          <w:rFonts w:hint="eastAsia" w:ascii="仿宋_GB2312" w:hAnsi="Arial" w:eastAsia="仿宋_GB2312" w:cs="Arial"/>
          <w:spacing w:val="-20"/>
          <w:sz w:val="32"/>
          <w:szCs w:val="32"/>
        </w:rPr>
        <w:t>联系人：</w:t>
      </w:r>
      <w:r>
        <w:rPr>
          <w:rFonts w:hint="eastAsia" w:ascii="仿宋_GB2312" w:hAnsi="Arial" w:eastAsia="仿宋_GB2312" w:cs="Arial"/>
          <w:spacing w:val="-20"/>
          <w:sz w:val="32"/>
          <w:szCs w:val="32"/>
          <w:lang w:eastAsia="zh-CN"/>
        </w:rPr>
        <w:t>舒先生</w:t>
      </w:r>
      <w:r>
        <w:rPr>
          <w:rFonts w:hint="eastAsia" w:ascii="仿宋_GB2312" w:hAnsi="Arial" w:eastAsia="仿宋_GB2312" w:cs="Arial"/>
          <w:spacing w:val="-20"/>
          <w:sz w:val="32"/>
          <w:szCs w:val="32"/>
        </w:rPr>
        <w:t>，联系电话：</w:t>
      </w:r>
      <w:r>
        <w:rPr>
          <w:rFonts w:hint="eastAsia" w:ascii="仿宋_GB2312" w:hAnsi="Arial" w:eastAsia="仿宋_GB2312" w:cs="Arial"/>
          <w:spacing w:val="-20"/>
          <w:sz w:val="32"/>
          <w:szCs w:val="32"/>
          <w:lang w:val="en-US" w:eastAsia="zh-CN"/>
        </w:rPr>
        <w:t>0760-89936299</w:t>
      </w:r>
      <w:r>
        <w:rPr>
          <w:rFonts w:hint="eastAsia" w:ascii="仿宋_GB2312" w:hAnsi="Arial" w:eastAsia="仿宋_GB2312" w:cs="Arial"/>
          <w:spacing w:val="-20"/>
          <w:sz w:val="32"/>
          <w:szCs w:val="32"/>
        </w:rPr>
        <w:t>。</w:t>
      </w:r>
    </w:p>
    <w:p w14:paraId="4ACDE8C4">
      <w:pPr>
        <w:pStyle w:val="5"/>
        <w:widowControl/>
        <w:spacing w:before="0" w:beforeAutospacing="0" w:after="0" w:afterAutospacing="0"/>
        <w:jc w:val="right"/>
        <w:rPr>
          <w:rFonts w:hint="eastAsia" w:ascii="仿宋_GB2312" w:hAnsi="微软雅黑" w:eastAsia="仿宋_GB2312" w:cs="微软雅黑"/>
          <w:sz w:val="32"/>
          <w:szCs w:val="32"/>
        </w:rPr>
      </w:pPr>
      <w:r>
        <w:rPr>
          <w:rFonts w:hint="eastAsia" w:ascii="仿宋_GB2312" w:hAnsi="微软雅黑" w:eastAsia="仿宋_GB2312" w:cs="微软雅黑"/>
          <w:sz w:val="32"/>
          <w:szCs w:val="32"/>
        </w:rPr>
        <w:t>中山市</w:t>
      </w:r>
      <w:r>
        <w:rPr>
          <w:rFonts w:hint="eastAsia" w:ascii="仿宋_GB2312" w:hAnsi="微软雅黑" w:eastAsia="仿宋_GB2312" w:cs="微软雅黑"/>
          <w:sz w:val="32"/>
          <w:szCs w:val="32"/>
          <w:lang w:eastAsia="zh-CN"/>
        </w:rPr>
        <w:t>自然资源局第三</w:t>
      </w:r>
      <w:r>
        <w:rPr>
          <w:rFonts w:hint="eastAsia" w:ascii="仿宋_GB2312" w:hAnsi="微软雅黑" w:eastAsia="仿宋_GB2312" w:cs="微软雅黑"/>
          <w:sz w:val="32"/>
          <w:szCs w:val="32"/>
        </w:rPr>
        <w:t>分局</w:t>
      </w:r>
    </w:p>
    <w:sectPr>
      <w:pgSz w:w="11906" w:h="16838"/>
      <w:pgMar w:top="1440" w:right="1418" w:bottom="1440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创艺简标宋"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01D46"/>
    <w:rsid w:val="00024553"/>
    <w:rsid w:val="000B5DA6"/>
    <w:rsid w:val="000C4D31"/>
    <w:rsid w:val="000C67C3"/>
    <w:rsid w:val="000F59FE"/>
    <w:rsid w:val="00104011"/>
    <w:rsid w:val="00141F4A"/>
    <w:rsid w:val="00147B68"/>
    <w:rsid w:val="00147DF3"/>
    <w:rsid w:val="0016241B"/>
    <w:rsid w:val="0016406A"/>
    <w:rsid w:val="001E1273"/>
    <w:rsid w:val="00204A00"/>
    <w:rsid w:val="00220EF6"/>
    <w:rsid w:val="002370DC"/>
    <w:rsid w:val="00256573"/>
    <w:rsid w:val="00293ABA"/>
    <w:rsid w:val="002969A4"/>
    <w:rsid w:val="003177E3"/>
    <w:rsid w:val="00330963"/>
    <w:rsid w:val="00343C50"/>
    <w:rsid w:val="003E29A7"/>
    <w:rsid w:val="003E34A7"/>
    <w:rsid w:val="00402953"/>
    <w:rsid w:val="0042100C"/>
    <w:rsid w:val="00483DEE"/>
    <w:rsid w:val="004D42A3"/>
    <w:rsid w:val="0059253D"/>
    <w:rsid w:val="005D247F"/>
    <w:rsid w:val="005F5A7C"/>
    <w:rsid w:val="006D4BB0"/>
    <w:rsid w:val="006F4082"/>
    <w:rsid w:val="00725ED5"/>
    <w:rsid w:val="007656B1"/>
    <w:rsid w:val="007961F0"/>
    <w:rsid w:val="00836DC2"/>
    <w:rsid w:val="00847D51"/>
    <w:rsid w:val="00870665"/>
    <w:rsid w:val="00884FBB"/>
    <w:rsid w:val="00927917"/>
    <w:rsid w:val="0097594B"/>
    <w:rsid w:val="00990C3C"/>
    <w:rsid w:val="009A7894"/>
    <w:rsid w:val="00A778FF"/>
    <w:rsid w:val="00AB34A9"/>
    <w:rsid w:val="00AB6C25"/>
    <w:rsid w:val="00BA22DB"/>
    <w:rsid w:val="00BB30FE"/>
    <w:rsid w:val="00C157B6"/>
    <w:rsid w:val="00C73BF4"/>
    <w:rsid w:val="00C8607B"/>
    <w:rsid w:val="00CF58DB"/>
    <w:rsid w:val="00CF7FA8"/>
    <w:rsid w:val="00D115C7"/>
    <w:rsid w:val="00D1163F"/>
    <w:rsid w:val="00D12402"/>
    <w:rsid w:val="00D450C7"/>
    <w:rsid w:val="00D45F2E"/>
    <w:rsid w:val="00D95C4A"/>
    <w:rsid w:val="00DF071B"/>
    <w:rsid w:val="00E1632A"/>
    <w:rsid w:val="00E64B44"/>
    <w:rsid w:val="00E93509"/>
    <w:rsid w:val="00EC71E3"/>
    <w:rsid w:val="00EE12A8"/>
    <w:rsid w:val="00F06DC7"/>
    <w:rsid w:val="00FA7CA4"/>
    <w:rsid w:val="00FC25BE"/>
    <w:rsid w:val="01C71B1F"/>
    <w:rsid w:val="01D941E5"/>
    <w:rsid w:val="02A0095B"/>
    <w:rsid w:val="08253615"/>
    <w:rsid w:val="0BCA7F50"/>
    <w:rsid w:val="0C1F34AF"/>
    <w:rsid w:val="0D5A1BD9"/>
    <w:rsid w:val="0EB76390"/>
    <w:rsid w:val="103332B3"/>
    <w:rsid w:val="106C3030"/>
    <w:rsid w:val="10CE2ECE"/>
    <w:rsid w:val="10FA61C8"/>
    <w:rsid w:val="131773C2"/>
    <w:rsid w:val="1456430B"/>
    <w:rsid w:val="14AE347A"/>
    <w:rsid w:val="162E5ADC"/>
    <w:rsid w:val="17276BA6"/>
    <w:rsid w:val="183705A5"/>
    <w:rsid w:val="18715516"/>
    <w:rsid w:val="191F3DCB"/>
    <w:rsid w:val="19961603"/>
    <w:rsid w:val="1AD830A2"/>
    <w:rsid w:val="1B0F63DD"/>
    <w:rsid w:val="1B745EA3"/>
    <w:rsid w:val="1BFB5FB7"/>
    <w:rsid w:val="1E52514A"/>
    <w:rsid w:val="1E572F00"/>
    <w:rsid w:val="1E70066F"/>
    <w:rsid w:val="1EC71218"/>
    <w:rsid w:val="20217943"/>
    <w:rsid w:val="20350DC9"/>
    <w:rsid w:val="24170CDF"/>
    <w:rsid w:val="244B4D6B"/>
    <w:rsid w:val="248F6B17"/>
    <w:rsid w:val="24BA198C"/>
    <w:rsid w:val="26322694"/>
    <w:rsid w:val="29343B80"/>
    <w:rsid w:val="2A143102"/>
    <w:rsid w:val="2A490AF3"/>
    <w:rsid w:val="2CD96C70"/>
    <w:rsid w:val="2E7272AB"/>
    <w:rsid w:val="30414AB6"/>
    <w:rsid w:val="33E7463E"/>
    <w:rsid w:val="366A3528"/>
    <w:rsid w:val="36D72A86"/>
    <w:rsid w:val="37B54B3A"/>
    <w:rsid w:val="3B6F440E"/>
    <w:rsid w:val="3DBC6130"/>
    <w:rsid w:val="3E8901B7"/>
    <w:rsid w:val="3F116DA8"/>
    <w:rsid w:val="3F8A0584"/>
    <w:rsid w:val="4029265A"/>
    <w:rsid w:val="41AD1261"/>
    <w:rsid w:val="41B536E9"/>
    <w:rsid w:val="420A7077"/>
    <w:rsid w:val="420E0105"/>
    <w:rsid w:val="42A735A9"/>
    <w:rsid w:val="42F52DE3"/>
    <w:rsid w:val="43652301"/>
    <w:rsid w:val="44023A39"/>
    <w:rsid w:val="44B2115E"/>
    <w:rsid w:val="45C3234F"/>
    <w:rsid w:val="47FD4714"/>
    <w:rsid w:val="48576ABD"/>
    <w:rsid w:val="4AC35735"/>
    <w:rsid w:val="4C484917"/>
    <w:rsid w:val="4D741F37"/>
    <w:rsid w:val="4E356698"/>
    <w:rsid w:val="4EA53AD3"/>
    <w:rsid w:val="4F087F1D"/>
    <w:rsid w:val="50205B81"/>
    <w:rsid w:val="51CE6AFD"/>
    <w:rsid w:val="550679D0"/>
    <w:rsid w:val="55725F22"/>
    <w:rsid w:val="568410FF"/>
    <w:rsid w:val="57775F4E"/>
    <w:rsid w:val="58487264"/>
    <w:rsid w:val="587E511D"/>
    <w:rsid w:val="59020026"/>
    <w:rsid w:val="59B00252"/>
    <w:rsid w:val="5B1A2C2B"/>
    <w:rsid w:val="5C0E1FCA"/>
    <w:rsid w:val="5C4A6689"/>
    <w:rsid w:val="5D6723A4"/>
    <w:rsid w:val="5E222AE8"/>
    <w:rsid w:val="5E372FC5"/>
    <w:rsid w:val="5FD40437"/>
    <w:rsid w:val="60363665"/>
    <w:rsid w:val="60B24332"/>
    <w:rsid w:val="61386A01"/>
    <w:rsid w:val="61C20764"/>
    <w:rsid w:val="62353944"/>
    <w:rsid w:val="63211A36"/>
    <w:rsid w:val="632C6FC4"/>
    <w:rsid w:val="63D708EB"/>
    <w:rsid w:val="652C4315"/>
    <w:rsid w:val="665A6D48"/>
    <w:rsid w:val="68C8647E"/>
    <w:rsid w:val="68CC2DD3"/>
    <w:rsid w:val="68D62B7D"/>
    <w:rsid w:val="6A2B035C"/>
    <w:rsid w:val="6A4641DF"/>
    <w:rsid w:val="6A656824"/>
    <w:rsid w:val="6ACA2B30"/>
    <w:rsid w:val="6B7E6E0B"/>
    <w:rsid w:val="6CAC115A"/>
    <w:rsid w:val="6CED6E47"/>
    <w:rsid w:val="6E07624B"/>
    <w:rsid w:val="6EBE7B9F"/>
    <w:rsid w:val="6F9809DA"/>
    <w:rsid w:val="70122BBF"/>
    <w:rsid w:val="7120620B"/>
    <w:rsid w:val="733146EE"/>
    <w:rsid w:val="75B82FB1"/>
    <w:rsid w:val="7648359B"/>
    <w:rsid w:val="76CA5117"/>
    <w:rsid w:val="78304022"/>
    <w:rsid w:val="7AA16915"/>
    <w:rsid w:val="7AC21775"/>
    <w:rsid w:val="7AE6655F"/>
    <w:rsid w:val="7BB963E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0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7">
    <w:name w:val="Default Paragraph Font"/>
    <w:unhideWhenUsed/>
    <w:qFormat/>
    <w:uiPriority w:val="0"/>
  </w:style>
  <w:style w:type="table" w:default="1" w:styleId="6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toc 1"/>
    <w:basedOn w:val="1"/>
    <w:next w:val="1"/>
    <w:unhideWhenUsed/>
    <w:qFormat/>
    <w:uiPriority w:val="39"/>
    <w:pPr>
      <w:spacing w:before="120" w:after="120" w:line="360" w:lineRule="auto"/>
      <w:jc w:val="left"/>
    </w:pPr>
    <w:rPr>
      <w:rFonts w:ascii="Calibri" w:hAnsi="Calibri" w:eastAsia="宋体" w:cs="Times New Roman"/>
      <w:b/>
      <w:bCs/>
      <w:caps/>
      <w:sz w:val="20"/>
      <w:szCs w:val="20"/>
    </w:rPr>
  </w:style>
  <w:style w:type="paragraph" w:styleId="5">
    <w:name w:val="Normal (Web)"/>
    <w:basedOn w:val="1"/>
    <w:unhideWhenUsed/>
    <w:qFormat/>
    <w:uiPriority w:val="99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-SA"/>
    </w:rPr>
  </w:style>
  <w:style w:type="character" w:styleId="8">
    <w:name w:val="page number"/>
    <w:basedOn w:val="7"/>
    <w:unhideWhenUsed/>
    <w:qFormat/>
    <w:uiPriority w:val="99"/>
  </w:style>
  <w:style w:type="character" w:customStyle="1" w:styleId="9">
    <w:name w:val="页脚 Char"/>
    <w:basedOn w:val="7"/>
    <w:link w:val="2"/>
    <w:semiHidden/>
    <w:qFormat/>
    <w:uiPriority w:val="0"/>
    <w:rPr>
      <w:kern w:val="2"/>
      <w:sz w:val="18"/>
      <w:szCs w:val="18"/>
    </w:rPr>
  </w:style>
  <w:style w:type="character" w:customStyle="1" w:styleId="10">
    <w:name w:val="页眉 Char"/>
    <w:basedOn w:val="7"/>
    <w:link w:val="3"/>
    <w:semiHidden/>
    <w:qFormat/>
    <w:uiPriority w:val="99"/>
    <w:rPr>
      <w:kern w:val="2"/>
      <w:sz w:val="18"/>
      <w:szCs w:val="18"/>
    </w:rPr>
  </w:style>
  <w:style w:type="paragraph" w:customStyle="1" w:styleId="11">
    <w:name w:val="Default"/>
    <w:unhideWhenUsed/>
    <w:qFormat/>
    <w:uiPriority w:val="99"/>
    <w:pPr>
      <w:widowControl w:val="0"/>
      <w:autoSpaceDE w:val="0"/>
      <w:autoSpaceDN w:val="0"/>
      <w:adjustRightInd w:val="0"/>
      <w:spacing w:beforeLines="0" w:afterLines="0"/>
    </w:pPr>
    <w:rPr>
      <w:rFonts w:hint="eastAsia" w:ascii="宋体" w:hAnsi="宋体" w:eastAsia="宋体" w:cs="Times New Roman"/>
      <w:color w:val="00000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Company>zsghjsjfj</Company>
  <Pages>2</Pages>
  <Words>0</Words>
  <Characters>0</Characters>
  <Lines>16</Lines>
  <Paragraphs>9</Paragraphs>
  <TotalTime>7</TotalTime>
  <ScaleCrop>false</ScaleCrop>
  <LinksUpToDate>false</LinksUpToDate>
  <CharactersWithSpaces>709</CharactersWithSpaces>
  <Application>WPS Office_12.9.0.21300_F1E327BC-269C-435d-A152-05C5408002CA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2019-02-24T08:17:00Z</dcterms:created>
  <dc:creator>王可望</dc:creator>
  <cp:lastModifiedBy>舒侃</cp:lastModifiedBy>
  <dcterms:modified xsi:type="dcterms:W3CDTF">2026-08-26T01:58:18Z</dcterms:modified>
  <dc:title>关于中山市银马体育用品有限公司用地变更规划条件公示的通告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2052-12.9.0.21300</vt:lpwstr>
  </property>
  <property fmtid="{D5CDD505-2E9C-101B-9397-08002B2CF9AE}" pid="3" name="ICV">
    <vt:lpwstr>C2394AD329854364BC19A709FCD8F273_13</vt:lpwstr>
  </property>
</Properties>
</file>