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7FFE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宋体" w:cs="宋体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宋体"/>
          <w:sz w:val="21"/>
          <w:szCs w:val="21"/>
        </w:rPr>
        <w:t>[</w:t>
      </w:r>
      <w:r>
        <w:rPr>
          <w:rFonts w:hint="eastAsia" w:ascii="Times New Roman" w:hAnsi="Times New Roman" w:eastAsia="宋体" w:cs="宋体"/>
          <w:sz w:val="21"/>
          <w:szCs w:val="21"/>
          <w:lang w:eastAsia="zh-CN"/>
        </w:rPr>
        <w:t>2026</w:t>
      </w:r>
      <w:r>
        <w:rPr>
          <w:rFonts w:hint="eastAsia" w:ascii="Times New Roman" w:hAnsi="Times New Roman" w:eastAsia="宋体" w:cs="宋体"/>
          <w:sz w:val="21"/>
          <w:szCs w:val="21"/>
        </w:rPr>
        <w:t>.</w:t>
      </w:r>
      <w:r>
        <w:rPr>
          <w:rFonts w:hint="eastAsia" w:ascii="Times New Roman" w:hAnsi="Times New Roman" w:eastAsia="宋体" w:cs="宋体"/>
          <w:sz w:val="21"/>
          <w:szCs w:val="21"/>
          <w:lang w:val="en-US" w:eastAsia="zh-CN"/>
        </w:rPr>
        <w:t>08.</w:t>
      </w:r>
      <w:r>
        <w:rPr>
          <w:rFonts w:hint="eastAsia" w:ascii="Times New Roman" w:hAnsi="Times New Roman" w:eastAsia="宋体" w:cs="宋体"/>
          <w:color w:val="auto"/>
          <w:sz w:val="21"/>
          <w:szCs w:val="21"/>
          <w:lang w:val="en-US" w:eastAsia="zh-CN"/>
        </w:rPr>
        <w:t>03</w:t>
      </w:r>
      <w:r>
        <w:rPr>
          <w:rFonts w:hint="eastAsia" w:ascii="Times New Roman" w:hAnsi="Times New Roman" w:eastAsia="宋体" w:cs="宋体"/>
          <w:sz w:val="21"/>
          <w:szCs w:val="21"/>
        </w:rPr>
        <w:t>]板芙镇第十</w:t>
      </w:r>
      <w:r>
        <w:rPr>
          <w:rFonts w:hint="eastAsia" w:ascii="Times New Roman" w:hAnsi="Times New Roman" w:eastAsia="宋体" w:cs="宋体"/>
          <w:sz w:val="21"/>
          <w:szCs w:val="21"/>
          <w:lang w:val="en-US" w:eastAsia="zh-CN"/>
        </w:rPr>
        <w:t>七</w:t>
      </w:r>
      <w:r>
        <w:rPr>
          <w:rFonts w:hint="eastAsia" w:ascii="Times New Roman" w:hAnsi="Times New Roman" w:eastAsia="宋体" w:cs="宋体"/>
          <w:sz w:val="21"/>
          <w:szCs w:val="21"/>
        </w:rPr>
        <w:t>届人民代表大会</w:t>
      </w:r>
      <w:r>
        <w:rPr>
          <w:rFonts w:hint="eastAsia" w:ascii="Times New Roman" w:hAnsi="Times New Roman" w:eastAsia="宋体" w:cs="宋体"/>
          <w:sz w:val="21"/>
          <w:szCs w:val="21"/>
          <w:lang w:eastAsia="zh-CN"/>
        </w:rPr>
        <w:t>第十三次</w:t>
      </w:r>
      <w:r>
        <w:rPr>
          <w:rFonts w:hint="eastAsia" w:ascii="Times New Roman" w:hAnsi="Times New Roman" w:eastAsia="宋体" w:cs="宋体"/>
          <w:sz w:val="21"/>
          <w:szCs w:val="21"/>
        </w:rPr>
        <w:t>会议材料之</w:t>
      </w:r>
      <w:r>
        <w:rPr>
          <w:rFonts w:hint="eastAsia" w:ascii="Times New Roman" w:hAnsi="Times New Roman" w:eastAsia="宋体" w:cs="宋体"/>
          <w:sz w:val="21"/>
          <w:szCs w:val="21"/>
          <w:lang w:val="en-US" w:eastAsia="zh-CN"/>
        </w:rPr>
        <w:t>十四</w:t>
      </w:r>
    </w:p>
    <w:p w14:paraId="61F15A4E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微软简标宋" w:hAnsi="微软简标宋" w:eastAsia="微软简标宋" w:cs="微软简标宋"/>
          <w:sz w:val="44"/>
          <w:szCs w:val="44"/>
          <w:lang w:val="en-US" w:eastAsia="zh-CN"/>
        </w:rPr>
      </w:pPr>
    </w:p>
    <w:p w14:paraId="66527C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 w:rightChars="0"/>
        <w:jc w:val="center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微软简标宋" w:hAnsi="微软简标宋" w:eastAsia="微软简标宋" w:cs="微软简标宋"/>
          <w:kern w:val="2"/>
          <w:sz w:val="44"/>
          <w:szCs w:val="44"/>
          <w:lang w:val="en-US" w:eastAsia="zh-CN"/>
        </w:rPr>
        <w:t>板芙镇2025年度财政决算情况报告</w:t>
      </w:r>
    </w:p>
    <w:p w14:paraId="41984E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 w:rightChars="0"/>
        <w:jc w:val="center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——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2026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年8月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日在板芙镇第十七届人民代表大会</w:t>
      </w:r>
    </w:p>
    <w:p w14:paraId="7835C7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 w:rightChars="0"/>
        <w:jc w:val="center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第十三次会议上</w:t>
      </w:r>
    </w:p>
    <w:p w14:paraId="2748F29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</w:pPr>
    </w:p>
    <w:p w14:paraId="6B41A7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kern w:val="2"/>
          <w:sz w:val="32"/>
          <w:szCs w:val="24"/>
        </w:rPr>
      </w:pPr>
      <w:r>
        <w:rPr>
          <w:rFonts w:hint="default" w:ascii="Times New Roman" w:hAnsi="Times New Roman" w:eastAsia="仿宋_GB2312" w:cs="Times New Roman"/>
          <w:b w:val="0"/>
          <w:bCs/>
          <w:kern w:val="2"/>
          <w:sz w:val="32"/>
          <w:szCs w:val="24"/>
        </w:rPr>
        <w:t>各位代表：</w:t>
      </w:r>
    </w:p>
    <w:p w14:paraId="68A8EC3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24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24"/>
        </w:rPr>
        <w:t>我</w:t>
      </w:r>
      <w:r>
        <w:rPr>
          <w:rFonts w:hint="default" w:ascii="Times New Roman" w:hAnsi="Times New Roman" w:eastAsia="仿宋_GB2312" w:cs="Times New Roman"/>
          <w:kern w:val="2"/>
          <w:sz w:val="32"/>
          <w:szCs w:val="24"/>
          <w:lang w:eastAsia="zh-CN"/>
        </w:rPr>
        <w:t>受</w:t>
      </w:r>
      <w:r>
        <w:rPr>
          <w:rFonts w:hint="default" w:ascii="Times New Roman" w:hAnsi="Times New Roman" w:eastAsia="仿宋_GB2312" w:cs="Times New Roman"/>
          <w:kern w:val="2"/>
          <w:sz w:val="32"/>
          <w:szCs w:val="24"/>
        </w:rPr>
        <w:t>镇人民政府</w:t>
      </w:r>
      <w:r>
        <w:rPr>
          <w:rFonts w:hint="default" w:ascii="Times New Roman" w:hAnsi="Times New Roman" w:eastAsia="仿宋_GB2312" w:cs="Times New Roman"/>
          <w:kern w:val="2"/>
          <w:sz w:val="32"/>
          <w:szCs w:val="24"/>
          <w:lang w:eastAsia="zh-CN"/>
        </w:rPr>
        <w:t>的委托</w:t>
      </w:r>
      <w:r>
        <w:rPr>
          <w:rFonts w:hint="default" w:ascii="Times New Roman" w:hAnsi="Times New Roman" w:eastAsia="仿宋_GB2312" w:cs="Times New Roman"/>
          <w:kern w:val="2"/>
          <w:sz w:val="32"/>
          <w:szCs w:val="24"/>
        </w:rPr>
        <w:t>，向大会</w:t>
      </w:r>
      <w:r>
        <w:rPr>
          <w:rFonts w:hint="default" w:ascii="Times New Roman" w:hAnsi="Times New Roman" w:eastAsia="仿宋_GB2312" w:cs="Times New Roman"/>
          <w:kern w:val="2"/>
          <w:sz w:val="32"/>
          <w:szCs w:val="24"/>
          <w:lang w:eastAsia="zh-CN"/>
        </w:rPr>
        <w:t>作板芙</w:t>
      </w:r>
      <w:r>
        <w:rPr>
          <w:rFonts w:hint="default" w:ascii="Times New Roman" w:hAnsi="Times New Roman" w:eastAsia="仿宋_GB2312" w:cs="Times New Roman"/>
          <w:kern w:val="2"/>
          <w:sz w:val="32"/>
          <w:szCs w:val="24"/>
        </w:rPr>
        <w:t>镇20</w:t>
      </w:r>
      <w:r>
        <w:rPr>
          <w:rFonts w:hint="default" w:ascii="Times New Roman" w:hAnsi="Times New Roman" w:eastAsia="仿宋_GB2312" w:cs="Times New Roman"/>
          <w:kern w:val="2"/>
          <w:sz w:val="32"/>
          <w:szCs w:val="24"/>
          <w:lang w:val="en-US" w:eastAsia="zh-CN"/>
        </w:rPr>
        <w:t>25</w:t>
      </w:r>
      <w:r>
        <w:rPr>
          <w:rFonts w:hint="default" w:ascii="Times New Roman" w:hAnsi="Times New Roman" w:eastAsia="仿宋_GB2312" w:cs="Times New Roman"/>
          <w:kern w:val="2"/>
          <w:sz w:val="32"/>
          <w:szCs w:val="24"/>
        </w:rPr>
        <w:t>年</w:t>
      </w:r>
      <w:r>
        <w:rPr>
          <w:rFonts w:hint="default" w:ascii="Times New Roman" w:hAnsi="Times New Roman" w:eastAsia="仿宋_GB2312" w:cs="Times New Roman"/>
          <w:kern w:val="2"/>
          <w:sz w:val="32"/>
          <w:szCs w:val="24"/>
          <w:lang w:eastAsia="zh-CN"/>
        </w:rPr>
        <w:t>度财政决算情况报告</w:t>
      </w:r>
      <w:r>
        <w:rPr>
          <w:rFonts w:hint="default" w:ascii="Times New Roman" w:hAnsi="Times New Roman" w:eastAsia="仿宋_GB2312" w:cs="Times New Roman"/>
          <w:kern w:val="2"/>
          <w:sz w:val="32"/>
          <w:szCs w:val="24"/>
        </w:rPr>
        <w:t>，请予审</w:t>
      </w:r>
      <w:r>
        <w:rPr>
          <w:rFonts w:hint="default" w:ascii="Times New Roman" w:hAnsi="Times New Roman" w:eastAsia="仿宋_GB2312" w:cs="Times New Roman"/>
          <w:kern w:val="2"/>
          <w:sz w:val="32"/>
          <w:szCs w:val="24"/>
          <w:lang w:eastAsia="zh-CN"/>
        </w:rPr>
        <w:t>查</w:t>
      </w:r>
      <w:r>
        <w:rPr>
          <w:rFonts w:hint="default" w:ascii="Times New Roman" w:hAnsi="Times New Roman" w:eastAsia="仿宋_GB2312" w:cs="Times New Roman"/>
          <w:kern w:val="2"/>
          <w:sz w:val="32"/>
          <w:szCs w:val="24"/>
        </w:rPr>
        <w:t>。</w:t>
      </w:r>
    </w:p>
    <w:p w14:paraId="1F66295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kern w:val="2"/>
          <w:sz w:val="32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kern w:val="2"/>
          <w:sz w:val="32"/>
          <w:szCs w:val="24"/>
          <w:highlight w:val="none"/>
          <w:lang w:val="en-US" w:eastAsia="zh-CN"/>
        </w:rPr>
        <w:t>2025年，在镇党委、镇政府</w:t>
      </w:r>
      <w:r>
        <w:rPr>
          <w:rFonts w:hint="eastAsia" w:ascii="Times New Roman" w:hAnsi="Times New Roman" w:eastAsia="仿宋_GB2312" w:cs="Times New Roman"/>
          <w:b w:val="0"/>
          <w:bCs/>
          <w:kern w:val="2"/>
          <w:sz w:val="32"/>
          <w:szCs w:val="24"/>
          <w:highlight w:val="none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b w:val="0"/>
          <w:bCs/>
          <w:kern w:val="2"/>
          <w:sz w:val="32"/>
          <w:szCs w:val="24"/>
          <w:highlight w:val="none"/>
          <w:lang w:val="en-US" w:eastAsia="zh-CN"/>
        </w:rPr>
        <w:t>坚强领导及镇人大</w:t>
      </w:r>
      <w:r>
        <w:rPr>
          <w:rFonts w:hint="eastAsia" w:ascii="Times New Roman" w:hAnsi="Times New Roman" w:eastAsia="仿宋_GB2312" w:cs="Times New Roman"/>
          <w:b w:val="0"/>
          <w:bCs/>
          <w:kern w:val="2"/>
          <w:sz w:val="32"/>
          <w:szCs w:val="24"/>
          <w:highlight w:val="none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b w:val="0"/>
          <w:bCs/>
          <w:kern w:val="2"/>
          <w:sz w:val="32"/>
          <w:szCs w:val="24"/>
          <w:highlight w:val="none"/>
          <w:lang w:val="en-US" w:eastAsia="zh-CN"/>
        </w:rPr>
        <w:t>依法监督下，</w:t>
      </w:r>
      <w:r>
        <w:rPr>
          <w:rFonts w:hint="eastAsia" w:ascii="Times New Roman" w:hAnsi="Times New Roman" w:eastAsia="仿宋_GB2312" w:cs="Times New Roman"/>
          <w:b w:val="0"/>
          <w:bCs/>
          <w:kern w:val="2"/>
          <w:sz w:val="32"/>
          <w:szCs w:val="24"/>
          <w:highlight w:val="none"/>
          <w:lang w:val="en-US" w:eastAsia="zh-CN"/>
        </w:rPr>
        <w:t>全镇</w:t>
      </w:r>
      <w:r>
        <w:rPr>
          <w:rFonts w:hint="default" w:ascii="Times New Roman" w:hAnsi="Times New Roman" w:eastAsia="仿宋_GB2312" w:cs="Times New Roman"/>
          <w:b w:val="0"/>
          <w:bCs/>
          <w:kern w:val="2"/>
          <w:sz w:val="32"/>
          <w:szCs w:val="24"/>
          <w:highlight w:val="none"/>
          <w:lang w:val="en-US" w:eastAsia="zh-CN"/>
        </w:rPr>
        <w:t>深入学习贯彻党的二十届四中全会精神，紧扣全镇发展大局，承压奋进</w:t>
      </w:r>
      <w:r>
        <w:rPr>
          <w:rFonts w:hint="eastAsia" w:ascii="Times New Roman" w:hAnsi="Times New Roman" w:eastAsia="仿宋_GB2312" w:cs="Times New Roman"/>
          <w:b w:val="0"/>
          <w:bCs/>
          <w:kern w:val="2"/>
          <w:sz w:val="32"/>
          <w:szCs w:val="24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kern w:val="2"/>
          <w:sz w:val="32"/>
          <w:szCs w:val="24"/>
          <w:highlight w:val="none"/>
          <w:lang w:val="en-US" w:eastAsia="zh-CN"/>
        </w:rPr>
        <w:t>精准调度，从严抓实预算执行</w:t>
      </w:r>
      <w:r>
        <w:rPr>
          <w:rFonts w:hint="eastAsia" w:ascii="Times New Roman" w:hAnsi="Times New Roman" w:eastAsia="仿宋_GB2312" w:cs="Times New Roman"/>
          <w:b w:val="0"/>
          <w:bCs/>
          <w:kern w:val="2"/>
          <w:sz w:val="32"/>
          <w:szCs w:val="24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kern w:val="2"/>
          <w:sz w:val="32"/>
          <w:szCs w:val="24"/>
          <w:highlight w:val="none"/>
          <w:lang w:val="en-US" w:eastAsia="zh-CN"/>
        </w:rPr>
        <w:t>规范推进收支管理，全力攻坚预算目标，充分发挥财政职能</w:t>
      </w:r>
      <w:r>
        <w:rPr>
          <w:rFonts w:hint="eastAsia" w:ascii="Times New Roman" w:hAnsi="Times New Roman" w:eastAsia="仿宋_GB2312" w:cs="Times New Roman"/>
          <w:b w:val="0"/>
          <w:bCs/>
          <w:kern w:val="2"/>
          <w:sz w:val="32"/>
          <w:szCs w:val="24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kern w:val="2"/>
          <w:sz w:val="32"/>
          <w:szCs w:val="24"/>
          <w:highlight w:val="none"/>
          <w:lang w:val="en-US" w:eastAsia="zh-CN"/>
        </w:rPr>
        <w:t>为全镇产业提质、民生改善、基层治理等各项事业稳步推进提供坚强有力的财政保障。</w:t>
      </w:r>
    </w:p>
    <w:p w14:paraId="6C60BC47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60" w:lineRule="exact"/>
        <w:ind w:leftChars="0" w:firstLine="640" w:firstLineChars="200"/>
        <w:jc w:val="both"/>
        <w:textAlignment w:val="auto"/>
        <w:outlineLvl w:val="1"/>
        <w:rPr>
          <w:rFonts w:hint="default" w:ascii="Times New Roman" w:hAnsi="Times New Roman" w:eastAsia="黑体" w:cs="Times New Roman"/>
          <w:b w:val="0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kern w:val="2"/>
          <w:sz w:val="32"/>
          <w:szCs w:val="22"/>
          <w:lang w:val="en-US" w:eastAsia="zh-CN" w:bidi="ar-SA"/>
        </w:rPr>
        <w:t>一、2025年财政决算情况</w:t>
      </w:r>
    </w:p>
    <w:p w14:paraId="70EDB72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24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kern w:val="2"/>
          <w:sz w:val="32"/>
          <w:szCs w:val="24"/>
          <w:lang w:val="en-US" w:eastAsia="zh-CN"/>
        </w:rPr>
        <w:t>（一）一般公共预算</w:t>
      </w:r>
    </w:p>
    <w:p w14:paraId="1476D0D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kern w:val="2"/>
          <w:sz w:val="32"/>
          <w:szCs w:val="24"/>
          <w:lang w:val="en-US" w:eastAsia="zh-CN"/>
        </w:rPr>
        <w:t>1.一般公共预算收入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lang w:eastAsia="zh-CN"/>
        </w:rPr>
        <w:t>202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lang w:eastAsia="zh-CN"/>
        </w:rPr>
        <w:t>年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</w:rPr>
        <w:t>全镇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lang w:val="en-US" w:eastAsia="zh-CN"/>
        </w:rPr>
        <w:t>一般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</w:rPr>
        <w:t>公共预算收入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highlight w:val="none"/>
          <w:lang w:val="en-US" w:eastAsia="zh-CN"/>
        </w:rPr>
        <w:t>49,026.45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</w:rPr>
        <w:t>万元，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lang w:eastAsia="zh-CN"/>
        </w:rPr>
        <w:t>完成年度调整预算的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highlight w:val="none"/>
          <w:lang w:val="en-US" w:eastAsia="zh-CN"/>
        </w:rPr>
        <w:t>104.55%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lang w:val="en-US" w:eastAsia="zh-CN"/>
        </w:rPr>
        <w:t>，其中：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</w:rPr>
        <w:t>税收分成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highlight w:val="none"/>
          <w:lang w:val="en-US" w:eastAsia="zh-CN"/>
        </w:rPr>
        <w:t>10,482.75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</w:rPr>
        <w:t>万元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</w:rPr>
        <w:t>非税收入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highlight w:val="none"/>
          <w:lang w:val="en-US" w:eastAsia="zh-CN"/>
        </w:rPr>
        <w:t>38,543.70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</w:rPr>
        <w:t>万元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lang w:val="en-US" w:eastAsia="zh-CN"/>
        </w:rPr>
        <w:t>。</w:t>
      </w:r>
    </w:p>
    <w:p w14:paraId="6019372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kern w:val="2"/>
          <w:sz w:val="32"/>
          <w:szCs w:val="24"/>
          <w:lang w:val="en-US" w:eastAsia="zh-CN"/>
        </w:rPr>
        <w:t>2.上级补助收入。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lang w:val="en-US" w:eastAsia="zh-CN"/>
        </w:rPr>
        <w:t>2025年全镇一般公共预算上级补助收入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highlight w:val="none"/>
          <w:lang w:val="en-US" w:eastAsia="zh-CN"/>
        </w:rPr>
        <w:t>10,551.59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lang w:eastAsia="zh-CN"/>
        </w:rPr>
        <w:t>完成年度调整预算的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highlight w:val="none"/>
          <w:lang w:val="en-US" w:eastAsia="zh-CN"/>
        </w:rPr>
        <w:t>224.30%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lang w:val="en-US" w:eastAsia="zh-CN"/>
        </w:rPr>
        <w:t>，其中：税收基数返还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highlight w:val="none"/>
          <w:lang w:val="en-US" w:eastAsia="zh-CN"/>
        </w:rPr>
        <w:t>1,432.25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lang w:val="en-US" w:eastAsia="zh-CN"/>
        </w:rPr>
        <w:t>万元、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highlight w:val="none"/>
          <w:lang w:val="en-US" w:eastAsia="zh-CN"/>
        </w:rPr>
        <w:t>农业转移人口市民化奖励资金收入598.2万元、政策性转移支付收入907.73万元、专项转移支付收入7,613.41万元。</w:t>
      </w:r>
    </w:p>
    <w:p w14:paraId="1FEAB60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楷体_GB2312" w:cs="Times New Roman"/>
          <w:color w:val="auto"/>
          <w:kern w:val="2"/>
          <w:sz w:val="32"/>
          <w:szCs w:val="24"/>
          <w:lang w:val="en-US" w:eastAsia="zh-CN"/>
        </w:rPr>
        <w:t>3.</w:t>
      </w:r>
      <w:r>
        <w:rPr>
          <w:rFonts w:hint="default" w:ascii="Times New Roman" w:hAnsi="Times New Roman" w:eastAsia="楷体_GB2312" w:cs="Times New Roman"/>
          <w:color w:val="auto"/>
          <w:kern w:val="2"/>
          <w:sz w:val="32"/>
          <w:szCs w:val="24"/>
        </w:rPr>
        <w:t>一般公共预算支出</w:t>
      </w:r>
      <w:r>
        <w:rPr>
          <w:rFonts w:hint="default" w:ascii="Times New Roman" w:hAnsi="Times New Roman" w:eastAsia="楷体_GB2312" w:cs="Times New Roman"/>
          <w:color w:val="auto"/>
          <w:kern w:val="2"/>
          <w:sz w:val="32"/>
          <w:szCs w:val="24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lang w:eastAsia="zh-CN"/>
        </w:rPr>
        <w:t>202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lang w:eastAsia="zh-CN"/>
        </w:rPr>
        <w:t>年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</w:rPr>
        <w:t>全镇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lang w:val="en-US" w:eastAsia="zh-CN"/>
        </w:rPr>
        <w:t>一般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</w:rPr>
        <w:t>公共预算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lang w:val="en-US" w:eastAsia="zh-CN"/>
        </w:rPr>
        <w:t>支出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highlight w:val="none"/>
          <w:lang w:val="en-US" w:eastAsia="zh-CN"/>
        </w:rPr>
        <w:t>51,501.86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</w:rPr>
        <w:t>万元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lang w:eastAsia="zh-CN"/>
        </w:rPr>
        <w:t>，完成年度调整预算的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highlight w:val="none"/>
          <w:lang w:val="en-US" w:eastAsia="zh-CN"/>
        </w:rPr>
        <w:t>87.07%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lang w:val="en-US" w:eastAsia="zh-CN"/>
        </w:rPr>
        <w:t>。</w:t>
      </w:r>
    </w:p>
    <w:p w14:paraId="669ED74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kern w:val="2"/>
          <w:sz w:val="32"/>
          <w:szCs w:val="24"/>
          <w:lang w:val="en-US" w:eastAsia="zh-CN"/>
        </w:rPr>
        <w:t>4.一般公共预算结余。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lang w:val="en-US" w:eastAsia="zh-CN"/>
        </w:rPr>
        <w:t>2025年全镇一般公共预算收入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highlight w:val="none"/>
          <w:lang w:val="en-US" w:eastAsia="zh-CN"/>
        </w:rPr>
        <w:t>49,026.45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lang w:val="en-US" w:eastAsia="zh-CN"/>
        </w:rPr>
        <w:t>万元，加上级补助收入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highlight w:val="none"/>
          <w:lang w:val="en-US" w:eastAsia="zh-CN"/>
        </w:rPr>
        <w:t>10,551.59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lang w:val="en-US" w:eastAsia="zh-CN"/>
        </w:rPr>
        <w:t>万元、调入资金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highlight w:val="none"/>
          <w:lang w:val="en-US" w:eastAsia="zh-CN"/>
        </w:rPr>
        <w:t>1,957.48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lang w:val="en-US" w:eastAsia="zh-CN"/>
        </w:rPr>
        <w:t>万元，合计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highlight w:val="none"/>
          <w:lang w:val="en-US" w:eastAsia="zh-CN"/>
        </w:rPr>
        <w:t>61,535.52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lang w:val="en-US" w:eastAsia="zh-CN"/>
        </w:rPr>
        <w:t>万元；减一般公共预算支出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highlight w:val="none"/>
          <w:lang w:val="en-US" w:eastAsia="zh-CN"/>
        </w:rPr>
        <w:t>51,501.86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lang w:val="en-US" w:eastAsia="zh-CN"/>
        </w:rPr>
        <w:t>万元、上解支出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highlight w:val="none"/>
          <w:lang w:val="en-US" w:eastAsia="zh-CN"/>
        </w:rPr>
        <w:t>10,033.66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lang w:val="en-US" w:eastAsia="zh-CN"/>
        </w:rPr>
        <w:t>万元，一般公共预算结余为0。</w:t>
      </w:r>
    </w:p>
    <w:p w14:paraId="52F6A39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24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kern w:val="2"/>
          <w:sz w:val="32"/>
          <w:szCs w:val="24"/>
          <w:lang w:val="en-US" w:eastAsia="zh-CN"/>
        </w:rPr>
        <w:t>（二）政府性基金预算</w:t>
      </w:r>
    </w:p>
    <w:p w14:paraId="5F84F2F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highlight w:val="none"/>
          <w:lang w:eastAsia="zh-CN"/>
        </w:rPr>
        <w:t>2025年全镇政府性基金收入15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highlight w:val="none"/>
          <w:lang w:val="en-US" w:eastAsia="zh-CN"/>
        </w:rPr>
        <w:t>,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highlight w:val="none"/>
          <w:lang w:eastAsia="zh-CN"/>
        </w:rPr>
        <w:t>872.2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highlight w:val="none"/>
          <w:lang w:eastAsia="zh-CN"/>
        </w:rPr>
        <w:t>万元（国有土地使用权出让收入14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highlight w:val="none"/>
          <w:lang w:val="en-US" w:eastAsia="zh-CN"/>
        </w:rPr>
        <w:t>,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highlight w:val="none"/>
          <w:lang w:eastAsia="zh-CN"/>
        </w:rPr>
        <w:t>675.39万元、污水处理费收入1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highlight w:val="none"/>
          <w:lang w:val="en-US" w:eastAsia="zh-CN"/>
        </w:rPr>
        <w:t>,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highlight w:val="none"/>
          <w:lang w:eastAsia="zh-CN"/>
        </w:rPr>
        <w:t>196.8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highlight w:val="none"/>
          <w:lang w:eastAsia="zh-CN"/>
        </w:rPr>
        <w:t>万元），加上级补助收入-246.52万元、债务转贷收入32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highlight w:val="none"/>
          <w:lang w:val="en-US" w:eastAsia="zh-CN"/>
        </w:rPr>
        <w:t>,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highlight w:val="none"/>
          <w:lang w:eastAsia="zh-CN"/>
        </w:rPr>
        <w:t>297万元、调入资金11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highlight w:val="none"/>
          <w:lang w:val="en-US" w:eastAsia="zh-CN"/>
        </w:rPr>
        <w:t>,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highlight w:val="none"/>
          <w:lang w:eastAsia="zh-CN"/>
        </w:rPr>
        <w:t>795.8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highlight w:val="none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highlight w:val="none"/>
          <w:lang w:eastAsia="zh-CN"/>
        </w:rPr>
        <w:t>万元，合计59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highlight w:val="none"/>
          <w:lang w:val="en-US" w:eastAsia="zh-CN"/>
        </w:rPr>
        <w:t>,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highlight w:val="none"/>
          <w:lang w:eastAsia="zh-CN"/>
        </w:rPr>
        <w:t>718.60万元；减政府性基金支出47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highlight w:val="none"/>
          <w:lang w:val="en-US" w:eastAsia="zh-CN"/>
        </w:rPr>
        <w:t>,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highlight w:val="none"/>
          <w:lang w:eastAsia="zh-CN"/>
        </w:rPr>
        <w:t>486.90万元、调出资金7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highlight w:val="none"/>
          <w:lang w:val="en-US" w:eastAsia="zh-CN"/>
        </w:rPr>
        <w:t>,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highlight w:val="none"/>
          <w:lang w:eastAsia="zh-CN"/>
        </w:rPr>
        <w:t>790.52万元、上解支出4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highlight w:val="none"/>
          <w:lang w:val="en-US" w:eastAsia="zh-CN"/>
        </w:rPr>
        <w:t>,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highlight w:val="none"/>
          <w:lang w:eastAsia="zh-CN"/>
        </w:rPr>
        <w:t>441.1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highlight w:val="none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highlight w:val="none"/>
          <w:lang w:eastAsia="zh-CN"/>
        </w:rPr>
        <w:t>万元，政府性基金结余为0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highlight w:val="none"/>
          <w:lang w:val="en-US" w:eastAsia="zh-CN"/>
        </w:rPr>
        <w:t>。</w:t>
      </w:r>
    </w:p>
    <w:p w14:paraId="76E85B5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kern w:val="2"/>
          <w:sz w:val="32"/>
          <w:szCs w:val="24"/>
          <w:lang w:val="en-US" w:eastAsia="zh-CN"/>
        </w:rPr>
        <w:t>（三）财政专户资金情况</w:t>
      </w:r>
    </w:p>
    <w:p w14:paraId="40A931B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lang w:val="en-US" w:eastAsia="zh-CN"/>
        </w:rPr>
        <w:t>2025年全镇财政专户结余结转调整</w:t>
      </w:r>
      <w:r>
        <w:rPr>
          <w:rFonts w:hint="default" w:ascii="Times New Roman" w:hAnsi="Times New Roman" w:eastAsia="仿宋_GB2312" w:cs="Times New Roman"/>
          <w:b w:val="0"/>
          <w:color w:val="auto"/>
          <w:kern w:val="2"/>
          <w:sz w:val="32"/>
          <w:szCs w:val="24"/>
          <w:highlight w:val="none"/>
          <w:lang w:val="en-US" w:eastAsia="zh-CN" w:bidi="ar-SA"/>
        </w:rPr>
        <w:t>-5,275.88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lang w:val="en-US" w:eastAsia="zh-CN"/>
        </w:rPr>
        <w:t>万元，加上上年结余结转</w:t>
      </w:r>
      <w:r>
        <w:rPr>
          <w:rFonts w:hint="default" w:ascii="Times New Roman" w:hAnsi="Times New Roman" w:eastAsia="仿宋_GB2312" w:cs="Times New Roman"/>
          <w:b w:val="0"/>
          <w:color w:val="auto"/>
          <w:kern w:val="2"/>
          <w:sz w:val="32"/>
          <w:szCs w:val="24"/>
          <w:highlight w:val="none"/>
          <w:lang w:val="en-US" w:eastAsia="zh-CN" w:bidi="ar-SA"/>
        </w:rPr>
        <w:t>5,380.97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lang w:val="en-US" w:eastAsia="zh-CN"/>
        </w:rPr>
        <w:t>万元，本年结余结转</w:t>
      </w:r>
      <w:r>
        <w:rPr>
          <w:rFonts w:hint="default" w:ascii="Times New Roman" w:hAnsi="Times New Roman" w:eastAsia="仿宋_GB2312" w:cs="Times New Roman"/>
          <w:b w:val="0"/>
          <w:color w:val="auto"/>
          <w:kern w:val="2"/>
          <w:sz w:val="32"/>
          <w:szCs w:val="24"/>
          <w:highlight w:val="none"/>
          <w:lang w:val="en-US" w:eastAsia="zh-CN" w:bidi="ar-SA"/>
        </w:rPr>
        <w:t>105.09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lang w:val="en-US" w:eastAsia="zh-CN"/>
        </w:rPr>
        <w:t>万元。</w:t>
      </w:r>
    </w:p>
    <w:p w14:paraId="577DDB3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color w:val="auto"/>
          <w:kern w:val="2"/>
          <w:sz w:val="32"/>
          <w:szCs w:val="24"/>
          <w:lang w:val="en-US" w:eastAsia="zh-CN"/>
        </w:rPr>
        <w:t>（四）财政代管资金情况</w:t>
      </w:r>
    </w:p>
    <w:p w14:paraId="6B5CEE9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lang w:eastAsia="zh-CN"/>
        </w:rPr>
        <w:t>202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lang w:eastAsia="zh-CN"/>
        </w:rPr>
        <w:t>年全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lang w:val="en-US" w:eastAsia="zh-CN"/>
        </w:rPr>
        <w:t>镇财政代管资金收入</w:t>
      </w:r>
      <w:r>
        <w:rPr>
          <w:rFonts w:hint="default" w:ascii="Times New Roman" w:hAnsi="Times New Roman" w:eastAsia="仿宋_GB2312" w:cs="Times New Roman"/>
          <w:b w:val="0"/>
          <w:color w:val="auto"/>
          <w:kern w:val="2"/>
          <w:sz w:val="32"/>
          <w:szCs w:val="24"/>
          <w:highlight w:val="none"/>
          <w:lang w:val="en-US" w:eastAsia="zh-CN" w:bidi="ar-SA"/>
        </w:rPr>
        <w:t>1,449.62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lang w:val="en-US" w:eastAsia="zh-CN"/>
        </w:rPr>
        <w:t>万元，加上上年结余</w:t>
      </w:r>
      <w:r>
        <w:rPr>
          <w:rFonts w:hint="default" w:ascii="Times New Roman" w:hAnsi="Times New Roman" w:eastAsia="仿宋_GB2312" w:cs="Times New Roman"/>
          <w:b w:val="0"/>
          <w:color w:val="auto"/>
          <w:kern w:val="2"/>
          <w:sz w:val="32"/>
          <w:szCs w:val="24"/>
          <w:highlight w:val="none"/>
          <w:lang w:val="en-US" w:eastAsia="zh-CN" w:bidi="ar-SA"/>
        </w:rPr>
        <w:t>539.14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lang w:val="en-US" w:eastAsia="zh-CN"/>
        </w:rPr>
        <w:t>万元，减去财政代管资金支出</w:t>
      </w:r>
      <w:r>
        <w:rPr>
          <w:rFonts w:hint="default" w:ascii="Times New Roman" w:hAnsi="Times New Roman" w:eastAsia="仿宋_GB2312" w:cs="Times New Roman"/>
          <w:b w:val="0"/>
          <w:color w:val="auto"/>
          <w:kern w:val="2"/>
          <w:sz w:val="32"/>
          <w:szCs w:val="24"/>
          <w:highlight w:val="none"/>
          <w:lang w:val="en-US" w:eastAsia="zh-CN" w:bidi="ar-SA"/>
        </w:rPr>
        <w:t>1,175.96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lang w:val="en-US" w:eastAsia="zh-CN"/>
        </w:rPr>
        <w:t>万元，财政代管资金结余结转</w:t>
      </w:r>
      <w:r>
        <w:rPr>
          <w:rFonts w:hint="default" w:ascii="Times New Roman" w:hAnsi="Times New Roman" w:eastAsia="仿宋_GB2312" w:cs="Times New Roman"/>
          <w:b w:val="0"/>
          <w:color w:val="auto"/>
          <w:kern w:val="2"/>
          <w:sz w:val="32"/>
          <w:szCs w:val="24"/>
          <w:highlight w:val="none"/>
          <w:lang w:val="en-US" w:eastAsia="zh-CN" w:bidi="ar-SA"/>
        </w:rPr>
        <w:t>812.80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4"/>
          <w:lang w:val="en-US" w:eastAsia="zh-CN"/>
        </w:rPr>
        <w:t>万元。</w:t>
      </w:r>
    </w:p>
    <w:p w14:paraId="535E5B9E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60" w:lineRule="exact"/>
        <w:ind w:leftChars="0" w:firstLine="640" w:firstLineChars="200"/>
        <w:jc w:val="both"/>
        <w:textAlignment w:val="auto"/>
        <w:outlineLvl w:val="1"/>
        <w:rPr>
          <w:rFonts w:hint="default" w:ascii="Times New Roman" w:hAnsi="Times New Roman" w:eastAsia="楷体_GB2312" w:cs="Times New Roman"/>
          <w:b w:val="0"/>
          <w:color w:val="auto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 w:val="0"/>
          <w:color w:val="auto"/>
          <w:kern w:val="2"/>
          <w:sz w:val="32"/>
          <w:szCs w:val="24"/>
          <w:highlight w:val="none"/>
          <w:lang w:val="en-US" w:eastAsia="zh-CN" w:bidi="ar-SA"/>
        </w:rPr>
        <w:t>（五）债务管理情况</w:t>
      </w:r>
    </w:p>
    <w:p w14:paraId="3CEE7CF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color w:val="auto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color w:val="auto"/>
          <w:kern w:val="2"/>
          <w:sz w:val="32"/>
          <w:szCs w:val="24"/>
          <w:highlight w:val="none"/>
          <w:lang w:val="en-US" w:eastAsia="zh-CN" w:bidi="ar-SA"/>
        </w:rPr>
        <w:t>2025年全镇地方政府债券余额153,417.89万元，其中：一般债券余额3800万元，专项债券余额149,617.89万元。全年偿还债券本息及支付手续费4,553.05万元。</w:t>
      </w:r>
    </w:p>
    <w:p w14:paraId="78777EF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color w:val="auto"/>
          <w:kern w:val="2"/>
          <w:sz w:val="32"/>
          <w:szCs w:val="24"/>
          <w:highlight w:val="none"/>
          <w:lang w:val="en-US" w:eastAsia="zh-CN" w:bidi="ar-SA"/>
        </w:rPr>
      </w:pPr>
    </w:p>
    <w:p w14:paraId="3E2E89F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eastAsia="仿宋_GB2312" w:cs="Times New Roman"/>
          <w:b w:val="0"/>
          <w:color w:val="auto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color w:val="auto"/>
          <w:kern w:val="2"/>
          <w:sz w:val="32"/>
          <w:szCs w:val="24"/>
          <w:highlight w:val="none"/>
          <w:lang w:val="en-US" w:eastAsia="zh-CN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-733425</wp:posOffset>
            </wp:positionH>
            <wp:positionV relativeFrom="paragraph">
              <wp:posOffset>-220980</wp:posOffset>
            </wp:positionV>
            <wp:extent cx="6988175" cy="9631045"/>
            <wp:effectExtent l="0" t="0" r="3175" b="8255"/>
            <wp:wrapNone/>
            <wp:docPr id="3" name="图片 3" descr="2、板芙镇2025年一般公共预算收支表和政府性基金预算收支决算表_公共预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、板芙镇2025年一般公共预算收支表和政府性基金预算收支决算表_公共预算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88175" cy="9631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7C703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b w:val="0"/>
          <w:color w:val="auto"/>
          <w:kern w:val="2"/>
          <w:sz w:val="32"/>
          <w:szCs w:val="24"/>
          <w:highlight w:val="none"/>
          <w:lang w:val="en-US" w:eastAsia="zh-CN" w:bidi="ar-SA"/>
        </w:rPr>
        <w:sectPr>
          <w:footerReference r:id="rId5" w:type="default"/>
          <w:pgSz w:w="11906" w:h="16838"/>
          <w:pgMar w:top="873" w:right="1800" w:bottom="873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1FE7F9A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b w:val="0"/>
          <w:color w:val="auto"/>
          <w:kern w:val="2"/>
          <w:sz w:val="32"/>
          <w:szCs w:val="24"/>
          <w:highlight w:val="none"/>
          <w:lang w:val="en-US" w:eastAsia="zh-CN" w:bidi="ar-SA"/>
        </w:rPr>
        <w:sectPr>
          <w:pgSz w:w="16838" w:h="11906" w:orient="landscape"/>
          <w:pgMar w:top="1800" w:right="1213" w:bottom="1800" w:left="1213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b w:val="0"/>
          <w:color w:val="auto"/>
          <w:kern w:val="2"/>
          <w:sz w:val="32"/>
          <w:szCs w:val="24"/>
          <w:highlight w:val="none"/>
          <w:lang w:val="en-US" w:eastAsia="zh-CN" w:bidi="ar-SA"/>
        </w:rPr>
        <w:drawing>
          <wp:inline distT="0" distB="0" distL="114300" distR="114300">
            <wp:extent cx="9082405" cy="5558155"/>
            <wp:effectExtent l="0" t="0" r="4445" b="4445"/>
            <wp:docPr id="1" name="图片 1" descr="2、板芙镇2025年一般公共预算收支表和政府性基金预算收支决算表_政府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、板芙镇2025年一般公共预算收支表和政府性基金预算收支决算表_政府性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082405" cy="555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B3E1B">
      <w:pPr>
        <w:pStyle w:val="4"/>
        <w:rPr>
          <w:rFonts w:hint="eastAsia"/>
          <w:lang w:eastAsia="zh-CN"/>
        </w:rPr>
      </w:pPr>
    </w:p>
    <w:sectPr>
      <w:headerReference r:id="rId6" w:type="default"/>
      <w:footerReference r:id="rId7" w:type="default"/>
      <w:pgSz w:w="11906" w:h="16838"/>
      <w:pgMar w:top="1134" w:right="1587" w:bottom="1134" w:left="1587" w:header="851" w:footer="992" w:gutter="0"/>
      <w:pgNumType w:fmt="numberInDash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简标宋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2210AA">
    <w:pPr>
      <w:widowControl w:val="0"/>
      <w:tabs>
        <w:tab w:val="right" w:pos="8306"/>
      </w:tabs>
      <w:snapToGrid w:val="0"/>
      <w:spacing w:line="360" w:lineRule="auto"/>
      <w:ind w:leftChars="0" w:firstLine="360" w:firstLineChars="200"/>
      <w:jc w:val="center"/>
      <w:rPr>
        <w:rFonts w:ascii="Times New Roman" w:hAnsi="Times New Roman" w:eastAsia="仿宋_GB2312" w:cs="Times New Roman"/>
        <w:kern w:val="2"/>
        <w:sz w:val="18"/>
        <w:szCs w:val="24"/>
        <w:lang w:val="en-US" w:eastAsia="zh-CN" w:bidi="ar-SA"/>
      </w:rPr>
    </w:pPr>
    <w:r>
      <w:rPr>
        <w:rFonts w:ascii="Times New Roman" w:hAnsi="Times New Roman" w:eastAsia="仿宋_GB2312" w:cs="Times New Roman"/>
        <w:kern w:val="2"/>
        <w:sz w:val="18"/>
        <w:szCs w:val="24"/>
        <w:lang w:val="en-US" w:eastAsia="zh-CN" w:bidi="ar-SA"/>
      </w:rPr>
      <w:pict>
        <v:shape id="文本框 1" o:spid="_x0000_s2050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<v:path/>
          <v:fill on="f" focussize="0,0"/>
          <v:stroke on="f" weight="0.5pt"/>
          <v:imagedata o:title=""/>
          <o:lock v:ext="edit" aspectratio="f"/>
          <v:textbox inset="0mm,0mm,0mm,0mm" style="mso-fit-shape-to-text:t;">
            <w:txbxContent>
              <w:p w14:paraId="030949DB">
                <w:pPr>
                  <w:widowControl w:val="0"/>
                  <w:tabs>
                    <w:tab w:val="center" w:pos="4153"/>
                    <w:tab w:val="right" w:pos="8306"/>
                  </w:tabs>
                  <w:snapToGrid w:val="0"/>
                  <w:spacing w:line="360" w:lineRule="auto"/>
                  <w:ind w:leftChars="0" w:firstLine="560" w:firstLineChars="200"/>
                  <w:jc w:val="left"/>
                  <w:rPr>
                    <w:rFonts w:ascii="宋体" w:hAnsi="宋体" w:eastAsia="宋体" w:cs="Times New Roman"/>
                    <w:kern w:val="2"/>
                    <w:sz w:val="28"/>
                    <w:szCs w:val="24"/>
                    <w:lang w:val="en-US" w:eastAsia="zh-CN" w:bidi="ar-SA"/>
                  </w:rPr>
                </w:pPr>
                <w:r>
                  <w:rPr>
                    <w:rFonts w:ascii="宋体" w:hAnsi="宋体" w:eastAsia="宋体" w:cs="Times New Roman"/>
                    <w:kern w:val="2"/>
                    <w:sz w:val="28"/>
                    <w:szCs w:val="24"/>
                    <w:lang w:val="en-US" w:eastAsia="zh-CN" w:bidi="ar-SA"/>
                  </w:rPr>
                  <w:t>—</w:t>
                </w:r>
                <w:r>
                  <w:rPr>
                    <w:rFonts w:ascii="宋体" w:hAnsi="宋体" w:eastAsia="宋体" w:cs="Times New Roman"/>
                    <w:kern w:val="2"/>
                    <w:sz w:val="24"/>
                    <w:szCs w:val="24"/>
                    <w:lang w:val="en-US" w:eastAsia="zh-CN" w:bidi="ar-SA"/>
                  </w:rPr>
                  <w:t>　</w:t>
                </w:r>
                <w:r>
                  <w:rPr>
                    <w:rFonts w:ascii="宋体" w:hAnsi="宋体" w:eastAsia="宋体" w:cs="Times New Roman"/>
                    <w:kern w:val="2"/>
                    <w:sz w:val="28"/>
                    <w:szCs w:val="24"/>
                    <w:lang w:val="en-US" w:eastAsia="zh-CN" w:bidi="ar-SA"/>
                  </w:rPr>
                  <w:fldChar w:fldCharType="begin"/>
                </w:r>
                <w:r>
                  <w:rPr>
                    <w:rFonts w:ascii="宋体" w:hAnsi="宋体" w:eastAsia="宋体" w:cs="Times New Roman"/>
                    <w:kern w:val="2"/>
                    <w:sz w:val="28"/>
                    <w:szCs w:val="24"/>
                    <w:lang w:val="en-US" w:eastAsia="zh-CN" w:bidi="ar-SA"/>
                  </w:rPr>
                  <w:instrText xml:space="preserve"> PAGE  \* MERGEFORMAT </w:instrText>
                </w:r>
                <w:r>
                  <w:rPr>
                    <w:rFonts w:ascii="宋体" w:hAnsi="宋体" w:eastAsia="宋体" w:cs="Times New Roman"/>
                    <w:kern w:val="2"/>
                    <w:sz w:val="28"/>
                    <w:szCs w:val="24"/>
                    <w:lang w:val="en-US" w:eastAsia="zh-CN" w:bidi="ar-SA"/>
                  </w:rPr>
                  <w:fldChar w:fldCharType="separate"/>
                </w:r>
                <w:r>
                  <w:rPr>
                    <w:rFonts w:ascii="宋体" w:hAnsi="宋体" w:eastAsia="宋体" w:cs="Times New Roman"/>
                    <w:kern w:val="2"/>
                    <w:sz w:val="28"/>
                    <w:szCs w:val="24"/>
                    <w:lang w:val="en-US" w:eastAsia="zh-CN" w:bidi="ar-SA"/>
                  </w:rPr>
                  <w:t>1</w:t>
                </w:r>
                <w:r>
                  <w:rPr>
                    <w:rFonts w:ascii="宋体" w:hAnsi="宋体" w:eastAsia="宋体" w:cs="Times New Roman"/>
                    <w:kern w:val="2"/>
                    <w:sz w:val="28"/>
                    <w:szCs w:val="24"/>
                    <w:lang w:val="en-US" w:eastAsia="zh-CN" w:bidi="ar-SA"/>
                  </w:rPr>
                  <w:fldChar w:fldCharType="end"/>
                </w:r>
                <w:r>
                  <w:rPr>
                    <w:rFonts w:ascii="宋体" w:hAnsi="宋体" w:eastAsia="宋体" w:cs="Times New Roman"/>
                    <w:kern w:val="2"/>
                    <w:sz w:val="24"/>
                    <w:szCs w:val="24"/>
                    <w:lang w:val="en-US" w:eastAsia="zh-CN" w:bidi="ar-SA"/>
                  </w:rPr>
                  <w:t>　</w:t>
                </w:r>
                <w:r>
                  <w:rPr>
                    <w:rFonts w:ascii="宋体" w:hAnsi="宋体" w:eastAsia="宋体" w:cs="Times New Roman"/>
                    <w:kern w:val="2"/>
                    <w:sz w:val="28"/>
                    <w:szCs w:val="24"/>
                    <w:lang w:val="en-US" w:eastAsia="zh-CN" w:bidi="ar-SA"/>
                  </w:rPr>
                  <w:t>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8EA278">
    <w:pPr>
      <w:pStyle w:val="6"/>
      <w:tabs>
        <w:tab w:val="left" w:pos="7678"/>
      </w:tabs>
      <w:rPr>
        <w:rFonts w:hint="eastAsia" w:ascii="仿宋_GB2312" w:hAnsi="仿宋_GB2312" w:eastAsia="仿宋_GB2312" w:cs="仿宋_GB2312"/>
        <w:sz w:val="44"/>
        <w:szCs w:val="44"/>
      </w:rPr>
    </w:pPr>
    <w:r>
      <w:rPr>
        <w:rFonts w:hint="eastAsia" w:ascii="仿宋_GB2312" w:hAnsi="仿宋_GB2312" w:eastAsia="仿宋_GB2312" w:cs="仿宋_GB2312"/>
        <w:sz w:val="32"/>
        <w:szCs w:val="32"/>
        <w:lang w:eastAsia="zh-CN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BB9114">
    <w:pPr>
      <w:pStyle w:val="7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172A27"/>
    <w:rsid w:val="00323B43"/>
    <w:rsid w:val="003D37D8"/>
    <w:rsid w:val="00426133"/>
    <w:rsid w:val="004358AB"/>
    <w:rsid w:val="008B7726"/>
    <w:rsid w:val="00D31D50"/>
    <w:rsid w:val="019839AC"/>
    <w:rsid w:val="01EC3436"/>
    <w:rsid w:val="01F30842"/>
    <w:rsid w:val="02506AFC"/>
    <w:rsid w:val="03A42787"/>
    <w:rsid w:val="047E45D5"/>
    <w:rsid w:val="04BD0CD5"/>
    <w:rsid w:val="06BD6013"/>
    <w:rsid w:val="06C14C23"/>
    <w:rsid w:val="09E92ED1"/>
    <w:rsid w:val="0AB822A5"/>
    <w:rsid w:val="0AEC727C"/>
    <w:rsid w:val="0C0635DD"/>
    <w:rsid w:val="0D22141A"/>
    <w:rsid w:val="0D8F1A4E"/>
    <w:rsid w:val="0E4946FF"/>
    <w:rsid w:val="0E4A2181"/>
    <w:rsid w:val="0FFA1A7B"/>
    <w:rsid w:val="107D6C1D"/>
    <w:rsid w:val="10FC4F6D"/>
    <w:rsid w:val="127B0C62"/>
    <w:rsid w:val="127D1BE6"/>
    <w:rsid w:val="14D50377"/>
    <w:rsid w:val="152775FA"/>
    <w:rsid w:val="15A13EAF"/>
    <w:rsid w:val="16715210"/>
    <w:rsid w:val="16DF0E96"/>
    <w:rsid w:val="18517A73"/>
    <w:rsid w:val="1872382B"/>
    <w:rsid w:val="18BD6DA2"/>
    <w:rsid w:val="19ED7494"/>
    <w:rsid w:val="1B741899"/>
    <w:rsid w:val="1BA558EC"/>
    <w:rsid w:val="1BD93C39"/>
    <w:rsid w:val="1C8C131D"/>
    <w:rsid w:val="1D7522E4"/>
    <w:rsid w:val="1E467139"/>
    <w:rsid w:val="1EB80371"/>
    <w:rsid w:val="1F192EAC"/>
    <w:rsid w:val="1F744AD0"/>
    <w:rsid w:val="1FDC04D4"/>
    <w:rsid w:val="23A32E08"/>
    <w:rsid w:val="242C12E4"/>
    <w:rsid w:val="24A63930"/>
    <w:rsid w:val="24FC0860"/>
    <w:rsid w:val="250C10D6"/>
    <w:rsid w:val="25E023B3"/>
    <w:rsid w:val="299B3453"/>
    <w:rsid w:val="2E63592A"/>
    <w:rsid w:val="2E9F1F0C"/>
    <w:rsid w:val="2EDB1BAF"/>
    <w:rsid w:val="30436D3A"/>
    <w:rsid w:val="30F523E0"/>
    <w:rsid w:val="329E499A"/>
    <w:rsid w:val="330C4FCE"/>
    <w:rsid w:val="33980436"/>
    <w:rsid w:val="352F7252"/>
    <w:rsid w:val="35FF7B94"/>
    <w:rsid w:val="3629746A"/>
    <w:rsid w:val="362A4EEC"/>
    <w:rsid w:val="36381C83"/>
    <w:rsid w:val="368A620A"/>
    <w:rsid w:val="36A003AE"/>
    <w:rsid w:val="37BE2D84"/>
    <w:rsid w:val="389C6EEF"/>
    <w:rsid w:val="3D53112B"/>
    <w:rsid w:val="3DF33233"/>
    <w:rsid w:val="3DF71C39"/>
    <w:rsid w:val="3E336A63"/>
    <w:rsid w:val="3E6328DC"/>
    <w:rsid w:val="3F5F7F07"/>
    <w:rsid w:val="40AD73FC"/>
    <w:rsid w:val="41CE5702"/>
    <w:rsid w:val="422D6DA0"/>
    <w:rsid w:val="433429C6"/>
    <w:rsid w:val="440C5DD1"/>
    <w:rsid w:val="455C49D9"/>
    <w:rsid w:val="455E7EDC"/>
    <w:rsid w:val="46B84C96"/>
    <w:rsid w:val="478665E8"/>
    <w:rsid w:val="4799598D"/>
    <w:rsid w:val="47E9088B"/>
    <w:rsid w:val="48850709"/>
    <w:rsid w:val="488D565D"/>
    <w:rsid w:val="49190F7D"/>
    <w:rsid w:val="49E95DD2"/>
    <w:rsid w:val="4A8D0ADE"/>
    <w:rsid w:val="4AB61CA3"/>
    <w:rsid w:val="4BBD7F80"/>
    <w:rsid w:val="4C09384E"/>
    <w:rsid w:val="4CCD6812"/>
    <w:rsid w:val="4CF621D2"/>
    <w:rsid w:val="4E1E2F39"/>
    <w:rsid w:val="4E7613C9"/>
    <w:rsid w:val="4F194455"/>
    <w:rsid w:val="504F5206"/>
    <w:rsid w:val="535940CA"/>
    <w:rsid w:val="54E164CF"/>
    <w:rsid w:val="5780666D"/>
    <w:rsid w:val="5AE503AE"/>
    <w:rsid w:val="5BFD0BB3"/>
    <w:rsid w:val="5D545BA9"/>
    <w:rsid w:val="5E3C172A"/>
    <w:rsid w:val="60BE39C7"/>
    <w:rsid w:val="61E7472F"/>
    <w:rsid w:val="64E42A92"/>
    <w:rsid w:val="65031149"/>
    <w:rsid w:val="6505464C"/>
    <w:rsid w:val="659970BE"/>
    <w:rsid w:val="660776F2"/>
    <w:rsid w:val="666E039B"/>
    <w:rsid w:val="669F43ED"/>
    <w:rsid w:val="671F01BE"/>
    <w:rsid w:val="68F07710"/>
    <w:rsid w:val="696F2D78"/>
    <w:rsid w:val="6B2D5466"/>
    <w:rsid w:val="6B416685"/>
    <w:rsid w:val="6BA563A9"/>
    <w:rsid w:val="6D887843"/>
    <w:rsid w:val="71A74D85"/>
    <w:rsid w:val="72F737AD"/>
    <w:rsid w:val="74597E2D"/>
    <w:rsid w:val="74936A51"/>
    <w:rsid w:val="758208D8"/>
    <w:rsid w:val="76F73CBD"/>
    <w:rsid w:val="771222E8"/>
    <w:rsid w:val="7A03263B"/>
    <w:rsid w:val="7A8C4B1E"/>
    <w:rsid w:val="7AEF6DC1"/>
    <w:rsid w:val="7AF04842"/>
    <w:rsid w:val="7C62341F"/>
    <w:rsid w:val="7F32323D"/>
    <w:rsid w:val="7F6270BB"/>
    <w:rsid w:val="7FC1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Lines="0" w:beforeAutospacing="0" w:afterLines="0" w:afterAutospacing="0" w:line="336" w:lineRule="auto"/>
      <w:outlineLvl w:val="0"/>
    </w:pPr>
    <w:rPr>
      <w:rFonts w:ascii="黑体" w:hAnsi="黑体" w:eastAsia="黑体"/>
      <w:b/>
      <w:kern w:val="44"/>
    </w:rPr>
  </w:style>
  <w:style w:type="paragraph" w:styleId="3">
    <w:name w:val="heading 2"/>
    <w:basedOn w:val="1"/>
    <w:next w:val="1"/>
    <w:link w:val="10"/>
    <w:unhideWhenUsed/>
    <w:qFormat/>
    <w:uiPriority w:val="9"/>
    <w:pPr>
      <w:keepNext/>
      <w:keepLines/>
      <w:spacing w:beforeLines="0" w:beforeAutospacing="0" w:afterLines="0" w:afterAutospacing="0" w:line="360" w:lineRule="auto"/>
      <w:outlineLvl w:val="1"/>
    </w:pPr>
    <w:rPr>
      <w:rFonts w:ascii="楷体_GB2312" w:hAnsi="楷体_GB2312" w:eastAsia="楷体_GB2312"/>
      <w:b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qFormat/>
    <w:uiPriority w:val="0"/>
    <w:pPr>
      <w:widowControl/>
      <w:adjustRightInd w:val="0"/>
      <w:snapToGrid w:val="0"/>
      <w:spacing w:line="360" w:lineRule="auto"/>
    </w:pPr>
    <w:rPr>
      <w:rFonts w:hint="default" w:ascii="仿宋_GB2312" w:hAnsi="宋体"/>
      <w:kern w:val="0"/>
      <w:sz w:val="28"/>
      <w:szCs w:val="28"/>
    </w:rPr>
  </w:style>
  <w:style w:type="paragraph" w:styleId="5">
    <w:name w:val="Title"/>
    <w:next w:val="1"/>
    <w:qFormat/>
    <w:uiPriority w:val="0"/>
    <w:pPr>
      <w:widowControl w:val="0"/>
      <w:spacing w:line="0" w:lineRule="atLeast"/>
      <w:ind w:leftChars="0" w:firstLine="880" w:firstLineChars="200"/>
      <w:jc w:val="center"/>
    </w:pPr>
    <w:rPr>
      <w:rFonts w:ascii="Arial" w:hAnsi="Arial" w:eastAsia="黑体" w:cs="Times New Roman"/>
      <w:kern w:val="2"/>
      <w:sz w:val="52"/>
      <w:szCs w:val="52"/>
      <w:lang w:val="en-US" w:eastAsia="zh-CN" w:bidi="ar-SA"/>
    </w:rPr>
  </w:style>
  <w:style w:type="paragraph" w:styleId="6">
    <w:name w:val="footer"/>
    <w:basedOn w:val="1"/>
    <w:qFormat/>
    <w:uiPriority w:val="0"/>
    <w:pPr>
      <w:snapToGrid w:val="0"/>
      <w:jc w:val="left"/>
    </w:pPr>
    <w:rPr>
      <w:rFonts w:hint="default" w:ascii="Times New Roman" w:hAnsi="Times New Roman"/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snapToGrid w:val="0"/>
      <w:jc w:val="center"/>
    </w:pPr>
    <w:rPr>
      <w:sz w:val="18"/>
      <w:szCs w:val="18"/>
    </w:rPr>
  </w:style>
  <w:style w:type="character" w:customStyle="1" w:styleId="10">
    <w:name w:val="标题 2 Char"/>
    <w:link w:val="3"/>
    <w:qFormat/>
    <w:uiPriority w:val="0"/>
    <w:rPr>
      <w:rFonts w:ascii="楷体_GB2312" w:hAnsi="楷体_GB2312" w:eastAsia="楷体_GB2312"/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jpeg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2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50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1</Lines>
  <Paragraphs>1</Paragraphs>
  <TotalTime>6</TotalTime>
  <ScaleCrop>false</ScaleCrop>
  <LinksUpToDate>false</LinksUpToDate>
  <CharactersWithSpaces>0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lenovo</cp:lastModifiedBy>
  <cp:lastPrinted>2026-08-20T00:50:50Z</cp:lastPrinted>
  <dcterms:modified xsi:type="dcterms:W3CDTF">2026-08-20T01:04:30Z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A408316ED77848F795DE02B922551A60</vt:lpwstr>
  </property>
</Properties>
</file>