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171049">
      <w:pPr>
        <w:keepNext w:val="0"/>
        <w:keepLines w:val="0"/>
        <w:pageBreakBefore w:val="0"/>
        <w:widowControl w:val="0"/>
        <w:kinsoku/>
        <w:wordWrap/>
        <w:overflowPunct/>
        <w:topLinePunct w:val="0"/>
        <w:autoSpaceDE/>
        <w:autoSpaceDN/>
        <w:bidi w:val="0"/>
        <w:adjustRightInd/>
        <w:snapToGrid/>
        <w:spacing w:after="313" w:afterLines="100" w:line="454" w:lineRule="exact"/>
        <w:jc w:val="center"/>
        <w:textAlignment w:val="auto"/>
        <w:rPr>
          <w:rFonts w:hint="default" w:ascii="仿宋_GB2312" w:hAnsi="仿宋_GB2312" w:eastAsia="仿宋_GB2312" w:cs="仿宋_GB2312"/>
          <w:sz w:val="40"/>
          <w:szCs w:val="40"/>
          <w:lang w:val="en-US" w:eastAsia="zh-CN"/>
        </w:rPr>
      </w:pPr>
      <w:r>
        <w:rPr>
          <w:rFonts w:hint="eastAsia" w:ascii="方正小标宋简体" w:hAnsi="方正小标宋简体" w:eastAsia="方正小标宋简体" w:cs="方正小标宋简体"/>
          <w:sz w:val="40"/>
          <w:szCs w:val="40"/>
          <w:lang w:eastAsia="zh-CN"/>
        </w:rPr>
        <w:t>关于伍嘉舜工业用地规划条件变更公示的通告</w:t>
      </w:r>
    </w:p>
    <w:p w14:paraId="7CF2627C">
      <w:pPr>
        <w:keepNext w:val="0"/>
        <w:keepLines w:val="0"/>
        <w:pageBreakBefore w:val="0"/>
        <w:widowControl w:val="0"/>
        <w:kinsoku/>
        <w:wordWrap/>
        <w:overflowPunct/>
        <w:topLinePunct w:val="0"/>
        <w:autoSpaceDE/>
        <w:autoSpaceDN/>
        <w:bidi w:val="0"/>
        <w:adjustRightInd/>
        <w:snapToGrid/>
        <w:spacing w:line="454" w:lineRule="exact"/>
        <w:ind w:firstLine="56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权利人伍嘉舜，申请办理其名下位于中山市沙溪镇象角村的一宗国有出让工业用地［土地证号“中府国用（2014）第易2403426号”］的规划条件变更。我局已受理其申请，依据《中华人民共和国城乡规划法》第四十三条有关规定，现将该事项予以公示：</w:t>
      </w:r>
    </w:p>
    <w:p w14:paraId="4CC0CBBD">
      <w:pPr>
        <w:keepNext w:val="0"/>
        <w:keepLines w:val="0"/>
        <w:pageBreakBefore w:val="0"/>
        <w:widowControl w:val="0"/>
        <w:numPr>
          <w:ilvl w:val="0"/>
          <w:numId w:val="1"/>
        </w:numPr>
        <w:kinsoku/>
        <w:wordWrap/>
        <w:overflowPunct/>
        <w:topLinePunct w:val="0"/>
        <w:autoSpaceDE/>
        <w:autoSpaceDN/>
        <w:bidi w:val="0"/>
        <w:adjustRightInd/>
        <w:snapToGrid/>
        <w:spacing w:before="251" w:beforeLines="80" w:line="454" w:lineRule="exact"/>
        <w:ind w:firstLine="561"/>
        <w:textAlignment w:val="auto"/>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原土地出让合同约定的规划条件</w:t>
      </w:r>
    </w:p>
    <w:p w14:paraId="5D66D647">
      <w:pPr>
        <w:keepNext w:val="0"/>
        <w:keepLines w:val="0"/>
        <w:pageBreakBefore w:val="0"/>
        <w:widowControl w:val="0"/>
        <w:numPr>
          <w:ilvl w:val="0"/>
          <w:numId w:val="0"/>
        </w:numPr>
        <w:kinsoku/>
        <w:wordWrap/>
        <w:overflowPunct/>
        <w:topLinePunct w:val="0"/>
        <w:autoSpaceDE/>
        <w:autoSpaceDN/>
        <w:bidi w:val="0"/>
        <w:adjustRightInd/>
        <w:snapToGrid/>
        <w:spacing w:line="454" w:lineRule="exact"/>
        <w:ind w:firstLine="56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根据该宗地出让时所签订的《中山市国有土地使用权出让合同》（合同编号442000-2020-000382），其城市规划和建设要求按市规划局出具的建设用地规划条件变更批复书（业务编号：071152019120002）执行：容积率为0.8-2.5、建筑密度35%-40%、绿地率15%-20%、建筑限高24米。</w:t>
      </w:r>
    </w:p>
    <w:p w14:paraId="796FC1A1">
      <w:pPr>
        <w:keepNext w:val="0"/>
        <w:keepLines w:val="0"/>
        <w:pageBreakBefore w:val="0"/>
        <w:widowControl w:val="0"/>
        <w:kinsoku/>
        <w:wordWrap/>
        <w:overflowPunct/>
        <w:topLinePunct w:val="0"/>
        <w:autoSpaceDE/>
        <w:autoSpaceDN/>
        <w:bidi w:val="0"/>
        <w:adjustRightInd/>
        <w:snapToGrid/>
        <w:spacing w:after="157" w:afterLines="50" w:line="454" w:lineRule="exact"/>
        <w:jc w:val="center"/>
        <w:textAlignment w:val="auto"/>
        <w:rPr>
          <w:rFonts w:hint="eastAsia" w:asciiTheme="minorEastAsia" w:hAnsiTheme="minorEastAsia" w:eastAsiaTheme="minorEastAsia" w:cstheme="minorEastAsia"/>
          <w:b/>
          <w:bCs/>
          <w:sz w:val="28"/>
          <w:szCs w:val="36"/>
          <w:lang w:val="en-US" w:eastAsia="zh-CN"/>
        </w:rPr>
      </w:pPr>
      <w:r>
        <w:rPr>
          <w:rFonts w:hint="eastAsia" w:asciiTheme="minorEastAsia" w:hAnsiTheme="minorEastAsia" w:eastAsiaTheme="minorEastAsia" w:cstheme="minorEastAsia"/>
          <w:b/>
          <w:bCs/>
          <w:sz w:val="24"/>
          <w:szCs w:val="32"/>
          <w:lang w:val="en-US" w:eastAsia="zh-CN"/>
        </w:rPr>
        <w:drawing>
          <wp:anchor distT="0" distB="0" distL="114300" distR="114300" simplePos="0" relativeHeight="251660288" behindDoc="0" locked="0" layoutInCell="1" allowOverlap="1">
            <wp:simplePos x="0" y="0"/>
            <wp:positionH relativeFrom="column">
              <wp:posOffset>294640</wp:posOffset>
            </wp:positionH>
            <wp:positionV relativeFrom="paragraph">
              <wp:posOffset>88265</wp:posOffset>
            </wp:positionV>
            <wp:extent cx="4996180" cy="3187065"/>
            <wp:effectExtent l="0" t="0" r="13970" b="13335"/>
            <wp:wrapTopAndBottom/>
            <wp:docPr id="1" name="图片 1" descr="C:/Users/Administrator/Desktop/071152026080002伍嘉舜工业厂房/PixPin_2026-08-14_14-44-22.pngPixPin_2026-08-14_14-4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071152026080002伍嘉舜工业厂房/PixPin_2026-08-14_14-44-22.pngPixPin_2026-08-14_14-44-22"/>
                    <pic:cNvPicPr>
                      <a:picLocks noChangeAspect="1"/>
                    </pic:cNvPicPr>
                  </pic:nvPicPr>
                  <pic:blipFill>
                    <a:blip r:embed="rId4"/>
                    <a:srcRect t="4423" b="4423"/>
                    <a:stretch>
                      <a:fillRect/>
                    </a:stretch>
                  </pic:blipFill>
                  <pic:spPr>
                    <a:xfrm>
                      <a:off x="0" y="0"/>
                      <a:ext cx="4996180" cy="3187065"/>
                    </a:xfrm>
                    <a:prstGeom prst="rect">
                      <a:avLst/>
                    </a:prstGeom>
                  </pic:spPr>
                </pic:pic>
              </a:graphicData>
            </a:graphic>
          </wp:anchor>
        </w:drawing>
      </w:r>
      <w:r>
        <w:rPr>
          <w:rFonts w:hint="eastAsia" w:asciiTheme="minorEastAsia" w:hAnsiTheme="minorEastAsia" w:cstheme="minorEastAsia"/>
          <w:b/>
          <w:bCs/>
          <w:sz w:val="24"/>
          <w:szCs w:val="32"/>
          <w:lang w:val="en-US" w:eastAsia="zh-CN"/>
        </w:rPr>
        <w:t>宗地</w:t>
      </w:r>
      <w:r>
        <w:rPr>
          <w:rFonts w:hint="eastAsia" w:asciiTheme="minorEastAsia" w:hAnsiTheme="minorEastAsia" w:eastAsiaTheme="minorEastAsia" w:cstheme="minorEastAsia"/>
          <w:b/>
          <w:bCs/>
          <w:sz w:val="24"/>
          <w:szCs w:val="32"/>
          <w:lang w:val="en-US" w:eastAsia="zh-CN"/>
        </w:rPr>
        <w:t>区位示意图</w:t>
      </w:r>
    </w:p>
    <w:p w14:paraId="18935CB4">
      <w:pPr>
        <w:keepNext w:val="0"/>
        <w:keepLines w:val="0"/>
        <w:pageBreakBefore w:val="0"/>
        <w:widowControl w:val="0"/>
        <w:numPr>
          <w:ilvl w:val="0"/>
          <w:numId w:val="1"/>
        </w:numPr>
        <w:kinsoku/>
        <w:wordWrap/>
        <w:overflowPunct/>
        <w:topLinePunct w:val="0"/>
        <w:autoSpaceDE/>
        <w:autoSpaceDN/>
        <w:bidi w:val="0"/>
        <w:adjustRightInd/>
        <w:snapToGrid/>
        <w:spacing w:before="251" w:beforeLines="80" w:line="454" w:lineRule="exact"/>
        <w:ind w:firstLine="561"/>
        <w:textAlignment w:val="auto"/>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所在现行控规地块的规划情况</w:t>
      </w:r>
    </w:p>
    <w:p w14:paraId="695FFE65">
      <w:pPr>
        <w:keepNext w:val="0"/>
        <w:keepLines w:val="0"/>
        <w:pageBreakBefore w:val="0"/>
        <w:widowControl w:val="0"/>
        <w:numPr>
          <w:ilvl w:val="0"/>
          <w:numId w:val="0"/>
        </w:numPr>
        <w:kinsoku/>
        <w:wordWrap/>
        <w:overflowPunct/>
        <w:topLinePunct w:val="0"/>
        <w:autoSpaceDE/>
        <w:autoSpaceDN/>
        <w:bidi w:val="0"/>
        <w:adjustRightInd/>
        <w:snapToGrid/>
        <w:spacing w:line="454" w:lineRule="exact"/>
        <w:ind w:firstLine="56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该宗地土地面积730.30平方米，在现行控规《中山市沙溪镇工业用地规划条件论证报告》（中府函[2022]230号）B-16(1)地块中，规划为一类工业用地，规划控制指标：容积率1.0-3.5、建筑密度35%-60%、绿地率10%-15%；产业用房高度≤50米，配套设施建筑高度≤100米；特殊工艺的产业用房高度进行专题研究确定。该</w:t>
      </w:r>
      <w:bookmarkStart w:id="0" w:name="_GoBack"/>
      <w:bookmarkEnd w:id="0"/>
      <w:r>
        <w:rPr>
          <w:rFonts w:hint="eastAsia" w:ascii="仿宋_GB2312" w:hAnsi="仿宋_GB2312" w:eastAsia="仿宋_GB2312" w:cs="仿宋_GB2312"/>
          <w:sz w:val="28"/>
          <w:szCs w:val="36"/>
          <w:lang w:val="en-US" w:eastAsia="zh-CN"/>
        </w:rPr>
        <w:t>宗地所在的控规地块无配套公共设施要求。</w:t>
      </w:r>
    </w:p>
    <w:p w14:paraId="77167EE3">
      <w:pPr>
        <w:keepNext w:val="0"/>
        <w:keepLines w:val="0"/>
        <w:pageBreakBefore w:val="0"/>
        <w:widowControl w:val="0"/>
        <w:kinsoku/>
        <w:wordWrap/>
        <w:overflowPunct/>
        <w:topLinePunct w:val="0"/>
        <w:autoSpaceDE/>
        <w:autoSpaceDN/>
        <w:bidi w:val="0"/>
        <w:adjustRightInd/>
        <w:snapToGrid/>
        <w:spacing w:after="157" w:afterLines="50" w:line="454" w:lineRule="exact"/>
        <w:jc w:val="center"/>
        <w:textAlignment w:val="auto"/>
        <w:rPr>
          <w:rFonts w:hint="default" w:asciiTheme="minorEastAsia" w:hAnsiTheme="minorEastAsia" w:eastAsiaTheme="minorEastAsia" w:cstheme="minorEastAsia"/>
          <w:b/>
          <w:bCs/>
          <w:sz w:val="24"/>
          <w:szCs w:val="32"/>
          <w:lang w:val="en-US" w:eastAsia="zh-CN"/>
        </w:rPr>
      </w:pPr>
      <w:r>
        <w:rPr>
          <w:rFonts w:hint="default" w:asciiTheme="minorEastAsia" w:hAnsiTheme="minorEastAsia" w:eastAsiaTheme="minorEastAsia" w:cstheme="minorEastAsia"/>
          <w:b/>
          <w:bCs/>
          <w:sz w:val="24"/>
          <w:szCs w:val="32"/>
          <w:lang w:val="en-US" w:eastAsia="zh-CN"/>
        </w:rPr>
        <w:drawing>
          <wp:anchor distT="0" distB="0" distL="114300" distR="114300" simplePos="0" relativeHeight="251659264" behindDoc="0" locked="0" layoutInCell="1" allowOverlap="1">
            <wp:simplePos x="0" y="0"/>
            <wp:positionH relativeFrom="column">
              <wp:posOffset>102870</wp:posOffset>
            </wp:positionH>
            <wp:positionV relativeFrom="paragraph">
              <wp:posOffset>128270</wp:posOffset>
            </wp:positionV>
            <wp:extent cx="5132705" cy="3007995"/>
            <wp:effectExtent l="0" t="0" r="10795" b="1905"/>
            <wp:wrapTopAndBottom/>
            <wp:docPr id="2" name="图片 2" descr="C:/Users/Administrator/Desktop/071152026080002伍嘉舜工业厂房/PixPin_2026-08-14_14-44-59.pngPixPin_2026-08-14_14-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071152026080002伍嘉舜工业厂房/PixPin_2026-08-14_14-44-59.pngPixPin_2026-08-14_14-44-59"/>
                    <pic:cNvPicPr>
                      <a:picLocks noChangeAspect="1"/>
                    </pic:cNvPicPr>
                  </pic:nvPicPr>
                  <pic:blipFill>
                    <a:blip r:embed="rId5"/>
                    <a:srcRect t="4021" b="4021"/>
                    <a:stretch>
                      <a:fillRect/>
                    </a:stretch>
                  </pic:blipFill>
                  <pic:spPr>
                    <a:xfrm>
                      <a:off x="0" y="0"/>
                      <a:ext cx="5132705" cy="3007995"/>
                    </a:xfrm>
                    <a:prstGeom prst="rect">
                      <a:avLst/>
                    </a:prstGeom>
                  </pic:spPr>
                </pic:pic>
              </a:graphicData>
            </a:graphic>
          </wp:anchor>
        </w:drawing>
      </w:r>
      <w:r>
        <w:rPr>
          <w:rFonts w:hint="eastAsia" w:asciiTheme="minorEastAsia" w:hAnsiTheme="minorEastAsia" w:eastAsiaTheme="minorEastAsia" w:cstheme="minorEastAsia"/>
          <w:b/>
          <w:bCs/>
          <w:sz w:val="24"/>
          <w:szCs w:val="32"/>
          <w:lang w:val="en-US" w:eastAsia="zh-CN"/>
        </w:rPr>
        <w:t>宗地所在的现行控规示意图</w:t>
      </w:r>
    </w:p>
    <w:p w14:paraId="3A6078EE">
      <w:pPr>
        <w:keepNext w:val="0"/>
        <w:keepLines w:val="0"/>
        <w:pageBreakBefore w:val="0"/>
        <w:widowControl w:val="0"/>
        <w:numPr>
          <w:ilvl w:val="0"/>
          <w:numId w:val="1"/>
        </w:numPr>
        <w:kinsoku/>
        <w:wordWrap/>
        <w:overflowPunct/>
        <w:topLinePunct w:val="0"/>
        <w:autoSpaceDE/>
        <w:autoSpaceDN/>
        <w:bidi w:val="0"/>
        <w:adjustRightInd/>
        <w:snapToGrid/>
        <w:spacing w:before="251" w:beforeLines="80" w:line="454" w:lineRule="exact"/>
        <w:ind w:firstLine="561"/>
        <w:textAlignment w:val="auto"/>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规划条件变更内容</w:t>
      </w:r>
    </w:p>
    <w:p w14:paraId="745D25EA">
      <w:pPr>
        <w:keepNext w:val="0"/>
        <w:keepLines w:val="0"/>
        <w:pageBreakBefore w:val="0"/>
        <w:widowControl w:val="0"/>
        <w:numPr>
          <w:ilvl w:val="0"/>
          <w:numId w:val="0"/>
        </w:numPr>
        <w:kinsoku/>
        <w:wordWrap/>
        <w:overflowPunct/>
        <w:topLinePunct w:val="0"/>
        <w:autoSpaceDE/>
        <w:autoSpaceDN/>
        <w:bidi w:val="0"/>
        <w:adjustRightInd/>
        <w:snapToGrid/>
        <w:spacing w:line="454" w:lineRule="exact"/>
        <w:ind w:firstLine="560"/>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本次申请办理规划条件变更，符合《广东省城乡规划条例》第三十八条第一款“因城乡规划修改导致地块开发条件变化的”可以依法申请调整规划条件的情形，拟依据该宗地所在的现行控规《中山市沙溪镇工业用地规划条件论证报告》（中府函[2022]230号）办理建设用地规划条件变更。</w:t>
      </w:r>
    </w:p>
    <w:p w14:paraId="25FF3A0E">
      <w:pPr>
        <w:keepNext w:val="0"/>
        <w:keepLines w:val="0"/>
        <w:pageBreakBefore w:val="0"/>
        <w:widowControl w:val="0"/>
        <w:numPr>
          <w:ilvl w:val="0"/>
          <w:numId w:val="0"/>
        </w:numPr>
        <w:kinsoku/>
        <w:wordWrap/>
        <w:overflowPunct/>
        <w:topLinePunct w:val="0"/>
        <w:autoSpaceDE/>
        <w:autoSpaceDN/>
        <w:bidi w:val="0"/>
        <w:adjustRightInd/>
        <w:snapToGrid/>
        <w:spacing w:line="454" w:lineRule="exact"/>
        <w:ind w:firstLine="560"/>
        <w:textAlignment w:val="auto"/>
        <w:rPr>
          <w:rFonts w:hint="default" w:ascii="仿宋_GB2312" w:hAnsi="仿宋_GB2312" w:eastAsia="仿宋_GB2312" w:cs="仿宋_GB2312"/>
          <w:sz w:val="28"/>
          <w:szCs w:val="36"/>
          <w:highlight w:val="yellow"/>
          <w:lang w:val="en-US" w:eastAsia="zh-CN"/>
        </w:rPr>
      </w:pPr>
      <w:r>
        <w:rPr>
          <w:rFonts w:hint="eastAsia" w:ascii="仿宋_GB2312" w:hAnsi="仿宋_GB2312" w:eastAsia="仿宋_GB2312" w:cs="仿宋_GB2312"/>
          <w:sz w:val="28"/>
          <w:szCs w:val="36"/>
          <w:lang w:val="en-US" w:eastAsia="zh-CN"/>
        </w:rPr>
        <w:t>规划控制指标变更为：容积率1.0-3.5、建筑密度35%-60%、绿地率10%-15%；</w:t>
      </w:r>
      <w:r>
        <w:rPr>
          <w:rFonts w:hint="eastAsia" w:ascii="仿宋_GB2312" w:hAnsi="仿宋_GB2312" w:eastAsia="仿宋_GB2312" w:cs="仿宋_GB2312"/>
          <w:color w:val="auto"/>
          <w:sz w:val="28"/>
          <w:szCs w:val="36"/>
          <w:highlight w:val="none"/>
          <w:lang w:val="en-US" w:eastAsia="zh-CN"/>
        </w:rPr>
        <w:t>产业用房高度≤50米；配套设施建筑高度≤100米（配套宿舍≤80米）；特殊工艺的产业用房高度进行专题研究确定。该用地无需配套公共设施。</w:t>
      </w:r>
    </w:p>
    <w:p w14:paraId="784A6A28">
      <w:pPr>
        <w:keepNext w:val="0"/>
        <w:keepLines w:val="0"/>
        <w:pageBreakBefore w:val="0"/>
        <w:widowControl w:val="0"/>
        <w:numPr>
          <w:ilvl w:val="0"/>
          <w:numId w:val="0"/>
        </w:numPr>
        <w:kinsoku/>
        <w:wordWrap/>
        <w:overflowPunct/>
        <w:topLinePunct w:val="0"/>
        <w:autoSpaceDE/>
        <w:autoSpaceDN/>
        <w:bidi w:val="0"/>
        <w:adjustRightInd/>
        <w:snapToGrid/>
        <w:spacing w:line="454" w:lineRule="exact"/>
        <w:ind w:firstLine="560" w:firstLineChars="200"/>
        <w:textAlignment w:val="auto"/>
        <w:rPr>
          <w:rFonts w:hint="eastAsia"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公示时间自</w:t>
      </w:r>
      <w:r>
        <w:rPr>
          <w:rFonts w:hint="eastAsia" w:ascii="仿宋_GB2312" w:hAnsi="仿宋_GB2312" w:eastAsia="仿宋_GB2312" w:cs="仿宋_GB2312"/>
          <w:sz w:val="28"/>
          <w:szCs w:val="36"/>
          <w:lang w:val="en-US" w:eastAsia="zh-CN"/>
        </w:rPr>
        <w:t>本通告</w:t>
      </w:r>
      <w:r>
        <w:rPr>
          <w:rFonts w:hint="default" w:ascii="仿宋_GB2312" w:hAnsi="仿宋_GB2312" w:eastAsia="仿宋_GB2312" w:cs="仿宋_GB2312"/>
          <w:sz w:val="28"/>
          <w:szCs w:val="36"/>
          <w:lang w:val="en-US" w:eastAsia="zh-CN"/>
        </w:rPr>
        <w:t>发布之日起</w:t>
      </w:r>
      <w:r>
        <w:rPr>
          <w:rFonts w:hint="eastAsia" w:ascii="仿宋_GB2312" w:hAnsi="仿宋_GB2312" w:eastAsia="仿宋_GB2312" w:cs="仿宋_GB2312"/>
          <w:sz w:val="28"/>
          <w:szCs w:val="36"/>
          <w:lang w:val="en-US" w:eastAsia="zh-CN"/>
        </w:rPr>
        <w:t>10日（自然日）内</w:t>
      </w:r>
      <w:r>
        <w:rPr>
          <w:rFonts w:hint="default"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lang w:val="en-US" w:eastAsia="zh-CN"/>
        </w:rPr>
        <w:t>相关利害关系人及广大群众</w:t>
      </w:r>
      <w:r>
        <w:rPr>
          <w:rFonts w:hint="default" w:ascii="仿宋_GB2312" w:hAnsi="仿宋_GB2312" w:eastAsia="仿宋_GB2312" w:cs="仿宋_GB2312"/>
          <w:sz w:val="28"/>
          <w:szCs w:val="36"/>
          <w:lang w:val="en-US" w:eastAsia="zh-CN"/>
        </w:rPr>
        <w:t>如对上述事项有意见或建议</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请</w:t>
      </w:r>
      <w:r>
        <w:rPr>
          <w:rFonts w:hint="eastAsia" w:ascii="仿宋_GB2312" w:hAnsi="仿宋_GB2312" w:eastAsia="仿宋_GB2312" w:cs="仿宋_GB2312"/>
          <w:sz w:val="28"/>
          <w:szCs w:val="36"/>
          <w:lang w:val="en-US" w:eastAsia="zh-CN"/>
        </w:rPr>
        <w:t>于</w:t>
      </w:r>
      <w:r>
        <w:rPr>
          <w:rFonts w:hint="default" w:ascii="仿宋_GB2312" w:hAnsi="仿宋_GB2312" w:eastAsia="仿宋_GB2312" w:cs="仿宋_GB2312"/>
          <w:sz w:val="28"/>
          <w:szCs w:val="36"/>
          <w:lang w:val="en-US" w:eastAsia="zh-CN"/>
        </w:rPr>
        <w:t>公示期内</w:t>
      </w:r>
      <w:r>
        <w:rPr>
          <w:rFonts w:hint="eastAsia" w:ascii="仿宋_GB2312" w:hAnsi="仿宋_GB2312" w:eastAsia="仿宋_GB2312" w:cs="仿宋_GB2312"/>
          <w:sz w:val="28"/>
          <w:szCs w:val="36"/>
          <w:lang w:val="en-US" w:eastAsia="zh-CN"/>
        </w:rPr>
        <w:t>以</w:t>
      </w:r>
      <w:r>
        <w:rPr>
          <w:rFonts w:hint="default" w:ascii="仿宋_GB2312" w:hAnsi="仿宋_GB2312" w:eastAsia="仿宋_GB2312" w:cs="仿宋_GB2312"/>
          <w:sz w:val="28"/>
          <w:szCs w:val="36"/>
          <w:lang w:val="en-US" w:eastAsia="zh-CN"/>
        </w:rPr>
        <w:t>书面形式</w:t>
      </w:r>
      <w:r>
        <w:rPr>
          <w:rFonts w:hint="eastAsia" w:ascii="仿宋_GB2312" w:hAnsi="仿宋_GB2312" w:eastAsia="仿宋_GB2312" w:cs="仿宋_GB2312"/>
          <w:sz w:val="28"/>
          <w:szCs w:val="36"/>
          <w:lang w:val="en-US" w:eastAsia="zh-CN"/>
        </w:rPr>
        <w:t>（需</w:t>
      </w:r>
      <w:r>
        <w:rPr>
          <w:rFonts w:hint="default" w:ascii="仿宋_GB2312" w:hAnsi="仿宋_GB2312" w:eastAsia="仿宋_GB2312" w:cs="仿宋_GB2312"/>
          <w:sz w:val="28"/>
          <w:szCs w:val="36"/>
          <w:lang w:val="en-US" w:eastAsia="zh-CN"/>
        </w:rPr>
        <w:t>使用真实姓名及联系</w:t>
      </w:r>
      <w:r>
        <w:rPr>
          <w:rFonts w:hint="eastAsia" w:ascii="仿宋_GB2312" w:hAnsi="仿宋_GB2312" w:eastAsia="仿宋_GB2312" w:cs="仿宋_GB2312"/>
          <w:sz w:val="28"/>
          <w:szCs w:val="36"/>
          <w:lang w:val="en-US" w:eastAsia="zh-CN"/>
        </w:rPr>
        <w:t>电话）</w:t>
      </w:r>
      <w:r>
        <w:rPr>
          <w:rFonts w:hint="default" w:ascii="仿宋_GB2312" w:hAnsi="仿宋_GB2312" w:eastAsia="仿宋_GB2312" w:cs="仿宋_GB2312"/>
          <w:sz w:val="28"/>
          <w:szCs w:val="36"/>
          <w:lang w:val="en-US" w:eastAsia="zh-CN"/>
        </w:rPr>
        <w:t>反馈到</w:t>
      </w:r>
      <w:r>
        <w:rPr>
          <w:rFonts w:hint="eastAsia" w:ascii="仿宋_GB2312" w:hAnsi="仿宋_GB2312" w:eastAsia="仿宋_GB2312" w:cs="仿宋_GB2312"/>
          <w:sz w:val="28"/>
          <w:szCs w:val="36"/>
          <w:lang w:val="en-US" w:eastAsia="zh-CN"/>
        </w:rPr>
        <w:t>中山市横栏镇西铁新城发展大厦三楼，逾期视为无异议。</w:t>
      </w:r>
    </w:p>
    <w:p w14:paraId="514E1B5E">
      <w:pPr>
        <w:keepNext w:val="0"/>
        <w:keepLines w:val="0"/>
        <w:pageBreakBefore w:val="0"/>
        <w:widowControl w:val="0"/>
        <w:numPr>
          <w:ilvl w:val="0"/>
          <w:numId w:val="0"/>
        </w:numPr>
        <w:kinsoku/>
        <w:wordWrap/>
        <w:overflowPunct/>
        <w:topLinePunct w:val="0"/>
        <w:autoSpaceDE/>
        <w:autoSpaceDN/>
        <w:bidi w:val="0"/>
        <w:adjustRightInd/>
        <w:snapToGrid/>
        <w:spacing w:line="454"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36"/>
          <w:lang w:val="en-US" w:eastAsia="zh-CN"/>
        </w:rPr>
        <w:t>联系人：潘小姐，联系电话：</w:t>
      </w:r>
      <w:r>
        <w:rPr>
          <w:rFonts w:hint="eastAsia" w:ascii="仿宋_GB2312" w:hAnsi="仿宋_GB2312" w:eastAsia="仿宋_GB2312" w:cs="仿宋_GB2312"/>
          <w:sz w:val="28"/>
          <w:szCs w:val="28"/>
          <w:lang w:val="en-US" w:eastAsia="zh-CN"/>
        </w:rPr>
        <w:t>0760-87619852</w:t>
      </w:r>
    </w:p>
    <w:p w14:paraId="2C6B406E">
      <w:pPr>
        <w:keepNext w:val="0"/>
        <w:keepLines w:val="0"/>
        <w:pageBreakBefore w:val="0"/>
        <w:widowControl w:val="0"/>
        <w:numPr>
          <w:ilvl w:val="0"/>
          <w:numId w:val="0"/>
        </w:numPr>
        <w:kinsoku/>
        <w:wordWrap/>
        <w:overflowPunct/>
        <w:topLinePunct w:val="0"/>
        <w:autoSpaceDE/>
        <w:autoSpaceDN/>
        <w:bidi w:val="0"/>
        <w:adjustRightInd/>
        <w:snapToGrid/>
        <w:spacing w:line="454" w:lineRule="exact"/>
        <w:textAlignment w:val="auto"/>
        <w:rPr>
          <w:rFonts w:hint="eastAsia" w:ascii="仿宋_GB2312" w:hAnsi="仿宋_GB2312" w:eastAsia="仿宋_GB2312" w:cs="仿宋_GB2312"/>
          <w:sz w:val="28"/>
          <w:szCs w:val="28"/>
          <w:lang w:val="en-US" w:eastAsia="zh-CN"/>
        </w:rPr>
      </w:pPr>
    </w:p>
    <w:p w14:paraId="4CE3FE7F">
      <w:pPr>
        <w:keepNext w:val="0"/>
        <w:keepLines w:val="0"/>
        <w:pageBreakBefore w:val="0"/>
        <w:widowControl w:val="0"/>
        <w:numPr>
          <w:ilvl w:val="0"/>
          <w:numId w:val="0"/>
        </w:numPr>
        <w:kinsoku/>
        <w:wordWrap/>
        <w:overflowPunct/>
        <w:topLinePunct w:val="0"/>
        <w:autoSpaceDE/>
        <w:autoSpaceDN/>
        <w:bidi w:val="0"/>
        <w:adjustRightInd/>
        <w:snapToGrid/>
        <w:spacing w:line="454" w:lineRule="exact"/>
        <w:textAlignment w:val="auto"/>
        <w:rPr>
          <w:rFonts w:hint="eastAsia" w:ascii="仿宋_GB2312" w:hAnsi="仿宋_GB2312" w:eastAsia="仿宋_GB2312" w:cs="仿宋_GB2312"/>
          <w:sz w:val="28"/>
          <w:szCs w:val="28"/>
          <w:lang w:val="en-US" w:eastAsia="zh-CN"/>
        </w:rPr>
      </w:pPr>
    </w:p>
    <w:p w14:paraId="36E595B3">
      <w:pPr>
        <w:keepNext w:val="0"/>
        <w:keepLines w:val="0"/>
        <w:pageBreakBefore w:val="0"/>
        <w:widowControl w:val="0"/>
        <w:numPr>
          <w:ilvl w:val="0"/>
          <w:numId w:val="0"/>
        </w:numPr>
        <w:kinsoku/>
        <w:wordWrap/>
        <w:overflowPunct/>
        <w:topLinePunct w:val="0"/>
        <w:autoSpaceDE/>
        <w:autoSpaceDN/>
        <w:bidi w:val="0"/>
        <w:adjustRightInd/>
        <w:snapToGrid/>
        <w:spacing w:line="454" w:lineRule="exact"/>
        <w:ind w:firstLine="560" w:firstLineChars="200"/>
        <w:jc w:val="center"/>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 xml:space="preserve">                                   中山市自然资源局</w:t>
      </w:r>
    </w:p>
    <w:sectPr>
      <w:pgSz w:w="11906" w:h="16838"/>
      <w:pgMar w:top="1417" w:right="1474"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3EAB5B"/>
    <w:multiLevelType w:val="singleLevel"/>
    <w:tmpl w:val="843EAB5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C41F61"/>
    <w:rsid w:val="01E244FC"/>
    <w:rsid w:val="03851B97"/>
    <w:rsid w:val="0A1F29B3"/>
    <w:rsid w:val="0CD434E5"/>
    <w:rsid w:val="0D866AAE"/>
    <w:rsid w:val="0F736332"/>
    <w:rsid w:val="116C431E"/>
    <w:rsid w:val="122A4CCE"/>
    <w:rsid w:val="19946E7F"/>
    <w:rsid w:val="213976FC"/>
    <w:rsid w:val="2144118C"/>
    <w:rsid w:val="22430D33"/>
    <w:rsid w:val="2ABC7FF4"/>
    <w:rsid w:val="2B971F94"/>
    <w:rsid w:val="2FC41F61"/>
    <w:rsid w:val="30E134F2"/>
    <w:rsid w:val="3504793C"/>
    <w:rsid w:val="35C44201"/>
    <w:rsid w:val="367C15AA"/>
    <w:rsid w:val="387D5266"/>
    <w:rsid w:val="3E9E2047"/>
    <w:rsid w:val="410F566E"/>
    <w:rsid w:val="4303026F"/>
    <w:rsid w:val="47FF1A67"/>
    <w:rsid w:val="499A40FC"/>
    <w:rsid w:val="53DC4F0F"/>
    <w:rsid w:val="54F11A45"/>
    <w:rsid w:val="56DC14C6"/>
    <w:rsid w:val="58EA204C"/>
    <w:rsid w:val="5E324CBD"/>
    <w:rsid w:val="5F771188"/>
    <w:rsid w:val="627B1F67"/>
    <w:rsid w:val="644B199A"/>
    <w:rsid w:val="6AF6750A"/>
    <w:rsid w:val="6C267BFC"/>
    <w:rsid w:val="6CC824B6"/>
    <w:rsid w:val="6D971940"/>
    <w:rsid w:val="6DEB064C"/>
    <w:rsid w:val="721B72C2"/>
    <w:rsid w:val="76F9783F"/>
    <w:rsid w:val="78C82290"/>
    <w:rsid w:val="7B791562"/>
    <w:rsid w:val="7C4A4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中山市自然资源局</Company>
  <Pages>2</Pages>
  <Words>691</Words>
  <Characters>792</Characters>
  <Lines>0</Lines>
  <Paragraphs>0</Paragraphs>
  <TotalTime>10</TotalTime>
  <ScaleCrop>false</ScaleCrop>
  <LinksUpToDate>false</LinksUpToDate>
  <CharactersWithSpaces>831</CharactersWithSpaces>
  <Application>WPS Office_12.9.0.21300_F1E327BC-269C-435d-A152-05C5408002CA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2026-08-07T03:25:00Z</dcterms:created>
  <dc:creator>罗丹璇</dc:creator>
  <cp:lastModifiedBy>Administrator</cp:lastModifiedBy>
  <dcterms:modified xsi:type="dcterms:W3CDTF">2026-08-14T06:48:40Z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2052-12.9.0.21300</vt:lpwstr>
  </property>
  <property fmtid="{D5CDD505-2E9C-101B-9397-08002B2CF9AE}" pid="3" name="ICV">
    <vt:lpwstr>8C7EDCD509EC4C81B58FBB324CC63BC2_13</vt:lpwstr>
  </property>
</Properties>
</file>