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D30C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color w:val="auto"/>
          <w:spacing w:val="-6"/>
          <w:sz w:val="44"/>
          <w:szCs w:val="44"/>
          <w:highlight w:val="none"/>
          <w:u w:val="none"/>
          <w:lang w:val="en-US" w:eastAsia="zh-CN"/>
        </w:rPr>
        <w:t>黄圃镇黎晓童“工改工”项目低效用地再开发实施方案</w:t>
      </w:r>
    </w:p>
    <w:p w14:paraId="1E3B35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50A5D5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根据中山市城市更新（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三旧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改造）专项规划和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控制性详细规划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黄圃镇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人民政府拟对位于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  <w:lang w:eastAsia="zh-CN"/>
        </w:rPr>
        <w:t>中山市黄圃镇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  <w:lang w:val="en-US" w:eastAsia="zh-CN"/>
        </w:rPr>
        <w:t>康盛路27号之二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的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  <w:lang w:eastAsia="zh-CN"/>
        </w:rPr>
        <w:t>黎锦明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旧厂房用地进行改造，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土地权利人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  <w:lang w:val="en-US" w:eastAsia="zh-CN"/>
        </w:rPr>
        <w:t>黎锦明将该用地转移登记至黎晓童</w:t>
      </w:r>
      <w:r>
        <w:rPr>
          <w:rFonts w:hint="eastAsia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  <w:lang w:val="en-US" w:eastAsia="zh-CN"/>
        </w:rPr>
        <w:t>，由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  <w:lang w:val="en-US" w:eastAsia="zh-CN"/>
        </w:rPr>
        <w:t>黎晓童作为改造主体进行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自主改造，采取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全面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改造的改造方式。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</w:rPr>
        <w:t>改造方案如下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：</w:t>
      </w:r>
    </w:p>
    <w:p w14:paraId="708E3E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一、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项目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地块基本情况</w:t>
      </w:r>
    </w:p>
    <w:p w14:paraId="063E79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（一）总体情况</w:t>
      </w:r>
    </w:p>
    <w:p w14:paraId="321B8D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16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</w:rPr>
        <w:t>地块</w:t>
      </w:r>
      <w:bookmarkStart w:id="0" w:name="OLE_LINK1"/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位于中山市黄圃镇康盛路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27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号之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东至广东科志达机械科技有限公司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厂房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，南邻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广东联益食品有限公司厂房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，西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至康盛路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，北至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健富路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用地面积</w:t>
      </w:r>
      <w:bookmarkEnd w:id="0"/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0.4388公顷（4388平方米，折合6.5820亩）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。</w:t>
      </w:r>
    </w:p>
    <w:p w14:paraId="354FC4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（二）标图入库情况</w:t>
      </w:r>
    </w:p>
    <w:p w14:paraId="1F825A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该改造项目地块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0.4388公顷（4388平方米，折合6.5820亩）</w:t>
      </w:r>
      <w:r>
        <w:rPr>
          <w:rFonts w:hint="eastAsia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于2026年7月纳入低效用地数据库，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图斑编号为442000101000118</w:t>
      </w:r>
      <w:r>
        <w:rPr>
          <w:rFonts w:hint="eastAsia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。</w:t>
      </w:r>
    </w:p>
    <w:p w14:paraId="12BA26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（三）权属情况</w:t>
      </w:r>
    </w:p>
    <w:p w14:paraId="1E5854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92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  <w:lang w:eastAsia="zh-CN"/>
        </w:rPr>
        <w:t>地块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</w:rPr>
        <w:t>属国有建设用地，土地用途为工业，改造涉及的土地已经确权、登记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  <w:lang w:eastAsia="zh-CN"/>
        </w:rPr>
        <w:t>地块自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  <w:lang w:val="en-US" w:eastAsia="zh-CN"/>
        </w:rPr>
        <w:t>2003年5月开始使用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</w:rPr>
        <w:t>，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  <w:lang w:eastAsia="zh-CN"/>
        </w:rPr>
        <w:t>现土地权利人为黎锦明，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  <w:lang w:val="en-US" w:eastAsia="zh-CN"/>
        </w:rPr>
        <w:t>不动产权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  <w:lang w:eastAsia="zh-CN"/>
        </w:rPr>
        <w:t>证为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  <w:lang w:val="en-US" w:eastAsia="zh-CN"/>
        </w:rPr>
        <w:t>粤（2016）中山市不动产权第0050641号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。</w:t>
      </w:r>
    </w:p>
    <w:p w14:paraId="2A2529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（四）土地利用现状情况</w:t>
      </w:r>
    </w:p>
    <w:p w14:paraId="70DEA0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16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_GB2312" w:cs="Times New Roman"/>
          <w:color w:val="auto"/>
          <w:spacing w:val="6"/>
          <w:kern w:val="0"/>
          <w:sz w:val="32"/>
          <w:szCs w:val="32"/>
          <w:highlight w:val="none"/>
          <w:u w:val="none"/>
        </w:rPr>
        <w:t>地块现用途为工业，</w:t>
      </w:r>
      <w:r>
        <w:rPr>
          <w:rFonts w:hint="default" w:ascii="Times New Roman" w:hAnsi="Times New Roman" w:eastAsia="仿宋_GB2312" w:cs="Times New Roman"/>
          <w:color w:val="auto"/>
          <w:spacing w:val="6"/>
          <w:kern w:val="0"/>
          <w:sz w:val="32"/>
          <w:szCs w:val="32"/>
          <w:highlight w:val="none"/>
          <w:u w:val="none"/>
          <w:lang w:eastAsia="zh-CN"/>
        </w:rPr>
        <w:t>现</w:t>
      </w:r>
      <w:r>
        <w:rPr>
          <w:rFonts w:hint="default" w:ascii="Times New Roman" w:hAnsi="Times New Roman" w:eastAsia="仿宋_GB2312" w:cs="Times New Roman"/>
          <w:color w:val="auto"/>
          <w:spacing w:val="6"/>
          <w:kern w:val="0"/>
          <w:sz w:val="32"/>
          <w:szCs w:val="32"/>
          <w:highlight w:val="none"/>
          <w:u w:val="none"/>
        </w:rPr>
        <w:t>有</w:t>
      </w:r>
      <w:r>
        <w:rPr>
          <w:rFonts w:hint="default" w:ascii="Times New Roman" w:hAnsi="Times New Roman" w:eastAsia="仿宋_GB2312" w:cs="Times New Roman"/>
          <w:color w:val="auto"/>
          <w:spacing w:val="6"/>
          <w:kern w:val="0"/>
          <w:sz w:val="32"/>
          <w:szCs w:val="32"/>
          <w:highlight w:val="none"/>
          <w:u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pacing w:val="6"/>
          <w:kern w:val="0"/>
          <w:sz w:val="32"/>
          <w:szCs w:val="32"/>
          <w:highlight w:val="none"/>
          <w:u w:val="none"/>
        </w:rPr>
        <w:t>栋建筑物，</w:t>
      </w:r>
      <w:r>
        <w:rPr>
          <w:rFonts w:hint="default" w:ascii="Times New Roman" w:hAnsi="Times New Roman" w:eastAsia="仿宋_GB2312" w:cs="Times New Roman"/>
          <w:color w:val="auto"/>
          <w:spacing w:val="6"/>
          <w:kern w:val="0"/>
          <w:sz w:val="32"/>
          <w:szCs w:val="32"/>
          <w:highlight w:val="none"/>
          <w:u w:val="none"/>
          <w:lang w:eastAsia="zh-CN"/>
        </w:rPr>
        <w:t>总</w:t>
      </w:r>
      <w:r>
        <w:rPr>
          <w:rFonts w:hint="default" w:ascii="Times New Roman" w:hAnsi="Times New Roman" w:eastAsia="仿宋_GB2312" w:cs="Times New Roman"/>
          <w:color w:val="auto"/>
          <w:spacing w:val="6"/>
          <w:kern w:val="0"/>
          <w:sz w:val="32"/>
          <w:szCs w:val="32"/>
          <w:highlight w:val="none"/>
          <w:u w:val="none"/>
        </w:rPr>
        <w:t>建筑面积</w:t>
      </w:r>
      <w:r>
        <w:rPr>
          <w:rFonts w:hint="default" w:ascii="Times New Roman" w:hAnsi="Times New Roman" w:eastAsia="仿宋_GB2312" w:cs="Times New Roman"/>
          <w:color w:val="auto"/>
          <w:spacing w:val="6"/>
          <w:kern w:val="0"/>
          <w:sz w:val="32"/>
          <w:szCs w:val="32"/>
          <w:highlight w:val="none"/>
          <w:u w:val="none"/>
          <w:lang w:eastAsia="zh-CN"/>
        </w:rPr>
        <w:t>约</w:t>
      </w:r>
      <w:r>
        <w:rPr>
          <w:rFonts w:hint="default" w:ascii="Times New Roman" w:hAnsi="Times New Roman" w:eastAsia="仿宋_GB2312" w:cs="Times New Roman"/>
          <w:color w:val="auto"/>
          <w:spacing w:val="6"/>
          <w:kern w:val="0"/>
          <w:sz w:val="32"/>
          <w:szCs w:val="32"/>
          <w:highlight w:val="none"/>
          <w:u w:val="none"/>
          <w:lang w:val="en-US" w:eastAsia="zh-CN"/>
        </w:rPr>
        <w:t>3880.34</w:t>
      </w:r>
      <w:r>
        <w:rPr>
          <w:rFonts w:hint="default" w:ascii="Times New Roman" w:hAnsi="Times New Roman" w:eastAsia="仿宋_GB2312" w:cs="Times New Roman"/>
          <w:color w:val="auto"/>
          <w:spacing w:val="6"/>
          <w:kern w:val="0"/>
          <w:sz w:val="32"/>
          <w:szCs w:val="32"/>
          <w:highlight w:val="none"/>
          <w:u w:val="none"/>
        </w:rPr>
        <w:t>平方米，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现状容积率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0.88，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u w:val="none"/>
        </w:rPr>
        <w:t>作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  <w:u w:val="none"/>
        </w:rPr>
        <w:t>工业厂房和配套用房使用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其中，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pacing w:val="6"/>
          <w:kern w:val="0"/>
          <w:sz w:val="32"/>
          <w:szCs w:val="32"/>
          <w:highlight w:val="none"/>
          <w:u w:val="none"/>
          <w:lang w:val="en-US" w:eastAsia="zh-CN"/>
        </w:rPr>
        <w:t>栋建筑物面积共2627.34平方米已办理房地产权登记手续，</w:t>
      </w:r>
      <w:r>
        <w:rPr>
          <w:rFonts w:hint="default" w:ascii="Times New Roman" w:hAnsi="Times New Roman" w:eastAsia="仿宋_GB2312" w:cs="Times New Roman"/>
          <w:color w:val="auto"/>
          <w:spacing w:val="6"/>
          <w:kern w:val="0"/>
          <w:sz w:val="32"/>
          <w:szCs w:val="32"/>
          <w:highlight w:val="none"/>
          <w:lang w:val="en-US" w:eastAsia="zh-CN"/>
        </w:rPr>
        <w:t>剩余3栋建筑物面积约1253平方米未办理规划报建等手续</w:t>
      </w:r>
      <w:r>
        <w:rPr>
          <w:rFonts w:hint="default" w:ascii="Times New Roman" w:hAnsi="Times New Roman" w:eastAsia="仿宋_GB2312" w:cs="Times New Roman"/>
          <w:color w:val="auto"/>
          <w:spacing w:val="6"/>
          <w:kern w:val="0"/>
          <w:sz w:val="32"/>
          <w:szCs w:val="32"/>
          <w:highlight w:val="none"/>
        </w:rPr>
        <w:t>。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该地块目前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已拆除建筑面积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平方米</w:t>
      </w:r>
      <w:r>
        <w:rPr>
          <w:rFonts w:hint="default" w:ascii="Times New Roman" w:hAnsi="Times New Roman" w:eastAsia="仿宋_GB2312" w:cs="Times New Roman"/>
          <w:color w:val="auto"/>
          <w:spacing w:val="6"/>
          <w:kern w:val="0"/>
          <w:sz w:val="32"/>
          <w:szCs w:val="32"/>
          <w:highlight w:val="none"/>
          <w:u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Cs w:val="0"/>
          <w:snapToGrid/>
          <w:color w:val="auto"/>
          <w:spacing w:val="-6"/>
          <w:kern w:val="0"/>
          <w:sz w:val="32"/>
          <w:szCs w:val="32"/>
          <w:highlight w:val="none"/>
          <w:lang w:val="en-US" w:eastAsia="zh-CN" w:bidi="ar-SA"/>
        </w:rPr>
        <w:t>改造前年产值为200万元（折合30.39万元/亩），年税收为50万元（折合7.6万元/亩）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。</w:t>
      </w:r>
    </w:p>
    <w:p w14:paraId="33E3DA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6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6"/>
          <w:kern w:val="0"/>
          <w:sz w:val="32"/>
          <w:szCs w:val="32"/>
          <w:highlight w:val="none"/>
          <w:lang w:val="en-US" w:eastAsia="zh-CN"/>
        </w:rPr>
        <w:t>改造地块不涉及闲置、抵押、历史文化资源要素、森林资源以及土壤环境潜在监管地块等情况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  <w:u w:val="none"/>
          <w:lang w:eastAsia="zh-CN"/>
        </w:rPr>
        <w:t>。</w:t>
      </w:r>
    </w:p>
    <w:p w14:paraId="121A3B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（五）规划情况</w:t>
      </w:r>
    </w:p>
    <w:p w14:paraId="5EE67D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16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lang w:eastAsia="zh-CN"/>
        </w:rPr>
        <w:t>地块符合中山市国土空间总体规划和控制性详细规划，已纳入《中山市城市更新（</w:t>
      </w:r>
      <w:r>
        <w:rPr>
          <w:rFonts w:hint="eastAsia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lang w:eastAsia="zh-CN"/>
        </w:rPr>
        <w:t>三旧</w:t>
      </w:r>
      <w:r>
        <w:rPr>
          <w:rFonts w:hint="eastAsia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lang w:eastAsia="zh-CN"/>
        </w:rPr>
        <w:t>改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</w:rPr>
        <w:t>造）专项规划（2020-2035）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》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在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《中山市黄圃镇食品工业园控制性详细规划调整（2021）》（中府函〔2021〕295 号）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中，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属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</w:rPr>
        <w:t>一类工业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用地面积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0.4062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公顷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4061.82平方米，折合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6.09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亩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），规划容积率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-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3.5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，建筑密</w:t>
      </w:r>
      <w:bookmarkStart w:id="1" w:name="_GoBack"/>
      <w:bookmarkEnd w:id="1"/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度35%—60%，绿地率10%—15%，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产业用房高度≤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50米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，配套设施建筑高度≤100米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城市道路用地0.0326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公顷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326.18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平方米，折合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0.49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亩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）。</w:t>
      </w:r>
    </w:p>
    <w:p w14:paraId="734354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16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改造地块位于</w:t>
      </w:r>
      <w:r>
        <w:rPr>
          <w:rFonts w:hint="eastAsia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三区三线</w:t>
      </w:r>
      <w:r>
        <w:rPr>
          <w:rFonts w:hint="eastAsia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城镇开发边界内，不涉及永久基本农田、生态保护红线等管控要求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</w:rPr>
        <w:t>。</w:t>
      </w:r>
    </w:p>
    <w:p w14:paraId="417552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二、改造意愿情况</w:t>
      </w:r>
    </w:p>
    <w:p w14:paraId="5377B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16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范围涉及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  <w:lang w:eastAsia="zh-CN"/>
        </w:rPr>
        <w:t>黎锦明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  <w:lang w:val="en-US" w:eastAsia="zh-CN"/>
        </w:rPr>
        <w:t>和黎晓童2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个权利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人主体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黄圃镇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</w:rPr>
        <w:t>人民政府已按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照法律法规，就改造范围、土地现状、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开发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主体及拟改造情况等事项征询涉及所有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产权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人改造意愿，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改造主体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</w:rPr>
        <w:t>同意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将涉及土地、房屋纳入改造范围。</w:t>
      </w:r>
    </w:p>
    <w:p w14:paraId="05C5E8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三、改造主体及拟改造情况</w:t>
      </w:r>
    </w:p>
    <w:p w14:paraId="168806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16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u w:val="none"/>
        </w:rPr>
        <w:t>根据有关规划要求，改造项目严格按照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  <w:lang w:eastAsia="zh-CN"/>
        </w:rPr>
        <w:t>《中山市国土空间总体规划（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  <w:lang w:val="en-US" w:eastAsia="zh-CN"/>
        </w:rPr>
        <w:t>2021—2035年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  <w:lang w:eastAsia="zh-CN"/>
        </w:rPr>
        <w:t>）》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u w:val="none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  <w:lang w:eastAsia="zh-CN"/>
        </w:rPr>
        <w:t>控制性详细规划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u w:val="none"/>
        </w:rPr>
        <w:t>管控要求实施建设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。</w:t>
      </w:r>
    </w:p>
    <w:p w14:paraId="5ED897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该项目属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工改工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宗地项目，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由土地权利人黎锦明将该用地转移登记至黎晓童名下，由黎晓童作为改造主体进行自主改造，采用全面改造的改造方式，改造后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  <w:u w:val="none"/>
          <w:lang w:eastAsia="zh-CN"/>
        </w:rPr>
        <w:t>作为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u w:val="none"/>
          <w:lang w:val="en-US" w:eastAsia="zh-CN"/>
        </w:rPr>
        <w:t>智能家电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u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  <w:u w:val="none"/>
        </w:rPr>
        <w:t>研发及生产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在符合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规划条件论证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的基础上，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项目总用地的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容积率不小于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2.2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总建筑面积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9541.03平方米（含不计容建筑面积0平方米），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u w:val="none"/>
        </w:rPr>
        <w:t>其中新建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u w:val="none"/>
          <w:lang w:eastAsia="zh-CN"/>
        </w:rPr>
        <w:t>计容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u w:val="none"/>
        </w:rPr>
        <w:t>建筑面积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u w:val="none"/>
          <w:lang w:val="en-US" w:eastAsia="zh-CN"/>
        </w:rPr>
        <w:t>不小于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9541.03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u w:val="none"/>
        </w:rPr>
        <w:t>平方米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，不保留原有建筑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。</w:t>
      </w:r>
    </w:p>
    <w:p w14:paraId="45E4EA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16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u w:val="none"/>
          <w:lang w:val="en-US" w:eastAsia="zh-CN"/>
        </w:rPr>
        <w:t>项目相关情况符合《产业结构调整指导目录》《中山市</w:t>
      </w:r>
      <w:r>
        <w:rPr>
          <w:rFonts w:hint="eastAsia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u w:val="none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u w:val="none"/>
          <w:lang w:val="en-US" w:eastAsia="zh-CN"/>
        </w:rPr>
        <w:t>三线一单</w:t>
      </w:r>
      <w:r>
        <w:rPr>
          <w:rFonts w:hint="eastAsia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u w:val="none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u w:val="none"/>
          <w:lang w:val="en-US" w:eastAsia="zh-CN"/>
        </w:rPr>
        <w:t>生态环境分区管控方案》《中山市涉挥发性有机物项目环保管理规定》等相关规定。改造后预计年产值将达3949.2万元（约600万元/亩），年税收将达131.64万元（约20万元/亩）。项目不申请分割销售</w:t>
      </w:r>
      <w:r>
        <w:rPr>
          <w:rFonts w:hint="eastAsia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u w:val="none"/>
          <w:lang w:val="en-US" w:eastAsia="zh-CN"/>
        </w:rPr>
        <w:t>。</w:t>
      </w:r>
    </w:p>
    <w:p w14:paraId="1D1BE6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四、资金筹措</w:t>
      </w:r>
    </w:p>
    <w:p w14:paraId="276DD4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92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开发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主体拟投入资金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2632.80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万元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折合400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</w:rPr>
        <w:t>万元/亩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，其中自有资金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1000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万元，银行借贷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1632.80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万元。</w:t>
      </w:r>
    </w:p>
    <w:p w14:paraId="39F51E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五、开发时序</w:t>
      </w:r>
    </w:p>
    <w:p w14:paraId="4011E5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92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项目开发周期为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年。开发时间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为自方案批复之日起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365日内动工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自开工之日起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365日内竣工，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拟投入资金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val="en-US" w:eastAsia="zh-CN"/>
        </w:rPr>
        <w:t>2632.80万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元，拟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新建建筑面积为9541.03平方米（含不计容建筑0平方米），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不保留原有建筑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/>
          <w:lang w:eastAsia="zh-CN"/>
        </w:rPr>
        <w:t>。</w:t>
      </w:r>
    </w:p>
    <w:p w14:paraId="295A2F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六、实施监管</w:t>
      </w:r>
    </w:p>
    <w:p w14:paraId="151955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16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详见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项目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实施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监管协议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。</w:t>
      </w:r>
    </w:p>
    <w:p w14:paraId="7BA313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sectPr>
      <w:footerReference r:id="rId3" w:type="default"/>
      <w:pgSz w:w="11906" w:h="16838"/>
      <w:pgMar w:top="1871" w:right="1531" w:bottom="1871" w:left="1531" w:header="851" w:footer="992" w:gutter="0"/>
      <w:pgNumType w:fmt="numberInDash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公文小标宋简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80A2A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3E3265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3E3265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HorizontalSpacing w:val="2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DC04B2"/>
    <w:rsid w:val="019E1DDA"/>
    <w:rsid w:val="062724A6"/>
    <w:rsid w:val="06AD44E8"/>
    <w:rsid w:val="07061550"/>
    <w:rsid w:val="0715212E"/>
    <w:rsid w:val="07604237"/>
    <w:rsid w:val="083311E6"/>
    <w:rsid w:val="08D95A7A"/>
    <w:rsid w:val="0908093D"/>
    <w:rsid w:val="0E755EA0"/>
    <w:rsid w:val="0F5B4A89"/>
    <w:rsid w:val="122711D7"/>
    <w:rsid w:val="123646FA"/>
    <w:rsid w:val="1375777F"/>
    <w:rsid w:val="14404678"/>
    <w:rsid w:val="14755F67"/>
    <w:rsid w:val="152543B4"/>
    <w:rsid w:val="160D4C16"/>
    <w:rsid w:val="16184950"/>
    <w:rsid w:val="164D1414"/>
    <w:rsid w:val="18FA5442"/>
    <w:rsid w:val="199C0FB8"/>
    <w:rsid w:val="1DE03EA7"/>
    <w:rsid w:val="1E1024E2"/>
    <w:rsid w:val="1F531875"/>
    <w:rsid w:val="2174578D"/>
    <w:rsid w:val="234C4978"/>
    <w:rsid w:val="24DC04B2"/>
    <w:rsid w:val="25FB145F"/>
    <w:rsid w:val="2676612A"/>
    <w:rsid w:val="2BBB5860"/>
    <w:rsid w:val="2D36293A"/>
    <w:rsid w:val="2FDD6A40"/>
    <w:rsid w:val="30694252"/>
    <w:rsid w:val="31D4754B"/>
    <w:rsid w:val="32DC7261"/>
    <w:rsid w:val="34495659"/>
    <w:rsid w:val="36362EFD"/>
    <w:rsid w:val="3C4E4DD7"/>
    <w:rsid w:val="3E004AC7"/>
    <w:rsid w:val="40E32658"/>
    <w:rsid w:val="429E5DDA"/>
    <w:rsid w:val="432215F8"/>
    <w:rsid w:val="4494718F"/>
    <w:rsid w:val="44A5581F"/>
    <w:rsid w:val="491730C2"/>
    <w:rsid w:val="4921605B"/>
    <w:rsid w:val="49A71AE5"/>
    <w:rsid w:val="4C39552E"/>
    <w:rsid w:val="500F6171"/>
    <w:rsid w:val="50A15C09"/>
    <w:rsid w:val="588A274D"/>
    <w:rsid w:val="58BA0D1E"/>
    <w:rsid w:val="596D062B"/>
    <w:rsid w:val="5A755081"/>
    <w:rsid w:val="5B680CCD"/>
    <w:rsid w:val="5D9F4E8A"/>
    <w:rsid w:val="5E283781"/>
    <w:rsid w:val="5EE81843"/>
    <w:rsid w:val="608C5FD9"/>
    <w:rsid w:val="60CE5CC2"/>
    <w:rsid w:val="66D74547"/>
    <w:rsid w:val="67ED495E"/>
    <w:rsid w:val="682057E3"/>
    <w:rsid w:val="683F7341"/>
    <w:rsid w:val="6A7B433D"/>
    <w:rsid w:val="6AEE4690"/>
    <w:rsid w:val="6AF4577A"/>
    <w:rsid w:val="6FE30BD0"/>
    <w:rsid w:val="7076410E"/>
    <w:rsid w:val="71296218"/>
    <w:rsid w:val="75FD2C07"/>
    <w:rsid w:val="760C0FCF"/>
    <w:rsid w:val="77D90A2D"/>
    <w:rsid w:val="7A5D6536"/>
    <w:rsid w:val="7B1E457A"/>
    <w:rsid w:val="7CB3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2">
    <w:name w:val="heading 4"/>
    <w:basedOn w:val="1"/>
    <w:next w:val="1"/>
    <w:unhideWhenUsed/>
    <w:qFormat/>
    <w:uiPriority w:val="0"/>
    <w:pPr>
      <w:keepNext/>
      <w:jc w:val="center"/>
      <w:outlineLvl w:val="3"/>
    </w:pPr>
    <w:rPr>
      <w:rFonts w:eastAsia="公文小标宋简"/>
      <w:b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59c1d6a-8287-4b5a-84c9-0f6d44e4612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1420</Words>
  <Characters>1638</Characters>
  <Lines>0</Lines>
  <Paragraphs>0</Paragraphs>
  <TotalTime>4</TotalTime>
  <ScaleCrop>false</ScaleCrop>
  <LinksUpToDate>false</LinksUpToDate>
  <CharactersWithSpaces>1639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2025-11-25T12:12:00Z</dcterms:created>
  <dc:creator>肥妹</dc:creator>
  <cp:lastModifiedBy>吴振强</cp:lastModifiedBy>
  <dcterms:modified xsi:type="dcterms:W3CDTF">2026-07-28T07:17:07Z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2E4EB30D8CC846C8AD85D880FB8E812B_13</vt:lpwstr>
  </property>
  <property fmtid="{D5CDD505-2E9C-101B-9397-08002B2CF9AE}" pid="4" name="KSOTemplateDocerSaveRecord">
    <vt:lpwstr>eyJoZGlkIjoiNGQxNjkyZWM2M2RlOGI4NGU0ZGFlYjViOGJhNzBhZWYiLCJ1c2VySWQiOiI2NTAwNTUifQ==</vt:lpwstr>
  </property>
</Properties>
</file>