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44"/>
          <w:szCs w:val="44"/>
          <w:lang w:eastAsia="zh-CN"/>
        </w:rPr>
      </w:pPr>
      <w:bookmarkStart w:id="1" w:name="_GoBack"/>
      <w:bookmarkEnd w:id="1"/>
      <w:r>
        <w:rPr>
          <w:rFonts w:hint="eastAsia" w:ascii="Times New Roman" w:hAnsi="Times New Roman" w:eastAsia="方正小标宋简体" w:cs="Times New Roman"/>
          <w:color w:val="auto"/>
          <w:spacing w:val="-6"/>
          <w:sz w:val="44"/>
          <w:szCs w:val="44"/>
          <w:highlight w:val="none"/>
          <w:u w:val="none"/>
          <w:lang w:val="en-US" w:eastAsia="zh-CN"/>
        </w:rPr>
        <w:t>黄圃镇黎晓童“工改工”项目低效用地再开发实施方案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根据中山市城市更新（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三旧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改造）专项规划和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控制性详细规划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黄圃镇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人民政府拟对位于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u w:val="none"/>
          <w:lang w:eastAsia="zh-CN"/>
        </w:rPr>
        <w:t>中山市黄圃镇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u w:val="none"/>
          <w:lang w:val="en-US" w:eastAsia="zh-CN"/>
        </w:rPr>
        <w:t>康盛路27号之二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的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u w:val="none"/>
          <w:lang w:eastAsia="zh-CN"/>
        </w:rPr>
        <w:t>黎锦明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旧厂房用地进行改造，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土地权利人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u w:val="none"/>
          <w:lang w:val="en-US" w:eastAsia="zh-CN"/>
        </w:rPr>
        <w:t>黎锦明将该用地转移登记至黎晓童</w:t>
      </w:r>
      <w:r>
        <w:rPr>
          <w:rFonts w:hint="eastAsia" w:ascii="Times New Roman" w:hAnsi="Times New Roman" w:eastAsia="仿宋_GB2312" w:cs="Times New Roman"/>
          <w:color w:val="auto"/>
          <w:spacing w:val="-6"/>
          <w:kern w:val="0"/>
          <w:sz w:val="32"/>
          <w:szCs w:val="32"/>
          <w:u w:val="none"/>
          <w:lang w:val="en-US" w:eastAsia="zh-CN"/>
        </w:rPr>
        <w:t>，由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u w:val="none"/>
          <w:lang w:val="en-US" w:eastAsia="zh-CN"/>
        </w:rPr>
        <w:t>黎晓童作为改造主体进行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自主改造，采取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全面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改造的改造方式。</w:t>
      </w:r>
      <w:r>
        <w:rPr>
          <w:rFonts w:hint="default" w:ascii="Times New Roman" w:hAnsi="Times New Roman" w:eastAsia="仿宋_GB2312" w:cs="Times New Roman"/>
          <w:color w:val="auto"/>
          <w:spacing w:val="-6"/>
          <w:sz w:val="32"/>
          <w:szCs w:val="32"/>
          <w:highlight w:val="none"/>
        </w:rPr>
        <w:t>改造方案如下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一、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项目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地块基本情况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（一）总体情况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16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-6"/>
          <w:sz w:val="32"/>
          <w:szCs w:val="32"/>
          <w:lang w:val="en-US" w:eastAsia="zh-CN"/>
        </w:rPr>
        <w:t>项目</w:t>
      </w:r>
      <w:r>
        <w:rPr>
          <w:rFonts w:hint="default" w:ascii="Times New Roman" w:hAnsi="Times New Roman" w:eastAsia="仿宋_GB2312" w:cs="Times New Roman"/>
          <w:color w:val="auto"/>
          <w:spacing w:val="-6"/>
          <w:sz w:val="32"/>
          <w:szCs w:val="32"/>
        </w:rPr>
        <w:t>地块</w:t>
      </w:r>
      <w:bookmarkStart w:id="0" w:name="OLE_LINK1"/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</w:rPr>
        <w:t>位于中山市黄圃镇康盛路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val="en-US" w:eastAsia="zh-CN"/>
        </w:rPr>
        <w:t>27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</w:rPr>
        <w:t>号之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eastAsia="zh-CN"/>
        </w:rPr>
        <w:t>东至广东科志达机械科技有限公司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val="en-US" w:eastAsia="zh-CN"/>
        </w:rPr>
        <w:t>厂房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eastAsia="zh-CN"/>
        </w:rPr>
        <w:t>，南邻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highlight w:val="none"/>
          <w:lang w:val="en-US" w:eastAsia="zh-CN"/>
        </w:rPr>
        <w:t>广东联益食品有限公司厂房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eastAsia="zh-CN"/>
        </w:rPr>
        <w:t>，西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val="en-US" w:eastAsia="zh-CN"/>
        </w:rPr>
        <w:t>至康盛路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eastAsia="zh-CN"/>
        </w:rPr>
        <w:t>，北至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val="en-US" w:eastAsia="zh-CN"/>
        </w:rPr>
        <w:t>健富路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val="en-US" w:eastAsia="zh-CN"/>
        </w:rPr>
        <w:t>项目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highlight w:val="none"/>
          <w:lang w:val="en-US" w:eastAsia="zh-CN"/>
        </w:rPr>
        <w:t>用地面积</w:t>
      </w:r>
      <w:bookmarkEnd w:id="0"/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highlight w:val="none"/>
          <w:lang w:val="en-US" w:eastAsia="zh-CN"/>
        </w:rPr>
        <w:t>0.4388公顷（4388平方米，折合6.5820亩）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  <w:t>（二）标图入库情况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val="en-US" w:eastAsia="zh-CN"/>
        </w:rPr>
        <w:t>该改造项目地块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val="en-US" w:eastAsia="zh-CN"/>
        </w:rPr>
        <w:t>0.4388公顷（4388平方米，折合6.5820亩）</w:t>
      </w:r>
      <w:r>
        <w:rPr>
          <w:rFonts w:hint="eastAsia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val="en-US" w:eastAsia="zh-CN"/>
        </w:rPr>
        <w:t>于2026年7月纳入低效用地数据库，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val="en-US" w:eastAsia="zh-CN"/>
        </w:rPr>
        <w:t>图斑编号为442000101000118</w:t>
      </w:r>
      <w:r>
        <w:rPr>
          <w:rFonts w:hint="eastAsia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  <w:t>（三）权属情况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592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-6"/>
          <w:sz w:val="32"/>
          <w:szCs w:val="32"/>
          <w:lang w:val="en-US" w:eastAsia="zh-CN"/>
        </w:rPr>
        <w:t>项目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u w:val="none"/>
          <w:lang w:eastAsia="zh-CN"/>
        </w:rPr>
        <w:t>地块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u w:val="none"/>
        </w:rPr>
        <w:t>属国有建设用地，土地用途为工业，改造涉及的土地已经确权、登记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u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pacing w:val="-6"/>
          <w:sz w:val="32"/>
          <w:szCs w:val="32"/>
          <w:lang w:val="en-US" w:eastAsia="zh-CN"/>
        </w:rPr>
        <w:t>项目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u w:val="none"/>
          <w:lang w:eastAsia="zh-CN"/>
        </w:rPr>
        <w:t>地块自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u w:val="none"/>
          <w:lang w:val="en-US" w:eastAsia="zh-CN"/>
        </w:rPr>
        <w:t>2003年5月开始使用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u w:val="none"/>
        </w:rPr>
        <w:t>，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u w:val="none"/>
          <w:lang w:eastAsia="zh-CN"/>
        </w:rPr>
        <w:t>现土地权利人为黎锦明，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u w:val="none"/>
          <w:lang w:val="en-US" w:eastAsia="zh-CN"/>
        </w:rPr>
        <w:t>不动产权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u w:val="none"/>
          <w:lang w:eastAsia="zh-CN"/>
        </w:rPr>
        <w:t>证为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u w:val="none"/>
          <w:lang w:val="en-US" w:eastAsia="zh-CN"/>
        </w:rPr>
        <w:t>粤（2016）中山市不动产权第0050641号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  <w:t>（四）土地利用现状情况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16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-6"/>
          <w:sz w:val="32"/>
          <w:szCs w:val="32"/>
          <w:lang w:val="en-US" w:eastAsia="zh-CN"/>
        </w:rPr>
        <w:t>项目</w:t>
      </w:r>
      <w:r>
        <w:rPr>
          <w:rFonts w:hint="default" w:ascii="Times New Roman" w:hAnsi="Times New Roman" w:eastAsia="仿宋_GB2312" w:cs="Times New Roman"/>
          <w:color w:val="auto"/>
          <w:spacing w:val="6"/>
          <w:kern w:val="0"/>
          <w:sz w:val="32"/>
          <w:szCs w:val="32"/>
          <w:highlight w:val="none"/>
          <w:u w:val="none"/>
        </w:rPr>
        <w:t>地块现用途为工业，</w:t>
      </w:r>
      <w:r>
        <w:rPr>
          <w:rFonts w:hint="default" w:ascii="Times New Roman" w:hAnsi="Times New Roman" w:eastAsia="仿宋_GB2312" w:cs="Times New Roman"/>
          <w:color w:val="auto"/>
          <w:spacing w:val="6"/>
          <w:kern w:val="0"/>
          <w:sz w:val="32"/>
          <w:szCs w:val="32"/>
          <w:highlight w:val="none"/>
          <w:u w:val="none"/>
          <w:lang w:eastAsia="zh-CN"/>
        </w:rPr>
        <w:t>现</w:t>
      </w:r>
      <w:r>
        <w:rPr>
          <w:rFonts w:hint="default" w:ascii="Times New Roman" w:hAnsi="Times New Roman" w:eastAsia="仿宋_GB2312" w:cs="Times New Roman"/>
          <w:color w:val="auto"/>
          <w:spacing w:val="6"/>
          <w:kern w:val="0"/>
          <w:sz w:val="32"/>
          <w:szCs w:val="32"/>
          <w:highlight w:val="none"/>
          <w:u w:val="none"/>
        </w:rPr>
        <w:t>有</w:t>
      </w:r>
      <w:r>
        <w:rPr>
          <w:rFonts w:hint="default" w:ascii="Times New Roman" w:hAnsi="Times New Roman" w:eastAsia="仿宋_GB2312" w:cs="Times New Roman"/>
          <w:color w:val="auto"/>
          <w:spacing w:val="6"/>
          <w:kern w:val="0"/>
          <w:sz w:val="32"/>
          <w:szCs w:val="32"/>
          <w:highlight w:val="none"/>
          <w:u w:val="none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pacing w:val="6"/>
          <w:kern w:val="0"/>
          <w:sz w:val="32"/>
          <w:szCs w:val="32"/>
          <w:highlight w:val="none"/>
          <w:u w:val="none"/>
        </w:rPr>
        <w:t>栋建筑物，</w:t>
      </w:r>
      <w:r>
        <w:rPr>
          <w:rFonts w:hint="default" w:ascii="Times New Roman" w:hAnsi="Times New Roman" w:eastAsia="仿宋_GB2312" w:cs="Times New Roman"/>
          <w:color w:val="auto"/>
          <w:spacing w:val="6"/>
          <w:kern w:val="0"/>
          <w:sz w:val="32"/>
          <w:szCs w:val="32"/>
          <w:highlight w:val="none"/>
          <w:u w:val="none"/>
          <w:lang w:eastAsia="zh-CN"/>
        </w:rPr>
        <w:t>总</w:t>
      </w:r>
      <w:r>
        <w:rPr>
          <w:rFonts w:hint="default" w:ascii="Times New Roman" w:hAnsi="Times New Roman" w:eastAsia="仿宋_GB2312" w:cs="Times New Roman"/>
          <w:color w:val="auto"/>
          <w:spacing w:val="6"/>
          <w:kern w:val="0"/>
          <w:sz w:val="32"/>
          <w:szCs w:val="32"/>
          <w:highlight w:val="none"/>
          <w:u w:val="none"/>
        </w:rPr>
        <w:t>建筑面积</w:t>
      </w:r>
      <w:r>
        <w:rPr>
          <w:rFonts w:hint="default" w:ascii="Times New Roman" w:hAnsi="Times New Roman" w:eastAsia="仿宋_GB2312" w:cs="Times New Roman"/>
          <w:color w:val="auto"/>
          <w:spacing w:val="6"/>
          <w:kern w:val="0"/>
          <w:sz w:val="32"/>
          <w:szCs w:val="32"/>
          <w:highlight w:val="none"/>
          <w:u w:val="none"/>
          <w:lang w:eastAsia="zh-CN"/>
        </w:rPr>
        <w:t>约</w:t>
      </w:r>
      <w:r>
        <w:rPr>
          <w:rFonts w:hint="default" w:ascii="Times New Roman" w:hAnsi="Times New Roman" w:eastAsia="仿宋_GB2312" w:cs="Times New Roman"/>
          <w:color w:val="auto"/>
          <w:spacing w:val="6"/>
          <w:kern w:val="0"/>
          <w:sz w:val="32"/>
          <w:szCs w:val="32"/>
          <w:highlight w:val="none"/>
          <w:u w:val="none"/>
          <w:lang w:val="en-US" w:eastAsia="zh-CN"/>
        </w:rPr>
        <w:t>3880.34</w:t>
      </w:r>
      <w:r>
        <w:rPr>
          <w:rFonts w:hint="default" w:ascii="Times New Roman" w:hAnsi="Times New Roman" w:eastAsia="仿宋_GB2312" w:cs="Times New Roman"/>
          <w:color w:val="auto"/>
          <w:spacing w:val="6"/>
          <w:kern w:val="0"/>
          <w:sz w:val="32"/>
          <w:szCs w:val="32"/>
          <w:highlight w:val="none"/>
          <w:u w:val="none"/>
        </w:rPr>
        <w:t>平方米，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</w:rPr>
        <w:t>现状容积率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val="en-US" w:eastAsia="zh-CN"/>
        </w:rPr>
        <w:t>0.88，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highlight w:val="none"/>
          <w:u w:val="none"/>
        </w:rPr>
        <w:t>作</w:t>
      </w:r>
      <w:r>
        <w:rPr>
          <w:rFonts w:hint="default" w:ascii="Times New Roman" w:hAnsi="Times New Roman" w:eastAsia="仿宋_GB2312" w:cs="Times New Roman"/>
          <w:color w:val="auto"/>
          <w:spacing w:val="-6"/>
          <w:sz w:val="32"/>
          <w:szCs w:val="32"/>
          <w:highlight w:val="none"/>
          <w:u w:val="none"/>
        </w:rPr>
        <w:t>工业厂房和配套用房使用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</w:rPr>
        <w:t>。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eastAsia="zh-CN"/>
        </w:rPr>
        <w:t>其中，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auto"/>
          <w:spacing w:val="6"/>
          <w:kern w:val="0"/>
          <w:sz w:val="32"/>
          <w:szCs w:val="32"/>
          <w:highlight w:val="none"/>
          <w:u w:val="none"/>
          <w:lang w:val="en-US" w:eastAsia="zh-CN"/>
        </w:rPr>
        <w:t>栋建筑物面积共2627.34平方米已办理房地产权登记手续，</w:t>
      </w:r>
      <w:r>
        <w:rPr>
          <w:rFonts w:hint="default" w:ascii="Times New Roman" w:hAnsi="Times New Roman" w:eastAsia="仿宋_GB2312" w:cs="Times New Roman"/>
          <w:color w:val="auto"/>
          <w:spacing w:val="6"/>
          <w:kern w:val="0"/>
          <w:sz w:val="32"/>
          <w:szCs w:val="32"/>
          <w:highlight w:val="none"/>
          <w:lang w:val="en-US" w:eastAsia="zh-CN"/>
        </w:rPr>
        <w:t>剩余3栋建筑物面积约1253平方米未办理规划报建等手续</w:t>
      </w:r>
      <w:r>
        <w:rPr>
          <w:rFonts w:hint="default" w:ascii="Times New Roman" w:hAnsi="Times New Roman" w:eastAsia="仿宋_GB2312" w:cs="Times New Roman"/>
          <w:color w:val="auto"/>
          <w:spacing w:val="6"/>
          <w:kern w:val="0"/>
          <w:sz w:val="32"/>
          <w:szCs w:val="32"/>
          <w:highlight w:val="none"/>
        </w:rPr>
        <w:t>。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eastAsia="zh-CN"/>
        </w:rPr>
        <w:t>该地块目前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</w:rPr>
        <w:t>已拆除建筑面积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</w:rPr>
        <w:t>平方米</w:t>
      </w:r>
      <w:r>
        <w:rPr>
          <w:rFonts w:hint="default" w:ascii="Times New Roman" w:hAnsi="Times New Roman" w:eastAsia="仿宋_GB2312" w:cs="Times New Roman"/>
          <w:color w:val="auto"/>
          <w:spacing w:val="6"/>
          <w:kern w:val="0"/>
          <w:sz w:val="32"/>
          <w:szCs w:val="32"/>
          <w:highlight w:val="none"/>
          <w:u w:val="none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bCs w:val="0"/>
          <w:snapToGrid/>
          <w:color w:val="auto"/>
          <w:spacing w:val="-6"/>
          <w:kern w:val="0"/>
          <w:sz w:val="32"/>
          <w:szCs w:val="32"/>
          <w:highlight w:val="none"/>
          <w:lang w:val="en-US" w:eastAsia="zh-CN" w:bidi="ar-SA"/>
        </w:rPr>
        <w:t>改造前年产值为200万元（折合30.39万元/亩），年税收为50万元（折合7.6万元/亩）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664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highlight w:val="none"/>
          <w:u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pacing w:val="6"/>
          <w:kern w:val="0"/>
          <w:sz w:val="32"/>
          <w:szCs w:val="32"/>
          <w:highlight w:val="none"/>
          <w:lang w:val="en-US" w:eastAsia="zh-CN"/>
        </w:rPr>
        <w:t>改造地块不涉及闲置、抵押、历史文化资源要素、森林资源以及土壤环境潜在监管地块等情况</w:t>
      </w:r>
      <w:r>
        <w:rPr>
          <w:rFonts w:hint="default" w:ascii="Times New Roman" w:hAnsi="Times New Roman" w:eastAsia="仿宋_GB2312" w:cs="Times New Roman"/>
          <w:color w:val="auto"/>
          <w:spacing w:val="-6"/>
          <w:sz w:val="32"/>
          <w:szCs w:val="32"/>
          <w:highlight w:val="none"/>
          <w:u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  <w:t>（五）规划情况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616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pacing w:val="-6"/>
          <w:sz w:val="32"/>
          <w:szCs w:val="32"/>
          <w:lang w:val="en-US" w:eastAsia="zh-CN"/>
        </w:rPr>
        <w:t>项目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highlight w:val="none"/>
          <w:lang w:eastAsia="zh-CN"/>
        </w:rPr>
        <w:t>地块符合中山市国土空间总体规划和控制性详细规划，已纳入《中山市城市更新（</w:t>
      </w:r>
      <w:r>
        <w:rPr>
          <w:rFonts w:hint="eastAsia" w:ascii="Times New Roman" w:hAnsi="Times New Roman" w:eastAsia="仿宋_GB2312" w:cs="Times New Roman"/>
          <w:color w:val="auto"/>
          <w:spacing w:val="-6"/>
          <w:kern w:val="0"/>
          <w:sz w:val="32"/>
          <w:szCs w:val="32"/>
          <w:highlight w:val="none"/>
          <w:lang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highlight w:val="none"/>
          <w:lang w:eastAsia="zh-CN"/>
        </w:rPr>
        <w:t>三旧</w:t>
      </w:r>
      <w:r>
        <w:rPr>
          <w:rFonts w:hint="eastAsia" w:ascii="Times New Roman" w:hAnsi="Times New Roman" w:eastAsia="仿宋_GB2312" w:cs="Times New Roman"/>
          <w:color w:val="auto"/>
          <w:spacing w:val="-6"/>
          <w:kern w:val="0"/>
          <w:sz w:val="32"/>
          <w:szCs w:val="32"/>
          <w:highlight w:val="none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highlight w:val="none"/>
          <w:lang w:eastAsia="zh-CN"/>
        </w:rPr>
        <w:t>改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highlight w:val="none"/>
        </w:rPr>
        <w:t>造）专项规划（2020-2035）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highlight w:val="none"/>
          <w:lang w:val="en-US" w:eastAsia="zh-CN"/>
        </w:rPr>
        <w:t>》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highlight w:val="none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</w:rPr>
        <w:t>在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eastAsia="zh-CN"/>
        </w:rPr>
        <w:t>《中山市黄圃镇食品工业园控制性详细规划调整（2021）》（中府函〔2021〕295 号）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</w:rPr>
        <w:t>中，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val="en-US" w:eastAsia="zh-CN"/>
        </w:rPr>
        <w:t>属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u w:val="none"/>
        </w:rPr>
        <w:t>一类工业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</w:rPr>
        <w:t>用地面积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val="en-US" w:eastAsia="zh-CN"/>
        </w:rPr>
        <w:t>0.4062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</w:rPr>
        <w:t>公顷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</w:rPr>
        <w:t>4061.82平方米，折合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val="en-US" w:eastAsia="zh-CN"/>
        </w:rPr>
        <w:t>6.09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</w:rPr>
        <w:t>亩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eastAsia="zh-CN"/>
        </w:rPr>
        <w:t>），规划容积率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val="en-US" w:eastAsia="zh-CN"/>
        </w:rPr>
        <w:t>1.</w:t>
      </w:r>
      <w:r>
        <w:rPr>
          <w:rFonts w:hint="eastAsia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eastAsia="zh-CN"/>
        </w:rPr>
        <w:t>-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val="en-US" w:eastAsia="zh-CN"/>
        </w:rPr>
        <w:t>3.5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eastAsia="zh-CN"/>
        </w:rPr>
        <w:t>，建筑密度35%—60%，绿地率10%—15%，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highlight w:val="none"/>
          <w:lang w:val="en-US" w:eastAsia="zh-CN"/>
        </w:rPr>
        <w:t>产业用房高度≤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val="en-US" w:eastAsia="zh-CN"/>
        </w:rPr>
        <w:t>50米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</w:rPr>
        <w:t>，配套设施建筑高度≤100米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val="en-US" w:eastAsia="zh-CN"/>
        </w:rPr>
        <w:t>城市道路用地0.0326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</w:rPr>
        <w:t>公顷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val="en-US" w:eastAsia="zh-CN"/>
        </w:rPr>
        <w:t>326.18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</w:rPr>
        <w:t>平方米，折合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val="en-US" w:eastAsia="zh-CN"/>
        </w:rPr>
        <w:t>0.49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</w:rPr>
        <w:t>亩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eastAsia="zh-CN"/>
        </w:rPr>
        <w:t>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616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</w:rPr>
        <w:t>改造地块位于</w:t>
      </w:r>
      <w:r>
        <w:rPr>
          <w:rFonts w:hint="eastAsia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eastAsia="zh-CN"/>
        </w:rPr>
        <w:t>三区三线</w:t>
      </w:r>
      <w:r>
        <w:rPr>
          <w:rFonts w:hint="eastAsia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</w:rPr>
        <w:t>城镇开发边界内，不涉及永久基本农田、生态保护红线等管控要求</w:t>
      </w:r>
      <w:r>
        <w:rPr>
          <w:rFonts w:hint="default" w:ascii="Times New Roman" w:hAnsi="Times New Roman" w:eastAsia="仿宋_GB2312" w:cs="Times New Roman"/>
          <w:color w:val="auto"/>
          <w:spacing w:val="-6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二、改造意愿情况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16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-6"/>
          <w:sz w:val="32"/>
          <w:szCs w:val="32"/>
          <w:lang w:val="en-US" w:eastAsia="zh-CN"/>
        </w:rPr>
        <w:t>项目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</w:rPr>
        <w:t>范围涉及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u w:val="none"/>
          <w:lang w:eastAsia="zh-CN"/>
        </w:rPr>
        <w:t>黎锦明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u w:val="none"/>
          <w:lang w:val="en-US" w:eastAsia="zh-CN"/>
        </w:rPr>
        <w:t>和黎晓童2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</w:rPr>
        <w:t>个权利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val="en-US" w:eastAsia="zh-CN"/>
        </w:rPr>
        <w:t>人主体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eastAsia="zh-CN"/>
        </w:rPr>
        <w:t>黄圃镇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u w:val="none"/>
        </w:rPr>
        <w:t>人民政府已按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</w:rPr>
        <w:t>照法律法规，就改造范围、土地现状、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val="en-US" w:eastAsia="zh-CN"/>
        </w:rPr>
        <w:t>开发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</w:rPr>
        <w:t>主体及拟改造情况等事项征询涉及所有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val="en-US" w:eastAsia="zh-CN"/>
        </w:rPr>
        <w:t>产权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</w:rPr>
        <w:t>人改造意愿，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eastAsia="zh-CN"/>
        </w:rPr>
        <w:t>改造主体</w:t>
      </w:r>
      <w:r>
        <w:rPr>
          <w:rFonts w:hint="default" w:ascii="Times New Roman" w:hAnsi="Times New Roman" w:eastAsia="仿宋_GB2312" w:cs="Times New Roman"/>
          <w:color w:val="auto"/>
          <w:spacing w:val="-6"/>
          <w:sz w:val="32"/>
          <w:szCs w:val="32"/>
        </w:rPr>
        <w:t>同意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</w:rPr>
        <w:t>将涉及土地、房屋纳入改造范围。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三、改造主体及拟改造情况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616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highlight w:val="none"/>
          <w:u w:val="none"/>
        </w:rPr>
        <w:t>根据有关规划要求，改造项目严格按照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u w:val="none"/>
          <w:lang w:eastAsia="zh-CN"/>
        </w:rPr>
        <w:t>《中山市国土空间总体规划（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u w:val="none"/>
          <w:lang w:val="en-US" w:eastAsia="zh-CN"/>
        </w:rPr>
        <w:t>2021—2035年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u w:val="none"/>
          <w:lang w:eastAsia="zh-CN"/>
        </w:rPr>
        <w:t>）》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highlight w:val="none"/>
          <w:u w:val="none"/>
          <w:lang w:val="en-US" w:eastAsia="zh-CN"/>
        </w:rPr>
        <w:t>和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u w:val="none"/>
          <w:lang w:eastAsia="zh-CN"/>
        </w:rPr>
        <w:t>控制性详细规划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highlight w:val="none"/>
          <w:u w:val="none"/>
        </w:rPr>
        <w:t>管控要求实施建设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val="en-US" w:eastAsia="zh-CN"/>
        </w:rPr>
        <w:t>该项目属</w:t>
      </w:r>
      <w:r>
        <w:rPr>
          <w:rFonts w:hint="eastAsia" w:ascii="Times New Roman" w:hAnsi="Times New Roman" w:eastAsia="仿宋_GB2312" w:cs="Times New Roman"/>
          <w:color w:val="auto"/>
          <w:spacing w:val="0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val="en-US" w:eastAsia="zh-CN"/>
        </w:rPr>
        <w:t>工改工</w:t>
      </w:r>
      <w:r>
        <w:rPr>
          <w:rFonts w:hint="eastAsia" w:ascii="Times New Roman" w:hAnsi="Times New Roman" w:eastAsia="仿宋_GB2312" w:cs="Times New Roman"/>
          <w:color w:val="auto"/>
          <w:spacing w:val="0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val="en-US" w:eastAsia="zh-CN"/>
        </w:rPr>
        <w:t>宗地项目，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val="en-US" w:eastAsia="zh-CN"/>
        </w:rPr>
        <w:t>由土地权利人黎锦明将该用地转移登记至黎晓童名下，由黎晓童作为改造主体进行自主改造，采用全面改造的改造方式，改造后</w:t>
      </w:r>
      <w:r>
        <w:rPr>
          <w:rFonts w:hint="default" w:ascii="Times New Roman" w:hAnsi="Times New Roman" w:eastAsia="仿宋_GB2312" w:cs="Times New Roman"/>
          <w:color w:val="auto"/>
          <w:spacing w:val="-6"/>
          <w:sz w:val="32"/>
          <w:szCs w:val="32"/>
          <w:highlight w:val="none"/>
          <w:u w:val="none"/>
          <w:lang w:eastAsia="zh-CN"/>
        </w:rPr>
        <w:t>作为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highlight w:val="none"/>
          <w:u w:val="none"/>
          <w:lang w:val="en-US" w:eastAsia="zh-CN"/>
        </w:rPr>
        <w:t>智能家电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highlight w:val="none"/>
          <w:u w:val="none"/>
          <w:lang w:eastAsia="zh-CN"/>
        </w:rPr>
        <w:t>的</w:t>
      </w:r>
      <w:r>
        <w:rPr>
          <w:rFonts w:hint="default" w:ascii="Times New Roman" w:hAnsi="Times New Roman" w:eastAsia="仿宋_GB2312" w:cs="Times New Roman"/>
          <w:color w:val="auto"/>
          <w:spacing w:val="-6"/>
          <w:sz w:val="32"/>
          <w:szCs w:val="32"/>
          <w:highlight w:val="none"/>
          <w:u w:val="none"/>
        </w:rPr>
        <w:t>研发及生产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在符合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规划条件论证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的基础上，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项目总用地的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容积率不小于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2.2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总建筑面积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9541.03平方米（含不计容建筑面积0平方米），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highlight w:val="none"/>
          <w:u w:val="none"/>
        </w:rPr>
        <w:t>其中新建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highlight w:val="none"/>
          <w:u w:val="none"/>
          <w:lang w:eastAsia="zh-CN"/>
        </w:rPr>
        <w:t>计容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highlight w:val="none"/>
          <w:u w:val="none"/>
        </w:rPr>
        <w:t>建筑面积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highlight w:val="none"/>
          <w:u w:val="none"/>
          <w:lang w:val="en-US" w:eastAsia="zh-CN"/>
        </w:rPr>
        <w:t>不小于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9541.03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highlight w:val="none"/>
          <w:u w:val="none"/>
        </w:rPr>
        <w:t>平方米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，不保留原有建筑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16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highlight w:val="none"/>
          <w:u w:val="none"/>
          <w:lang w:val="en-US" w:eastAsia="zh-CN"/>
        </w:rPr>
        <w:t>项目相关情况符合《产业结构调整指导目录》《中山市</w:t>
      </w:r>
      <w:r>
        <w:rPr>
          <w:rFonts w:hint="eastAsia" w:ascii="Times New Roman" w:hAnsi="Times New Roman" w:eastAsia="仿宋_GB2312" w:cs="Times New Roman"/>
          <w:color w:val="auto"/>
          <w:spacing w:val="-6"/>
          <w:kern w:val="0"/>
          <w:sz w:val="32"/>
          <w:szCs w:val="32"/>
          <w:highlight w:val="none"/>
          <w:u w:val="none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highlight w:val="none"/>
          <w:u w:val="none"/>
          <w:lang w:val="en-US" w:eastAsia="zh-CN"/>
        </w:rPr>
        <w:t>三线一单</w:t>
      </w:r>
      <w:r>
        <w:rPr>
          <w:rFonts w:hint="eastAsia" w:ascii="Times New Roman" w:hAnsi="Times New Roman" w:eastAsia="仿宋_GB2312" w:cs="Times New Roman"/>
          <w:color w:val="auto"/>
          <w:spacing w:val="-6"/>
          <w:kern w:val="0"/>
          <w:sz w:val="32"/>
          <w:szCs w:val="32"/>
          <w:highlight w:val="none"/>
          <w:u w:val="none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highlight w:val="none"/>
          <w:u w:val="none"/>
          <w:lang w:val="en-US" w:eastAsia="zh-CN"/>
        </w:rPr>
        <w:t>生态环境分区管控方案》《中山市涉挥发性有机物项目环保管理规定》等相关规定。改造后预计年产值将达3949.2万元（约600万元/亩），年税收将达131.64万元（约20万元/亩）。项目不申请分割销售</w:t>
      </w:r>
      <w:r>
        <w:rPr>
          <w:rFonts w:hint="eastAsia" w:ascii="Times New Roman" w:hAnsi="Times New Roman" w:eastAsia="仿宋_GB2312" w:cs="Times New Roman"/>
          <w:color w:val="auto"/>
          <w:spacing w:val="-6"/>
          <w:kern w:val="0"/>
          <w:sz w:val="32"/>
          <w:szCs w:val="32"/>
          <w:highlight w:val="none"/>
          <w:u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四、资金筹措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592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val="en-US" w:eastAsia="zh-CN"/>
        </w:rPr>
        <w:t>开发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</w:rPr>
        <w:t>主体拟投入资金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val="en-US" w:eastAsia="zh-CN"/>
        </w:rPr>
        <w:t>2632.80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</w:rPr>
        <w:t>万元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val="en-US" w:eastAsia="zh-CN"/>
        </w:rPr>
        <w:t>折合400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u w:val="none"/>
        </w:rPr>
        <w:t>万元/亩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</w:rPr>
        <w:t>，其中自有资金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val="en-US" w:eastAsia="zh-CN"/>
        </w:rPr>
        <w:t>1000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</w:rPr>
        <w:t>万元，银行借贷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val="en-US" w:eastAsia="zh-CN"/>
        </w:rPr>
        <w:t>1632.80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五、开发时序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592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u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</w:rPr>
        <w:t>项目开发周期为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</w:rPr>
        <w:t>年。开发时间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eastAsia="zh-CN"/>
        </w:rPr>
        <w:t>为自方案批复之日起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val="en-US" w:eastAsia="zh-CN"/>
        </w:rPr>
        <w:t>365日内动工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eastAsia="zh-CN"/>
        </w:rPr>
        <w:t>自开工之日起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val="en-US" w:eastAsia="zh-CN"/>
        </w:rPr>
        <w:t>365日内竣工，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</w:rPr>
        <w:t>拟投入资金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val="en-US" w:eastAsia="zh-CN"/>
        </w:rPr>
        <w:t>2632.80万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</w:rPr>
        <w:t>元，拟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新建建筑面积为9541.03平方米（含不计容建筑0平方米），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不保留原有建筑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u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六、实施监管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616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pacing w:val="-6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eastAsia="zh-CN"/>
        </w:rPr>
        <w:t>详见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</w:rPr>
        <w:t>项目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eastAsia="zh-CN"/>
        </w:rPr>
        <w:t>实施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</w:rPr>
        <w:t>监管协议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sectPr>
      <w:footerReference r:id="rId3" w:type="default"/>
      <w:pgSz w:w="11906" w:h="16838"/>
      <w:pgMar w:top="1871" w:right="1531" w:bottom="1871" w:left="1531" w:header="851" w:footer="992" w:gutter="0"/>
      <w:pgNumType w:fmt="numberInDash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altName w:val="汉仪中等线B5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汉仪中等线B5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公文小标宋简">
    <w:altName w:val="方正小标宋简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ihRmPNEAAACUAQAACwAAAAAAAAABACAAAAC2&#10;AwAAX3JlbHMvLnJlbHNQSwECFAAUAAAACACHTuJAfublIPcAAADhAQAAEwAAAAAAAAABACAAAACw&#10;BAAAW0NvbnRlbnRfVHlwZXNdLnhtbFBLAQIUAAoAAAAAAIdO4kAAAAAAAAAAAAAAAAAGAAAAAAAA&#10;AAAAEAAAAJIDAABfcmVscy9QSwECFAAUAAAACACHTuJAa4X5+zECAABhBAAADgAAAAAAAAABACAA&#10;AAA1AQAAZHJzL2Uyb0RvYy54bWxQSwECFAAUAAAACACHTuJAs0lY7tAAAAAFAQAADwAAAAAAAAAB&#10;ACAAAAA4AAAAZHJzL2Rvd25yZXYueG1sUEsBAhQACgAAAAAAh07iQAAAAAAAAAAAAAAAAAQAAAAA&#10;AAAAAAAQAAAAFgAAAGRycy9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doNotDisplayPageBoundaries w:val="1"/>
  <w:embedSystemFonts/>
  <w:bordersDoNotSurroundHeader w:val="0"/>
  <w:bordersDoNotSurroundFooter w:val="0"/>
  <w:documentProtection w:enforcement="0"/>
  <w:defaultTabStop w:val="420"/>
  <w:drawingGridHorizontalSpacing w:val="21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DC04B2"/>
    <w:rsid w:val="019E1DDA"/>
    <w:rsid w:val="062724A6"/>
    <w:rsid w:val="06AD44E8"/>
    <w:rsid w:val="07061550"/>
    <w:rsid w:val="0715212E"/>
    <w:rsid w:val="07604237"/>
    <w:rsid w:val="083311E6"/>
    <w:rsid w:val="08D95A7A"/>
    <w:rsid w:val="0908093D"/>
    <w:rsid w:val="0E755EA0"/>
    <w:rsid w:val="0F5B4A89"/>
    <w:rsid w:val="122711D7"/>
    <w:rsid w:val="123646FA"/>
    <w:rsid w:val="1375777F"/>
    <w:rsid w:val="14404678"/>
    <w:rsid w:val="14755F67"/>
    <w:rsid w:val="152543B4"/>
    <w:rsid w:val="160D4C16"/>
    <w:rsid w:val="16184950"/>
    <w:rsid w:val="164D1414"/>
    <w:rsid w:val="18FA5442"/>
    <w:rsid w:val="199C0FB8"/>
    <w:rsid w:val="1DE03EA7"/>
    <w:rsid w:val="1E1024E2"/>
    <w:rsid w:val="1F531875"/>
    <w:rsid w:val="2174578D"/>
    <w:rsid w:val="234C4978"/>
    <w:rsid w:val="24DC04B2"/>
    <w:rsid w:val="25FB145F"/>
    <w:rsid w:val="2676612A"/>
    <w:rsid w:val="2BBB5860"/>
    <w:rsid w:val="2D36293A"/>
    <w:rsid w:val="2FDD6A40"/>
    <w:rsid w:val="30694252"/>
    <w:rsid w:val="31D4754B"/>
    <w:rsid w:val="32DC7261"/>
    <w:rsid w:val="34495659"/>
    <w:rsid w:val="36362EFD"/>
    <w:rsid w:val="3C4E4DD7"/>
    <w:rsid w:val="3E004AC7"/>
    <w:rsid w:val="40E32658"/>
    <w:rsid w:val="429E5DDA"/>
    <w:rsid w:val="432215F8"/>
    <w:rsid w:val="4494718F"/>
    <w:rsid w:val="44A5581F"/>
    <w:rsid w:val="491730C2"/>
    <w:rsid w:val="4921605B"/>
    <w:rsid w:val="49A71AE5"/>
    <w:rsid w:val="4C39552E"/>
    <w:rsid w:val="500F6171"/>
    <w:rsid w:val="50A15C09"/>
    <w:rsid w:val="588A274D"/>
    <w:rsid w:val="58BA0D1E"/>
    <w:rsid w:val="596D062B"/>
    <w:rsid w:val="5A755081"/>
    <w:rsid w:val="5B680CCD"/>
    <w:rsid w:val="5D9F4E8A"/>
    <w:rsid w:val="5E283781"/>
    <w:rsid w:val="5EE81843"/>
    <w:rsid w:val="608C5FD9"/>
    <w:rsid w:val="60CE5CC2"/>
    <w:rsid w:val="66D74547"/>
    <w:rsid w:val="67ED495E"/>
    <w:rsid w:val="682057E3"/>
    <w:rsid w:val="683F7341"/>
    <w:rsid w:val="6A7B433D"/>
    <w:rsid w:val="6AEE4690"/>
    <w:rsid w:val="6AF4577A"/>
    <w:rsid w:val="6FE30BD0"/>
    <w:rsid w:val="7076410E"/>
    <w:rsid w:val="71296218"/>
    <w:rsid w:val="75FD2C07"/>
    <w:rsid w:val="760C0FCF"/>
    <w:rsid w:val="77D90A2D"/>
    <w:rsid w:val="7A5D6536"/>
    <w:rsid w:val="7B1E457A"/>
    <w:rsid w:val="7CB308F0"/>
    <w:rsid w:val="F2EDE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2">
    <w:name w:val="heading 4"/>
    <w:basedOn w:val="1"/>
    <w:next w:val="1"/>
    <w:unhideWhenUsed/>
    <w:qFormat/>
    <w:uiPriority w:val="0"/>
    <w:pPr>
      <w:keepNext/>
      <w:jc w:val="center"/>
      <w:outlineLvl w:val="3"/>
    </w:pPr>
    <w:rPr>
      <w:rFonts w:eastAsia="公文小标宋简"/>
      <w:b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1420</Words>
  <Characters>1638</Characters>
  <Lines>0</Lines>
  <Paragraphs>0</Paragraphs>
  <TotalTime>4</TotalTime>
  <ScaleCrop>false</ScaleCrop>
  <LinksUpToDate>false</LinksUpToDate>
  <CharactersWithSpaces>1639</CharactersWithSpaces>
  <Application>WPS Office_11.8.2.11681_F1E327BC-269C-435d-A152-05C5408002CA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2025-11-25T20:12:00Z</dcterms:created>
  <dc:creator>肥妹</dc:creator>
  <cp:lastModifiedBy>user</cp:lastModifiedBy>
  <dcterms:modified xsi:type="dcterms:W3CDTF">2026-07-28T15:25:25Z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2052-11.8.2.11681</vt:lpwstr>
  </property>
  <property fmtid="{D5CDD505-2E9C-101B-9397-08002B2CF9AE}" pid="3" name="ICV">
    <vt:lpwstr>CA69CF14299E4B846559686A4C047BF9</vt:lpwstr>
  </property>
  <property fmtid="{D5CDD505-2E9C-101B-9397-08002B2CF9AE}" pid="4" name="KSOTemplateDocerSaveRecord">
    <vt:lpwstr>eyJoZGlkIjoiNGQxNjkyZWM2M2RlOGI4NGU0ZGFlYjViOGJhNzBhZWYiLCJ1c2VySWQiOiI2NTAwNTUifQ==</vt:lpwstr>
  </property>
</Properties>
</file>