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BD3A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2</w:t>
      </w:r>
    </w:p>
    <w:p w14:paraId="6EED1E34">
      <w:pPr>
        <w:pStyle w:val="6"/>
        <w:spacing w:line="540" w:lineRule="exact"/>
        <w:jc w:val="center"/>
        <w:rPr>
          <w:rFonts w:hint="eastAsia" w:ascii="方正小标宋简体" w:hAnsi="方正小标宋简体" w:eastAsia="方正小标宋简体" w:cs="方正小标宋简体"/>
          <w:b w:val="0"/>
          <w:bCs w:val="0"/>
          <w:sz w:val="44"/>
          <w:szCs w:val="44"/>
          <w:lang w:eastAsia="zh-CN"/>
        </w:rPr>
      </w:pPr>
    </w:p>
    <w:p w14:paraId="208C91AF">
      <w:pPr>
        <w:pStyle w:val="6"/>
        <w:spacing w:line="54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val="0"/>
          <w:bCs w:val="0"/>
          <w:sz w:val="44"/>
          <w:szCs w:val="44"/>
          <w:lang w:eastAsia="zh-CN"/>
        </w:rPr>
        <w:t>《中山市住宅小区停车服务收费议价规则（征求意见稿）》拟稿说明</w:t>
      </w:r>
    </w:p>
    <w:p w14:paraId="1F4784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p>
    <w:p w14:paraId="7A2624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为贯彻落实《中共中央国务院关于推进价格机制改革的若干意见》（中发〔2015〕28号）、《广东省发展和改革委员会 广东省住房和城乡建设厅 广东省交通运输厅 广东省市场监督管理局关于完善机动车停放服务收费政策的指导意见》（粤发改规〔20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号）等政策文件中关于健全市场价格行为规则，坚持市场取向，合理引导住宅小区停车位经营者的价格行为，维护住宅小区停车收费市场价格秩序方面要求，依照《中山市停车场条例》规定，在《中山市住宅小区停车服务收费议价规则（试行）》（以下简称《规则（试行）》）基础上，我局草拟了《中山市住宅小区停车服务收费议价规则（征求意见稿）》（以下简称《规则》），现就有关情况说明如下：</w:t>
      </w:r>
    </w:p>
    <w:p w14:paraId="274FE762">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60" w:lineRule="atLeast"/>
        <w:ind w:left="0" w:leftChars="0" w:right="0" w:rightChars="0" w:firstLine="616" w:firstLineChars="200"/>
        <w:jc w:val="both"/>
        <w:textAlignment w:val="auto"/>
        <w:outlineLvl w:val="9"/>
        <w:rPr>
          <w:rFonts w:hint="eastAsia" w:ascii="Times New Roman" w:hAnsi="Times New Roman" w:eastAsia="仿宋_GB2312" w:cs="仿宋_GB2312"/>
          <w:snapToGrid w:val="0"/>
          <w:spacing w:val="-6"/>
          <w:kern w:val="0"/>
          <w:sz w:val="32"/>
          <w:szCs w:val="32"/>
        </w:rPr>
      </w:pPr>
      <w:r>
        <w:rPr>
          <w:rFonts w:hint="eastAsia" w:ascii="黑体" w:hAnsi="黑体" w:eastAsia="黑体" w:cs="黑体"/>
          <w:spacing w:val="-6"/>
          <w:sz w:val="32"/>
          <w:szCs w:val="32"/>
          <w:lang w:val="en-US" w:eastAsia="zh-CN"/>
        </w:rPr>
        <w:t>一、拟稿背景</w:t>
      </w:r>
    </w:p>
    <w:p w14:paraId="742F9E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广东省发展改革委、广东省住房城乡建设厅关于放开住宅小区、商业配套、露天停车场停车保管服务收费等有关问题的通知》，2015年8月15日起，住宅小区机动车停放服务收费实行市场调节价，具体收费标准由停车场经营者制定。住宅</w:t>
      </w:r>
      <w:r>
        <w:rPr>
          <w:rFonts w:hint="eastAsia" w:ascii="仿宋_GB2312" w:hAnsi="仿宋_GB2312" w:eastAsia="仿宋_GB2312" w:cs="仿宋_GB2312"/>
          <w:sz w:val="32"/>
          <w:szCs w:val="32"/>
          <w:lang w:eastAsia="zh-CN"/>
        </w:rPr>
        <w:t>小区</w:t>
      </w:r>
      <w:r>
        <w:rPr>
          <w:rFonts w:hint="eastAsia" w:ascii="仿宋_GB2312" w:hAnsi="仿宋_GB2312" w:eastAsia="仿宋_GB2312" w:cs="仿宋_GB2312"/>
          <w:sz w:val="32"/>
          <w:szCs w:val="32"/>
        </w:rPr>
        <w:t>停车位</w:t>
      </w:r>
      <w:r>
        <w:rPr>
          <w:rFonts w:hint="eastAsia" w:ascii="仿宋_GB2312" w:hAnsi="仿宋_GB2312" w:eastAsia="仿宋_GB2312" w:cs="仿宋_GB2312"/>
          <w:sz w:val="32"/>
          <w:szCs w:val="32"/>
          <w:lang w:eastAsia="zh-CN"/>
        </w:rPr>
        <w:t>属于</w:t>
      </w:r>
      <w:r>
        <w:rPr>
          <w:rFonts w:hint="eastAsia" w:ascii="仿宋_GB2312" w:hAnsi="仿宋_GB2312" w:eastAsia="仿宋_GB2312" w:cs="仿宋_GB2312"/>
          <w:sz w:val="32"/>
          <w:szCs w:val="32"/>
        </w:rPr>
        <w:t>住宅附属设施，</w:t>
      </w:r>
      <w:r>
        <w:rPr>
          <w:rFonts w:hint="eastAsia" w:ascii="仿宋_GB2312" w:hAnsi="仿宋_GB2312" w:eastAsia="仿宋_GB2312" w:cs="仿宋_GB2312"/>
          <w:sz w:val="32"/>
          <w:szCs w:val="32"/>
          <w:lang w:eastAsia="zh-CN"/>
        </w:rPr>
        <w:t>具有</w:t>
      </w:r>
      <w:r>
        <w:rPr>
          <w:rFonts w:hint="eastAsia" w:ascii="仿宋_GB2312" w:hAnsi="仿宋_GB2312" w:eastAsia="仿宋_GB2312" w:cs="仿宋_GB2312"/>
          <w:sz w:val="32"/>
          <w:szCs w:val="32"/>
        </w:rPr>
        <w:t>市场竞争不充分、</w:t>
      </w:r>
      <w:r>
        <w:rPr>
          <w:rFonts w:hint="eastAsia" w:ascii="仿宋_GB2312" w:hAnsi="仿宋_GB2312" w:eastAsia="仿宋_GB2312" w:cs="仿宋_GB2312"/>
          <w:color w:val="auto"/>
          <w:sz w:val="32"/>
          <w:szCs w:val="32"/>
          <w:lang w:eastAsia="zh-CN"/>
        </w:rPr>
        <w:t>交易双方地位不对等、信息不对称等特点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自从停车收费放开以来，我市个别小区存在产权车位租金肆意涨价或者变相强迫业主长租人防车位等行为，业主的权益受到一定程度的损害，收费双方的矛盾也日益凸显</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2020年1月1日，</w:t>
      </w:r>
      <w:r>
        <w:rPr>
          <w:rFonts w:hint="eastAsia" w:ascii="仿宋_GB2312" w:hAnsi="仿宋_GB2312" w:eastAsia="仿宋_GB2312" w:cs="仿宋_GB2312"/>
          <w:sz w:val="32"/>
          <w:szCs w:val="32"/>
        </w:rPr>
        <w:t>《中山市停车场条例》</w:t>
      </w:r>
      <w:r>
        <w:rPr>
          <w:rFonts w:hint="eastAsia" w:ascii="仿宋_GB2312" w:hAnsi="仿宋_GB2312" w:eastAsia="仿宋_GB2312" w:cs="仿宋_GB2312"/>
          <w:sz w:val="32"/>
          <w:szCs w:val="32"/>
          <w:lang w:eastAsia="zh-CN"/>
        </w:rPr>
        <w:t>开始</w:t>
      </w:r>
      <w:r>
        <w:rPr>
          <w:rFonts w:hint="eastAsia" w:eastAsia="仿宋_GB2312"/>
          <w:sz w:val="32"/>
          <w:szCs w:val="32"/>
        </w:rPr>
        <w:t>施行</w:t>
      </w:r>
      <w:r>
        <w:rPr>
          <w:rFonts w:hint="eastAsia" w:eastAsia="仿宋_GB2312"/>
          <w:sz w:val="32"/>
          <w:szCs w:val="32"/>
          <w:lang w:eastAsia="zh-CN"/>
        </w:rPr>
        <w:t>，</w:t>
      </w:r>
      <w:r>
        <w:rPr>
          <w:rFonts w:hint="eastAsia" w:ascii="仿宋_GB2312" w:hAnsi="仿宋_GB2312" w:eastAsia="仿宋_GB2312" w:cs="仿宋_GB2312"/>
          <w:sz w:val="32"/>
          <w:szCs w:val="32"/>
        </w:rPr>
        <w:t>对近年</w:t>
      </w:r>
      <w:r>
        <w:rPr>
          <w:rFonts w:hint="eastAsia" w:ascii="仿宋_GB2312" w:hAnsi="仿宋_GB2312" w:eastAsia="仿宋_GB2312" w:cs="仿宋_GB2312"/>
          <w:sz w:val="32"/>
          <w:szCs w:val="32"/>
          <w:lang w:eastAsia="zh-CN"/>
        </w:rPr>
        <w:t>来产生的问题</w:t>
      </w:r>
      <w:r>
        <w:rPr>
          <w:rFonts w:hint="eastAsia" w:ascii="仿宋_GB2312" w:hAnsi="仿宋_GB2312" w:eastAsia="仿宋_GB2312" w:cs="仿宋_GB2312"/>
          <w:sz w:val="32"/>
          <w:szCs w:val="32"/>
        </w:rPr>
        <w:t>做了相关规定</w:t>
      </w:r>
      <w:r>
        <w:rPr>
          <w:rFonts w:hint="eastAsia" w:ascii="仿宋_GB2312" w:hAnsi="仿宋_GB2312" w:eastAsia="仿宋_GB2312" w:cs="仿宋_GB2312"/>
          <w:sz w:val="32"/>
          <w:szCs w:val="32"/>
          <w:lang w:eastAsia="zh-CN"/>
        </w:rPr>
        <w:t>，要求</w:t>
      </w:r>
      <w:r>
        <w:rPr>
          <w:rFonts w:hint="eastAsia" w:ascii="仿宋_GB2312" w:hAnsi="仿宋_GB2312" w:eastAsia="仿宋_GB2312" w:cs="仿宋_GB2312"/>
          <w:sz w:val="32"/>
          <w:szCs w:val="32"/>
        </w:rPr>
        <w:t>住宅建筑区划内，规划用于机动车停放的车位、车库尚未出售的，建设单位应当予以出租</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首先满足业主的需要。利用住宅建筑区划内的人防工程或者尚未出售的车位、车库提供车辆停放服务并收取停放服务费的，应当按照议价规则进行协商议价，未按照议价规则进行协商议价的，建设单位、停车场经营者不得制定、提高机动车停放服务收费标准。</w:t>
      </w:r>
      <w:r>
        <w:rPr>
          <w:rFonts w:hint="eastAsia" w:ascii="仿宋_GB2312" w:hAnsi="仿宋_GB2312" w:eastAsia="仿宋_GB2312" w:cs="仿宋_GB2312"/>
          <w:sz w:val="32"/>
          <w:szCs w:val="32"/>
          <w:lang w:val="en-US" w:eastAsia="zh-CN"/>
        </w:rPr>
        <w:t>2021年12月16日，</w:t>
      </w:r>
      <w:r>
        <w:rPr>
          <w:rFonts w:hint="eastAsia" w:ascii="仿宋_GB2312" w:hAnsi="仿宋_GB2312" w:eastAsia="仿宋_GB2312" w:cs="仿宋_GB2312"/>
          <w:sz w:val="32"/>
          <w:szCs w:val="32"/>
          <w:lang w:eastAsia="zh-CN"/>
        </w:rPr>
        <w:t>结合我市实际，我局牵头起草、经市委市政府同意，制定印发了《规则（试行）》，为业主与停车场经营者协商议价提供程序规范，但由于多方面原因，《规则（试行）》试行一年期间，未有住宅小区停车场经营者实施过议价。试行期满后，我局认真总结，结合当前进一步优化营商环境要求，兼顾保证停车场经营者与业主的权益，进一步简化操作环节、提升协商效率，形成《规则》。</w:t>
      </w:r>
    </w:p>
    <w:p w14:paraId="6F2300E5">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60" w:lineRule="atLeast"/>
        <w:ind w:left="0" w:leftChars="0" w:right="0" w:rightChars="0" w:firstLine="616" w:firstLineChars="200"/>
        <w:jc w:val="both"/>
        <w:textAlignment w:val="auto"/>
        <w:outlineLvl w:val="9"/>
        <w:rPr>
          <w:rFonts w:hint="eastAsia" w:ascii="黑体" w:hAnsi="黑体" w:eastAsia="黑体" w:cs="黑体"/>
          <w:spacing w:val="-6"/>
          <w:sz w:val="32"/>
          <w:szCs w:val="32"/>
          <w:lang w:val="en-US" w:eastAsia="zh-CN"/>
        </w:rPr>
      </w:pPr>
      <w:r>
        <w:rPr>
          <w:rFonts w:hint="eastAsia" w:ascii="黑体" w:hAnsi="黑体" w:eastAsia="黑体" w:cs="黑体"/>
          <w:spacing w:val="-6"/>
          <w:sz w:val="32"/>
          <w:szCs w:val="32"/>
          <w:lang w:val="en-US" w:eastAsia="zh-CN"/>
        </w:rPr>
        <w:t>二、拟稿的法律法规规章政策依据</w:t>
      </w:r>
    </w:p>
    <w:p w14:paraId="14D4F07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（一）法律、行政法规</w:t>
      </w:r>
    </w:p>
    <w:p w14:paraId="3C8485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1.《中华人民共和国民法典》第二百七十六条“建筑区划内，规划用于停放汽车的车位、车库应当首先满足业主的需要”。</w:t>
      </w:r>
    </w:p>
    <w:p w14:paraId="727E7E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第三百四十四条“建设用地使用权人依法对国家所有的土地享有占有、使用和收益的权利，有权利用该土地建造建筑物、构筑物及其附属设施”。</w:t>
      </w:r>
    </w:p>
    <w:p w14:paraId="6E638D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2.</w:t>
      </w:r>
      <w:r>
        <w:rPr>
          <w:rFonts w:hint="eastAsia" w:ascii="仿宋_GB2312" w:hAnsi="仿宋_GB2312" w:eastAsia="仿宋_GB2312" w:cs="仿宋_GB2312"/>
          <w:sz w:val="32"/>
          <w:szCs w:val="32"/>
          <w:lang w:val="en-US" w:eastAsia="zh-CN"/>
        </w:rPr>
        <w:t>《中华人民共和国人民防空法》第五条“国家对人民防空设施建设按照有关规定给予优惠。国家鼓励、支持企业事业组织、社会团体和个人，通过多种途径，投资进行人民防空工程建设；人民防空工程平时由投资者使用管理，收益归投资者所有”。</w:t>
      </w:r>
    </w:p>
    <w:p w14:paraId="170A00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（二）地方性法规、规章</w:t>
      </w:r>
    </w:p>
    <w:p w14:paraId="534A69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广东省物业管理条例》第五十四条“物业管理区域内，规划用于停放汽车的车位、车库，应当首先满足本区域业主的需要。物业管理区域内规划用于停放汽车的车位、车库，建设单位应当首先出租给本区域业主、物业使用人。在满足本区域业主、物业使用人需要后，建设单位将车位、车库出租给本区域业主、物业使用人以外的其他人的，其租赁合同期限不得超过六个月。建设单位依法取得车位、车库权属登记后方能出售车位、车库。建设单位应当在出售车位、车库一个月前，以书面形式告知本区域全体业主，并在物业管理区域的显著位置公示拟出售车位、车库的产权证明文件和出售价格。拟出售车位、车库数量少于本区域房屋套数时，每户业主只能购买一个车位、车库”。</w:t>
      </w:r>
    </w:p>
    <w:p w14:paraId="742A53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2.《中山市停车场条例》第四条“市市场监管主管部门负责对全市收费停车场价格行为实施监督管理、制定住宅小区停车服务收费议价规则等工作”。</w:t>
      </w:r>
    </w:p>
    <w:p w14:paraId="6FBDAC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（三）上级行政机关规范性文件、政策性文件</w:t>
      </w:r>
    </w:p>
    <w:p w14:paraId="05E2ECB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《广东省发展和改革委员会 广东省住房和城乡建设厅 广东省交通运输厅 广东省市场监督管理局关于完善机动车停放服务收费政策的指导意见》（粤发改规〔2022〕10号）“三、推进停车设施服务收费市场化  鼓励引导社会资本投资建设停车设施，除实行政府指导价、政府定价管理的停车设施机动车停放服务收费外，其他依法设立的停车设施机动车停放服务收费实行市场调节价管理”；“六、健全收费配套监管措施  （一）强化机动车停放服务管理。停车设施行业主管部门应加强停车服务行业标准化建设，制定完善服务标准和服务规范”。</w:t>
      </w:r>
    </w:p>
    <w:p w14:paraId="2FC79E3D">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60" w:lineRule="atLeast"/>
        <w:ind w:left="0" w:leftChars="0" w:right="0" w:rightChars="0" w:firstLine="640"/>
        <w:jc w:val="both"/>
        <w:textAlignment w:val="auto"/>
        <w:outlineLvl w:val="9"/>
        <w:rPr>
          <w:rFonts w:hint="eastAsia" w:ascii="黑体" w:hAnsi="黑体" w:eastAsia="黑体" w:cs="黑体"/>
          <w:spacing w:val="-6"/>
          <w:sz w:val="32"/>
          <w:szCs w:val="32"/>
          <w:lang w:val="en-US" w:eastAsia="zh-CN"/>
        </w:rPr>
      </w:pPr>
      <w:r>
        <w:rPr>
          <w:rFonts w:hint="eastAsia" w:ascii="黑体" w:hAnsi="黑体" w:eastAsia="黑体" w:cs="黑体"/>
          <w:spacing w:val="-6"/>
          <w:sz w:val="32"/>
          <w:szCs w:val="32"/>
          <w:lang w:val="en-US" w:eastAsia="zh-CN"/>
        </w:rPr>
        <w:t>三、主要内容和说明</w:t>
      </w:r>
    </w:p>
    <w:p w14:paraId="372589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（一）所要解决的主要问题。</w:t>
      </w:r>
    </w:p>
    <w:p w14:paraId="3F7B1F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住宅小区停车场经营者与业主公平、平等地协商制定停车收费标准提供制度保障，合理引导住宅小区停车场经营者的价格行为，保障业主权益，切实解决近年来业主反映的“停车难、停车贵”等热点问题，化解业主与物业公司之间的矛盾，维护住宅小区停车场正常价格秩序，为我市创造和谐、文明、舒适的人居环境保驾护航。</w:t>
      </w:r>
    </w:p>
    <w:p w14:paraId="0245E47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（二）主要内容及解释</w:t>
      </w:r>
    </w:p>
    <w:p w14:paraId="035932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《规则》包括十四条，在兼顾保证停车场经营者与业主的权益基础上，维护住宅停车场收费正常的价格秩序，对建设单位、停车场经营者制定、提高收费标准的价格行为明确有关程序规范措施。</w:t>
      </w:r>
    </w:p>
    <w:p w14:paraId="2D2460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1.适用范围：《规则》主要适用的范围为“</w:t>
      </w:r>
      <w:r>
        <w:rPr>
          <w:rFonts w:hint="eastAsia" w:ascii="仿宋_GB2312" w:hAnsi="仿宋_GB2312" w:eastAsia="仿宋_GB2312" w:cs="仿宋_GB2312"/>
          <w:sz w:val="32"/>
          <w:szCs w:val="32"/>
          <w:lang w:eastAsia="zh-CN"/>
        </w:rPr>
        <w:t>中山市范围内利用住宅建筑区划内的人防工程或者尚未出售的车位、车库”“商住一体建设项目中配建的住宅小区停车位、车库</w:t>
      </w:r>
      <w:r>
        <w:rPr>
          <w:rFonts w:hint="eastAsia" w:ascii="仿宋_GB2312" w:hAnsi="仿宋_GB2312" w:eastAsia="仿宋_GB2312" w:cs="仿宋_GB2312"/>
          <w:sz w:val="32"/>
          <w:szCs w:val="32"/>
          <w:lang w:val="en-US" w:eastAsia="zh-CN"/>
        </w:rPr>
        <w:t>”。住宅建筑区划内业主共有部分设置的停车场不在《规则》适用范围内。另外，明确通过房屋销售合同、前期物业服务合同</w:t>
      </w:r>
      <w:r>
        <w:rPr>
          <w:rFonts w:hint="eastAsia" w:ascii="仿宋_GB2312" w:hAnsi="仿宋_GB2312" w:eastAsia="仿宋_GB2312" w:cs="仿宋_GB2312"/>
          <w:sz w:val="32"/>
          <w:szCs w:val="32"/>
          <w:lang w:eastAsia="zh-CN"/>
        </w:rPr>
        <w:t>约定住宅小区停车费标准不属于擅自制定</w:t>
      </w:r>
      <w:r>
        <w:rPr>
          <w:rFonts w:hint="eastAsia" w:ascii="仿宋_GB2312" w:hAnsi="仿宋_GB2312" w:eastAsia="仿宋_GB2312" w:cs="仿宋_GB2312"/>
          <w:sz w:val="32"/>
          <w:szCs w:val="32"/>
        </w:rPr>
        <w:t>住宅小区停车费收费标准</w:t>
      </w:r>
      <w:r>
        <w:rPr>
          <w:rFonts w:hint="eastAsia" w:ascii="仿宋_GB2312" w:hAnsi="仿宋_GB2312" w:eastAsia="仿宋_GB2312" w:cs="仿宋_GB2312"/>
          <w:sz w:val="32"/>
          <w:szCs w:val="32"/>
          <w:lang w:val="en-US" w:eastAsia="zh-CN"/>
        </w:rPr>
        <w:t>。</w:t>
      </w:r>
    </w:p>
    <w:p w14:paraId="1D7169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2.议价主体：议价一方为建设单位、停车场经营者，另一方为业主。</w:t>
      </w:r>
    </w:p>
    <w:p w14:paraId="7DAE5A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设单位自行出租的，建设单位作为车位所有权人参与协商或者授权相关机构参与协商。建设单位委托停车场经营者经营管理的，建设单位可以授权停车场经营者参与协商；停车场经营者授权参与协商的结果，应得到建设单位的确认。</w:t>
      </w:r>
    </w:p>
    <w:p w14:paraId="551EDE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业主一方，由业主委员会根据业主大会授权、代表业主参与协商，或者由全体业主推选业主代表参与协商。经授权协商的结果或者代表业主参与协商的结果，应得到全体业主的确认。</w:t>
      </w:r>
    </w:p>
    <w:p w14:paraId="04A993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3.议价程序规定。</w:t>
      </w:r>
    </w:p>
    <w:p w14:paraId="36E282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（1）程序启动：对住宅小区停车场经营者启动议价进行规定。</w:t>
      </w:r>
    </w:p>
    <w:p w14:paraId="4A5AE0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依照《中山市停车场条例》第二十七条，《规则》规范的对象为建设单位、停车场经营者制定、提高机动车停放服务收费标准的行为，而非业主的调价诉求。</w:t>
      </w:r>
    </w:p>
    <w:p w14:paraId="7A4124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议价协商：对住宅小区停车场经营者与业主就定价（提价）方案开展协商程序进行规定。在确保议价双方权益基础上进一步简化程序要求，提升实践操作性。明确议价期限，以及协商不能达成一致的处理方案。</w:t>
      </w:r>
    </w:p>
    <w:p w14:paraId="4AA2EE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方案表决：对住宅小区停车场定价（提价）方案表决进行规定，以及表决不通过的处理方案。对于协商议价未达成一致意见的，履行《议价规则》规定程序后可依照《中华人民共和国价格法》《中山市停车场条例》第二十七条，制定、提高住宅小区停车场收费标准，提供价格合理的停车服务。理由和依据：一是根据《中华人民共和国价格法》《广东省定价目录（2022年版）》规定，住宅停车场收费属市场调节价，由经营者依法自主定价。二是《中山市停车场条例》第二十七条规定中，未要求建经营者按照住宅停车场议价规则规定进行协商议价并达成一致意见才能制定、提高收费标准。三是《议价规则》提供议价程序规范，履行相应议价程序的，即认为按照《议价规则》进行协商议价。</w:t>
      </w:r>
    </w:p>
    <w:p w14:paraId="429A89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4.履行议价程序后双方产生纠纷的解决机制。经营者履行议价程序后制定、提高住宅小区停车场收费标准存在纠纷的，议价双方可以单独或共同向社区书面提出人民调解申请，</w:t>
      </w:r>
      <w:r>
        <w:rPr>
          <w:rFonts w:hint="eastAsia" w:ascii="仿宋_GB2312" w:hAnsi="仿宋_GB2312" w:eastAsia="仿宋_GB2312" w:cs="仿宋_GB2312"/>
          <w:kern w:val="2"/>
          <w:sz w:val="32"/>
          <w:szCs w:val="32"/>
          <w:highlight w:val="none"/>
          <w:lang w:val="en-US" w:eastAsia="zh-CN" w:bidi="ar-SA"/>
        </w:rPr>
        <w:t>经调解达成的调解协议可以向人民法院申请司法确认；也可以依法向人民法院提起诉讼</w:t>
      </w:r>
      <w:r>
        <w:rPr>
          <w:rFonts w:hint="eastAsia" w:ascii="仿宋_GB2312" w:hAnsi="仿宋_GB2312" w:eastAsia="仿宋_GB2312" w:cs="仿宋_GB2312"/>
          <w:sz w:val="32"/>
          <w:szCs w:val="32"/>
          <w:lang w:val="en-US" w:eastAsia="zh-CN"/>
        </w:rPr>
        <w:t>。</w:t>
      </w:r>
    </w:p>
    <w:p w14:paraId="080C81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5.职责分工和期限：主要规定各部门、镇街、社区职责分工，对相关违法行为处理、信用管理和实施期限等内容作出规定。</w:t>
      </w:r>
    </w:p>
    <w:p w14:paraId="77F0D6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96A1D">
    <w:pPr>
      <w:pStyle w:val="2"/>
    </w:pPr>
    <w:bookmarkStart w:id="0" w:name="_GoBack"/>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D839F4">
                          <w:pPr>
                            <w:snapToGrid w:val="0"/>
                            <w:rPr>
                              <w:rFonts w:hint="eastAsia" w:eastAsiaTheme="minorEastAsia"/>
                              <w:sz w:val="18"/>
                              <w:lang w:eastAsia="zh-CN"/>
                            </w:rPr>
                          </w:pPr>
                          <w:r>
                            <w:rPr>
                              <w:rFonts w:hint="eastAsia" w:ascii="仿宋_GB2312" w:hAnsi="仿宋_GB2312" w:eastAsia="仿宋_GB2312" w:cs="仿宋_GB2312"/>
                              <w:sz w:val="21"/>
                              <w:szCs w:val="32"/>
                              <w:lang w:eastAsia="zh-CN"/>
                            </w:rPr>
                            <w:fldChar w:fldCharType="begin"/>
                          </w:r>
                          <w:r>
                            <w:rPr>
                              <w:rFonts w:hint="eastAsia" w:ascii="仿宋_GB2312" w:hAnsi="仿宋_GB2312" w:eastAsia="仿宋_GB2312" w:cs="仿宋_GB2312"/>
                              <w:sz w:val="21"/>
                              <w:szCs w:val="32"/>
                              <w:lang w:eastAsia="zh-CN"/>
                            </w:rPr>
                            <w:instrText xml:space="preserve"> PAGE  \* MERGEFORMAT </w:instrText>
                          </w:r>
                          <w:r>
                            <w:rPr>
                              <w:rFonts w:hint="eastAsia" w:ascii="仿宋_GB2312" w:hAnsi="仿宋_GB2312" w:eastAsia="仿宋_GB2312" w:cs="仿宋_GB2312"/>
                              <w:sz w:val="21"/>
                              <w:szCs w:val="32"/>
                              <w:lang w:eastAsia="zh-CN"/>
                            </w:rPr>
                            <w:fldChar w:fldCharType="separate"/>
                          </w:r>
                          <w:r>
                            <w:rPr>
                              <w:rFonts w:hint="eastAsia" w:ascii="仿宋_GB2312" w:hAnsi="仿宋_GB2312" w:eastAsia="仿宋_GB2312" w:cs="仿宋_GB2312"/>
                              <w:sz w:val="21"/>
                              <w:szCs w:val="32"/>
                              <w:lang w:eastAsia="zh-CN"/>
                            </w:rPr>
                            <w:t>1</w:t>
                          </w:r>
                          <w:r>
                            <w:rPr>
                              <w:rFonts w:hint="eastAsia" w:ascii="仿宋_GB2312" w:hAnsi="仿宋_GB2312" w:eastAsia="仿宋_GB2312" w:cs="仿宋_GB2312"/>
                              <w:sz w:val="21"/>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BD839F4">
                    <w:pPr>
                      <w:snapToGrid w:val="0"/>
                      <w:rPr>
                        <w:rFonts w:hint="eastAsia" w:eastAsiaTheme="minorEastAsia"/>
                        <w:sz w:val="18"/>
                        <w:lang w:eastAsia="zh-CN"/>
                      </w:rPr>
                    </w:pPr>
                    <w:r>
                      <w:rPr>
                        <w:rFonts w:hint="eastAsia" w:ascii="仿宋_GB2312" w:hAnsi="仿宋_GB2312" w:eastAsia="仿宋_GB2312" w:cs="仿宋_GB2312"/>
                        <w:sz w:val="21"/>
                        <w:szCs w:val="32"/>
                        <w:lang w:eastAsia="zh-CN"/>
                      </w:rPr>
                      <w:fldChar w:fldCharType="begin"/>
                    </w:r>
                    <w:r>
                      <w:rPr>
                        <w:rFonts w:hint="eastAsia" w:ascii="仿宋_GB2312" w:hAnsi="仿宋_GB2312" w:eastAsia="仿宋_GB2312" w:cs="仿宋_GB2312"/>
                        <w:sz w:val="21"/>
                        <w:szCs w:val="32"/>
                        <w:lang w:eastAsia="zh-CN"/>
                      </w:rPr>
                      <w:instrText xml:space="preserve"> PAGE  \* MERGEFORMAT </w:instrText>
                    </w:r>
                    <w:r>
                      <w:rPr>
                        <w:rFonts w:hint="eastAsia" w:ascii="仿宋_GB2312" w:hAnsi="仿宋_GB2312" w:eastAsia="仿宋_GB2312" w:cs="仿宋_GB2312"/>
                        <w:sz w:val="21"/>
                        <w:szCs w:val="32"/>
                        <w:lang w:eastAsia="zh-CN"/>
                      </w:rPr>
                      <w:fldChar w:fldCharType="separate"/>
                    </w:r>
                    <w:r>
                      <w:rPr>
                        <w:rFonts w:hint="eastAsia" w:ascii="仿宋_GB2312" w:hAnsi="仿宋_GB2312" w:eastAsia="仿宋_GB2312" w:cs="仿宋_GB2312"/>
                        <w:sz w:val="21"/>
                        <w:szCs w:val="32"/>
                        <w:lang w:eastAsia="zh-CN"/>
                      </w:rPr>
                      <w:t>1</w:t>
                    </w:r>
                    <w:r>
                      <w:rPr>
                        <w:rFonts w:hint="eastAsia" w:ascii="仿宋_GB2312" w:hAnsi="仿宋_GB2312" w:eastAsia="仿宋_GB2312" w:cs="仿宋_GB2312"/>
                        <w:sz w:val="21"/>
                        <w:szCs w:val="32"/>
                        <w:lang w:eastAsia="zh-CN"/>
                      </w:rPr>
                      <w:fldChar w:fldCharType="end"/>
                    </w:r>
                  </w:p>
                </w:txbxContent>
              </v:textbox>
            </v:shape>
          </w:pict>
        </mc:Fallback>
      </mc:AlternateContent>
    </w:r>
    <w:bookmarkEnd w:id="0"/>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4YmZmYWI1N2FmMWQ0MDMzY2YyYWE1ZTI5ZWE2ZmMifQ=="/>
  </w:docVars>
  <w:rsids>
    <w:rsidRoot w:val="0F237525"/>
    <w:rsid w:val="09DA3B0C"/>
    <w:rsid w:val="0F237525"/>
    <w:rsid w:val="177F1942"/>
    <w:rsid w:val="17FA1226"/>
    <w:rsid w:val="26D59EED"/>
    <w:rsid w:val="2967BFFC"/>
    <w:rsid w:val="2AF6016F"/>
    <w:rsid w:val="2E27DF87"/>
    <w:rsid w:val="37C728A3"/>
    <w:rsid w:val="3EB77372"/>
    <w:rsid w:val="3FFAE5E8"/>
    <w:rsid w:val="55BDA520"/>
    <w:rsid w:val="57F59929"/>
    <w:rsid w:val="594960EE"/>
    <w:rsid w:val="65BFF542"/>
    <w:rsid w:val="6BECF999"/>
    <w:rsid w:val="72E7666C"/>
    <w:rsid w:val="74FEC04E"/>
    <w:rsid w:val="766B96AE"/>
    <w:rsid w:val="77FB18EA"/>
    <w:rsid w:val="7FEDE7F1"/>
    <w:rsid w:val="7FF52A33"/>
    <w:rsid w:val="7FFF56C7"/>
    <w:rsid w:val="7FFFEF04"/>
    <w:rsid w:val="9E7F2007"/>
    <w:rsid w:val="9EEF7262"/>
    <w:rsid w:val="ABAF05A9"/>
    <w:rsid w:val="B7FF383E"/>
    <w:rsid w:val="B9BBB1C1"/>
    <w:rsid w:val="DDFF3DAD"/>
    <w:rsid w:val="DFAFDD52"/>
    <w:rsid w:val="DFFE5793"/>
    <w:rsid w:val="EFFD1F8E"/>
    <w:rsid w:val="F23DCCAE"/>
    <w:rsid w:val="F7B60BFF"/>
    <w:rsid w:val="F7DDC74A"/>
    <w:rsid w:val="FAFF6DA6"/>
    <w:rsid w:val="FDE3F70F"/>
    <w:rsid w:val="FE58AF63"/>
    <w:rsid w:val="FEFD5BFB"/>
    <w:rsid w:val="FFBB8E0C"/>
    <w:rsid w:val="FFCF1C03"/>
    <w:rsid w:val="FFDF3BD8"/>
    <w:rsid w:val="FFF2A75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正文 New New New New New New New New New New New New New New New New New New New New New New New New"/>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customStyle="1" w:styleId="7">
    <w:name w:val="正文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中山市发展和改革局</Company>
  <Pages>6</Pages>
  <Words>0</Words>
  <Characters>0</Characters>
  <Lines>0</Lines>
  <Paragraphs>0</Paragraphs>
  <TotalTime>7</TotalTime>
  <ScaleCrop>false</ScaleCrop>
  <LinksUpToDate>false</LinksUpToDate>
  <CharactersWithSpaces>0</CharactersWithSpaces>
  <Application>WPS Office WWO_wpscloud_20260608094806-0f98d75745</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2020-08-24T17:13:00Z</dcterms:created>
  <dc:creator>钟茂森</dc:creator>
  <cp:lastModifiedBy>user</cp:lastModifiedBy>
  <dcterms:modified xsi:type="dcterms:W3CDTF">2026-07-24T17:31:40Z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2052-12.9.0.26442</vt:lpwstr>
  </property>
  <property fmtid="{D5CDD505-2E9C-101B-9397-08002B2CF9AE}" pid="3" name="ICV">
    <vt:lpwstr>01384DF3055F7AAEFC30636A471A0870_43</vt:lpwstr>
  </property>
</Properties>
</file>