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ADA91">
      <w:pPr>
        <w:pStyle w:val="2"/>
        <w:keepNext/>
        <w:keepLines/>
        <w:pageBreakBefore w:val="0"/>
        <w:widowControl w:val="0"/>
        <w:kinsoku/>
        <w:wordWrap/>
        <w:overflowPunct/>
        <w:topLinePunct w:val="0"/>
        <w:autoSpaceDE/>
        <w:autoSpaceDN/>
        <w:bidi w:val="0"/>
        <w:adjustRightInd/>
        <w:snapToGrid/>
        <w:spacing w:before="0" w:after="0" w:line="574" w:lineRule="exact"/>
        <w:jc w:val="center"/>
        <w:textAlignment w:val="auto"/>
        <w:outlineLvl w:val="0"/>
        <w:rPr>
          <w:rFonts w:ascii="方正小标宋_GBK" w:hAnsi="方正小标宋_GBK" w:eastAsia="方正小标宋_GBK"/>
          <w:b w:val="0"/>
          <w:bCs w:val="0"/>
          <w:sz w:val="30"/>
        </w:rPr>
      </w:pPr>
      <w:bookmarkStart w:id="0" w:name="_Toc24724723"/>
      <w:r>
        <w:rPr>
          <w:rFonts w:hint="eastAsia" w:ascii="方正小标宋_GBK" w:hAnsi="方正小标宋_GBK" w:eastAsia="方正小标宋_GBK"/>
          <w:b w:val="0"/>
          <w:bCs w:val="0"/>
          <w:sz w:val="30"/>
          <w:lang w:val="en-US" w:eastAsia="zh-CN"/>
        </w:rPr>
        <w:t>南头镇</w:t>
      </w:r>
      <w:r>
        <w:rPr>
          <w:rFonts w:hint="eastAsia" w:ascii="方正小标宋_GBK" w:hAnsi="方正小标宋_GBK" w:eastAsia="方正小标宋_GBK"/>
          <w:b w:val="0"/>
          <w:bCs w:val="0"/>
          <w:sz w:val="30"/>
        </w:rPr>
        <w:t>公共文化服务领域基层政务公开标准目录</w:t>
      </w:r>
      <w:bookmarkEnd w:id="0"/>
    </w:p>
    <w:tbl>
      <w:tblPr>
        <w:tblStyle w:val="6"/>
        <w:tblW w:w="14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4"/>
        <w:gridCol w:w="684"/>
        <w:gridCol w:w="1509"/>
        <w:gridCol w:w="1916"/>
        <w:gridCol w:w="1746"/>
        <w:gridCol w:w="1539"/>
        <w:gridCol w:w="1329"/>
        <w:gridCol w:w="1342"/>
        <w:gridCol w:w="672"/>
        <w:gridCol w:w="660"/>
        <w:gridCol w:w="513"/>
        <w:gridCol w:w="672"/>
        <w:gridCol w:w="671"/>
        <w:gridCol w:w="784"/>
      </w:tblGrid>
      <w:tr w14:paraId="1052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vMerge w:val="restart"/>
            <w:vAlign w:val="center"/>
          </w:tcPr>
          <w:p w14:paraId="6D8A845D">
            <w:pPr>
              <w:widowControl/>
              <w:jc w:val="center"/>
              <w:rPr>
                <w:rFonts w:ascii="Times New Roman" w:hAnsi="Times New Roman"/>
                <w:color w:val="auto"/>
                <w:kern w:val="0"/>
                <w:sz w:val="22"/>
              </w:rPr>
            </w:pPr>
            <w:r>
              <w:rPr>
                <w:rFonts w:ascii="Times New Roman" w:hAnsi="宋体"/>
                <w:color w:val="auto"/>
                <w:kern w:val="0"/>
                <w:sz w:val="22"/>
              </w:rPr>
              <w:t>序号</w:t>
            </w:r>
          </w:p>
        </w:tc>
        <w:tc>
          <w:tcPr>
            <w:tcW w:w="2193" w:type="dxa"/>
            <w:gridSpan w:val="2"/>
            <w:vAlign w:val="center"/>
          </w:tcPr>
          <w:p w14:paraId="323FB1D1">
            <w:pPr>
              <w:widowControl/>
              <w:jc w:val="center"/>
              <w:rPr>
                <w:rFonts w:ascii="黑体" w:hAnsi="宋体" w:eastAsia="黑体" w:cs="宋体"/>
                <w:color w:val="auto"/>
                <w:kern w:val="0"/>
                <w:sz w:val="22"/>
              </w:rPr>
            </w:pPr>
            <w:r>
              <w:rPr>
                <w:rFonts w:hint="eastAsia" w:ascii="黑体" w:hAnsi="宋体" w:eastAsia="黑体" w:cs="宋体"/>
                <w:color w:val="auto"/>
                <w:kern w:val="0"/>
                <w:sz w:val="22"/>
              </w:rPr>
              <w:t>公开事项</w:t>
            </w:r>
          </w:p>
        </w:tc>
        <w:tc>
          <w:tcPr>
            <w:tcW w:w="1916" w:type="dxa"/>
            <w:vMerge w:val="restart"/>
            <w:vAlign w:val="center"/>
          </w:tcPr>
          <w:p w14:paraId="5642FD10">
            <w:pPr>
              <w:widowControl/>
              <w:jc w:val="center"/>
              <w:rPr>
                <w:rFonts w:ascii="黑体" w:hAnsi="宋体" w:eastAsia="黑体" w:cs="宋体"/>
                <w:color w:val="auto"/>
                <w:kern w:val="0"/>
                <w:sz w:val="22"/>
              </w:rPr>
            </w:pPr>
            <w:r>
              <w:rPr>
                <w:rFonts w:hint="eastAsia" w:ascii="黑体" w:hAnsi="宋体" w:eastAsia="黑体" w:cs="宋体"/>
                <w:color w:val="auto"/>
                <w:kern w:val="0"/>
                <w:sz w:val="22"/>
              </w:rPr>
              <w:t>公开内容（要素）</w:t>
            </w:r>
          </w:p>
        </w:tc>
        <w:tc>
          <w:tcPr>
            <w:tcW w:w="1746" w:type="dxa"/>
            <w:vMerge w:val="restart"/>
            <w:vAlign w:val="center"/>
          </w:tcPr>
          <w:p w14:paraId="39D72508">
            <w:pPr>
              <w:widowControl/>
              <w:jc w:val="center"/>
              <w:rPr>
                <w:rFonts w:ascii="黑体" w:hAnsi="宋体" w:eastAsia="黑体" w:cs="宋体"/>
                <w:color w:val="auto"/>
                <w:kern w:val="0"/>
                <w:sz w:val="22"/>
              </w:rPr>
            </w:pPr>
            <w:r>
              <w:rPr>
                <w:rFonts w:hint="eastAsia" w:ascii="黑体" w:hAnsi="宋体" w:eastAsia="黑体" w:cs="宋体"/>
                <w:color w:val="auto"/>
                <w:kern w:val="0"/>
                <w:sz w:val="22"/>
              </w:rPr>
              <w:t>公开依据</w:t>
            </w:r>
          </w:p>
        </w:tc>
        <w:tc>
          <w:tcPr>
            <w:tcW w:w="1539" w:type="dxa"/>
            <w:vMerge w:val="restart"/>
            <w:vAlign w:val="center"/>
          </w:tcPr>
          <w:p w14:paraId="5210BDEE">
            <w:pPr>
              <w:widowControl/>
              <w:jc w:val="center"/>
              <w:rPr>
                <w:rFonts w:ascii="黑体" w:hAnsi="宋体" w:eastAsia="黑体" w:cs="宋体"/>
                <w:color w:val="auto"/>
                <w:kern w:val="0"/>
                <w:sz w:val="22"/>
              </w:rPr>
            </w:pPr>
            <w:r>
              <w:rPr>
                <w:rFonts w:hint="eastAsia" w:ascii="黑体" w:hAnsi="宋体" w:eastAsia="黑体" w:cs="宋体"/>
                <w:color w:val="auto"/>
                <w:kern w:val="0"/>
                <w:sz w:val="22"/>
              </w:rPr>
              <w:t>公开时限</w:t>
            </w:r>
          </w:p>
        </w:tc>
        <w:tc>
          <w:tcPr>
            <w:tcW w:w="1329" w:type="dxa"/>
            <w:vMerge w:val="restart"/>
            <w:vAlign w:val="center"/>
          </w:tcPr>
          <w:p w14:paraId="6130ACCC">
            <w:pPr>
              <w:widowControl/>
              <w:jc w:val="center"/>
              <w:rPr>
                <w:rFonts w:ascii="黑体" w:hAnsi="宋体" w:eastAsia="黑体" w:cs="宋体"/>
                <w:color w:val="auto"/>
                <w:kern w:val="0"/>
                <w:sz w:val="22"/>
              </w:rPr>
            </w:pPr>
            <w:r>
              <w:rPr>
                <w:rFonts w:hint="eastAsia" w:ascii="黑体" w:hAnsi="宋体" w:eastAsia="黑体" w:cs="宋体"/>
                <w:color w:val="auto"/>
                <w:kern w:val="0"/>
                <w:sz w:val="22"/>
              </w:rPr>
              <w:t>公开主体</w:t>
            </w:r>
          </w:p>
        </w:tc>
        <w:tc>
          <w:tcPr>
            <w:tcW w:w="1342" w:type="dxa"/>
            <w:vMerge w:val="restart"/>
            <w:vAlign w:val="center"/>
          </w:tcPr>
          <w:p w14:paraId="1AF107F0">
            <w:pPr>
              <w:widowControl/>
              <w:jc w:val="center"/>
              <w:rPr>
                <w:rFonts w:ascii="黑体" w:hAnsi="宋体" w:eastAsia="黑体" w:cs="宋体"/>
                <w:color w:val="auto"/>
                <w:kern w:val="0"/>
                <w:sz w:val="22"/>
              </w:rPr>
            </w:pPr>
            <w:r>
              <w:rPr>
                <w:rFonts w:hint="eastAsia" w:ascii="黑体" w:hAnsi="宋体" w:eastAsia="黑体" w:cs="宋体"/>
                <w:color w:val="auto"/>
                <w:kern w:val="0"/>
                <w:sz w:val="22"/>
              </w:rPr>
              <w:t>公开渠道和载体</w:t>
            </w:r>
          </w:p>
        </w:tc>
        <w:tc>
          <w:tcPr>
            <w:tcW w:w="1332" w:type="dxa"/>
            <w:gridSpan w:val="2"/>
            <w:vAlign w:val="center"/>
          </w:tcPr>
          <w:p w14:paraId="613948AA">
            <w:pPr>
              <w:widowControl/>
              <w:jc w:val="center"/>
              <w:rPr>
                <w:rFonts w:ascii="黑体" w:hAnsi="宋体" w:eastAsia="黑体" w:cs="宋体"/>
                <w:color w:val="auto"/>
                <w:kern w:val="0"/>
                <w:sz w:val="22"/>
              </w:rPr>
            </w:pPr>
            <w:r>
              <w:rPr>
                <w:rFonts w:hint="eastAsia" w:ascii="黑体" w:hAnsi="宋体" w:eastAsia="黑体" w:cs="宋体"/>
                <w:color w:val="auto"/>
                <w:kern w:val="0"/>
                <w:sz w:val="22"/>
              </w:rPr>
              <w:t>公开对象</w:t>
            </w:r>
          </w:p>
        </w:tc>
        <w:tc>
          <w:tcPr>
            <w:tcW w:w="1185" w:type="dxa"/>
            <w:gridSpan w:val="2"/>
            <w:vAlign w:val="center"/>
          </w:tcPr>
          <w:p w14:paraId="43C5C7E6">
            <w:pPr>
              <w:widowControl/>
              <w:jc w:val="center"/>
              <w:rPr>
                <w:rFonts w:ascii="黑体" w:hAnsi="宋体" w:eastAsia="黑体" w:cs="宋体"/>
                <w:color w:val="auto"/>
                <w:kern w:val="0"/>
                <w:sz w:val="22"/>
              </w:rPr>
            </w:pPr>
            <w:r>
              <w:rPr>
                <w:rFonts w:hint="eastAsia" w:ascii="黑体" w:hAnsi="宋体" w:eastAsia="黑体" w:cs="宋体"/>
                <w:color w:val="auto"/>
                <w:kern w:val="0"/>
                <w:sz w:val="22"/>
              </w:rPr>
              <w:t>公开方式</w:t>
            </w:r>
          </w:p>
        </w:tc>
        <w:tc>
          <w:tcPr>
            <w:tcW w:w="1455" w:type="dxa"/>
            <w:gridSpan w:val="2"/>
            <w:vAlign w:val="center"/>
          </w:tcPr>
          <w:p w14:paraId="23E92E4B">
            <w:pPr>
              <w:widowControl/>
              <w:jc w:val="center"/>
              <w:rPr>
                <w:rFonts w:ascii="黑体" w:hAnsi="宋体" w:eastAsia="黑体" w:cs="宋体"/>
                <w:color w:val="auto"/>
                <w:kern w:val="0"/>
                <w:sz w:val="22"/>
              </w:rPr>
            </w:pPr>
            <w:r>
              <w:rPr>
                <w:rFonts w:hint="eastAsia" w:ascii="黑体" w:hAnsi="宋体" w:eastAsia="黑体" w:cs="宋体"/>
                <w:color w:val="auto"/>
                <w:kern w:val="0"/>
                <w:sz w:val="22"/>
              </w:rPr>
              <w:t>公开层级</w:t>
            </w:r>
          </w:p>
        </w:tc>
      </w:tr>
      <w:tr w14:paraId="07B0A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vMerge w:val="continue"/>
            <w:vAlign w:val="center"/>
          </w:tcPr>
          <w:p w14:paraId="36F4834E">
            <w:pPr>
              <w:widowControl/>
              <w:jc w:val="left"/>
              <w:rPr>
                <w:rFonts w:ascii="Times New Roman" w:hAnsi="Times New Roman"/>
                <w:color w:val="auto"/>
                <w:kern w:val="0"/>
                <w:sz w:val="22"/>
              </w:rPr>
            </w:pPr>
          </w:p>
        </w:tc>
        <w:tc>
          <w:tcPr>
            <w:tcW w:w="684" w:type="dxa"/>
            <w:vAlign w:val="center"/>
          </w:tcPr>
          <w:p w14:paraId="1F7A68D5">
            <w:pPr>
              <w:widowControl/>
              <w:jc w:val="center"/>
              <w:rPr>
                <w:rFonts w:ascii="黑体" w:hAnsi="宋体" w:eastAsia="黑体" w:cs="宋体"/>
                <w:color w:val="auto"/>
                <w:kern w:val="0"/>
                <w:sz w:val="22"/>
              </w:rPr>
            </w:pPr>
            <w:r>
              <w:rPr>
                <w:rFonts w:hint="eastAsia" w:ascii="黑体" w:hAnsi="宋体" w:eastAsia="黑体" w:cs="宋体"/>
                <w:color w:val="auto"/>
                <w:kern w:val="0"/>
                <w:sz w:val="22"/>
              </w:rPr>
              <w:t>一级事项</w:t>
            </w:r>
          </w:p>
        </w:tc>
        <w:tc>
          <w:tcPr>
            <w:tcW w:w="1509" w:type="dxa"/>
            <w:vAlign w:val="center"/>
          </w:tcPr>
          <w:p w14:paraId="2D278558">
            <w:pPr>
              <w:widowControl/>
              <w:jc w:val="center"/>
              <w:rPr>
                <w:rFonts w:ascii="黑体" w:hAnsi="宋体" w:eastAsia="黑体" w:cs="宋体"/>
                <w:color w:val="auto"/>
                <w:kern w:val="0"/>
                <w:sz w:val="22"/>
              </w:rPr>
            </w:pPr>
            <w:r>
              <w:rPr>
                <w:rFonts w:hint="eastAsia" w:ascii="黑体" w:hAnsi="宋体" w:eastAsia="黑体" w:cs="宋体"/>
                <w:color w:val="auto"/>
                <w:kern w:val="0"/>
                <w:sz w:val="22"/>
              </w:rPr>
              <w:t>二级事项</w:t>
            </w:r>
          </w:p>
        </w:tc>
        <w:tc>
          <w:tcPr>
            <w:tcW w:w="1916" w:type="dxa"/>
            <w:vMerge w:val="continue"/>
            <w:vAlign w:val="center"/>
          </w:tcPr>
          <w:p w14:paraId="10BF8D5B">
            <w:pPr>
              <w:widowControl/>
              <w:jc w:val="left"/>
              <w:rPr>
                <w:rFonts w:ascii="黑体" w:hAnsi="宋体" w:eastAsia="黑体" w:cs="宋体"/>
                <w:color w:val="auto"/>
                <w:kern w:val="0"/>
                <w:sz w:val="22"/>
              </w:rPr>
            </w:pPr>
          </w:p>
        </w:tc>
        <w:tc>
          <w:tcPr>
            <w:tcW w:w="1746" w:type="dxa"/>
            <w:vMerge w:val="continue"/>
            <w:vAlign w:val="center"/>
          </w:tcPr>
          <w:p w14:paraId="732C3C77">
            <w:pPr>
              <w:widowControl/>
              <w:jc w:val="left"/>
              <w:rPr>
                <w:rFonts w:ascii="黑体" w:hAnsi="宋体" w:eastAsia="黑体" w:cs="宋体"/>
                <w:color w:val="auto"/>
                <w:kern w:val="0"/>
                <w:sz w:val="22"/>
              </w:rPr>
            </w:pPr>
          </w:p>
        </w:tc>
        <w:tc>
          <w:tcPr>
            <w:tcW w:w="1539" w:type="dxa"/>
            <w:vMerge w:val="continue"/>
            <w:vAlign w:val="center"/>
          </w:tcPr>
          <w:p w14:paraId="0AABFD8F">
            <w:pPr>
              <w:widowControl/>
              <w:jc w:val="left"/>
              <w:rPr>
                <w:rFonts w:ascii="黑体" w:hAnsi="宋体" w:eastAsia="黑体" w:cs="宋体"/>
                <w:color w:val="auto"/>
                <w:kern w:val="0"/>
                <w:sz w:val="22"/>
              </w:rPr>
            </w:pPr>
          </w:p>
        </w:tc>
        <w:tc>
          <w:tcPr>
            <w:tcW w:w="1329" w:type="dxa"/>
            <w:vMerge w:val="continue"/>
            <w:vAlign w:val="center"/>
          </w:tcPr>
          <w:p w14:paraId="2B5D40DE">
            <w:pPr>
              <w:widowControl/>
              <w:jc w:val="left"/>
              <w:rPr>
                <w:rFonts w:ascii="黑体" w:hAnsi="宋体" w:eastAsia="黑体" w:cs="宋体"/>
                <w:color w:val="auto"/>
                <w:kern w:val="0"/>
                <w:sz w:val="22"/>
              </w:rPr>
            </w:pPr>
          </w:p>
        </w:tc>
        <w:tc>
          <w:tcPr>
            <w:tcW w:w="1342" w:type="dxa"/>
            <w:vMerge w:val="continue"/>
            <w:vAlign w:val="center"/>
          </w:tcPr>
          <w:p w14:paraId="117307AC">
            <w:pPr>
              <w:widowControl/>
              <w:jc w:val="left"/>
              <w:rPr>
                <w:rFonts w:ascii="黑体" w:hAnsi="宋体" w:eastAsia="黑体" w:cs="宋体"/>
                <w:color w:val="auto"/>
                <w:kern w:val="0"/>
                <w:sz w:val="22"/>
              </w:rPr>
            </w:pPr>
          </w:p>
        </w:tc>
        <w:tc>
          <w:tcPr>
            <w:tcW w:w="672" w:type="dxa"/>
            <w:vAlign w:val="center"/>
          </w:tcPr>
          <w:p w14:paraId="741B512E">
            <w:pPr>
              <w:widowControl/>
              <w:jc w:val="center"/>
              <w:rPr>
                <w:rFonts w:ascii="黑体" w:hAnsi="宋体" w:eastAsia="黑体" w:cs="宋体"/>
                <w:color w:val="auto"/>
                <w:kern w:val="0"/>
                <w:sz w:val="22"/>
              </w:rPr>
            </w:pPr>
            <w:r>
              <w:rPr>
                <w:rFonts w:hint="eastAsia" w:ascii="黑体" w:hAnsi="宋体" w:eastAsia="黑体" w:cs="宋体"/>
                <w:color w:val="auto"/>
                <w:kern w:val="0"/>
                <w:sz w:val="22"/>
              </w:rPr>
              <w:t>全社会</w:t>
            </w:r>
          </w:p>
        </w:tc>
        <w:tc>
          <w:tcPr>
            <w:tcW w:w="660" w:type="dxa"/>
            <w:vAlign w:val="center"/>
          </w:tcPr>
          <w:p w14:paraId="34C732B7">
            <w:pPr>
              <w:widowControl/>
              <w:jc w:val="center"/>
              <w:rPr>
                <w:rFonts w:ascii="黑体" w:hAnsi="宋体" w:eastAsia="黑体" w:cs="宋体"/>
                <w:color w:val="auto"/>
                <w:kern w:val="0"/>
                <w:sz w:val="22"/>
              </w:rPr>
            </w:pPr>
            <w:r>
              <w:rPr>
                <w:rFonts w:hint="eastAsia" w:ascii="黑体" w:hAnsi="宋体" w:eastAsia="黑体" w:cs="宋体"/>
                <w:color w:val="auto"/>
                <w:kern w:val="0"/>
                <w:sz w:val="22"/>
              </w:rPr>
              <w:t>特定群众</w:t>
            </w:r>
          </w:p>
        </w:tc>
        <w:tc>
          <w:tcPr>
            <w:tcW w:w="513" w:type="dxa"/>
            <w:vAlign w:val="center"/>
          </w:tcPr>
          <w:p w14:paraId="1CC4D290">
            <w:pPr>
              <w:widowControl/>
              <w:jc w:val="center"/>
              <w:rPr>
                <w:rFonts w:ascii="黑体" w:hAnsi="宋体" w:eastAsia="黑体" w:cs="宋体"/>
                <w:color w:val="auto"/>
                <w:kern w:val="0"/>
                <w:sz w:val="22"/>
              </w:rPr>
            </w:pPr>
            <w:r>
              <w:rPr>
                <w:rFonts w:hint="eastAsia" w:ascii="黑体" w:hAnsi="宋体" w:eastAsia="黑体" w:cs="宋体"/>
                <w:color w:val="auto"/>
                <w:kern w:val="0"/>
                <w:sz w:val="22"/>
              </w:rPr>
              <w:t>主动</w:t>
            </w:r>
          </w:p>
        </w:tc>
        <w:tc>
          <w:tcPr>
            <w:tcW w:w="672" w:type="dxa"/>
            <w:vAlign w:val="center"/>
          </w:tcPr>
          <w:p w14:paraId="6AD776E9">
            <w:pPr>
              <w:widowControl/>
              <w:jc w:val="center"/>
              <w:rPr>
                <w:rFonts w:ascii="黑体" w:hAnsi="宋体" w:eastAsia="黑体" w:cs="宋体"/>
                <w:color w:val="auto"/>
                <w:kern w:val="0"/>
                <w:sz w:val="22"/>
              </w:rPr>
            </w:pPr>
            <w:r>
              <w:rPr>
                <w:rFonts w:hint="eastAsia" w:ascii="黑体" w:hAnsi="宋体" w:eastAsia="黑体" w:cs="宋体"/>
                <w:color w:val="auto"/>
                <w:kern w:val="0"/>
                <w:sz w:val="22"/>
              </w:rPr>
              <w:t>依申请公开</w:t>
            </w:r>
          </w:p>
        </w:tc>
        <w:tc>
          <w:tcPr>
            <w:tcW w:w="671" w:type="dxa"/>
            <w:vAlign w:val="center"/>
          </w:tcPr>
          <w:p w14:paraId="5980DC8B">
            <w:pPr>
              <w:widowControl/>
              <w:jc w:val="center"/>
              <w:rPr>
                <w:rFonts w:ascii="黑体" w:hAnsi="宋体" w:eastAsia="黑体" w:cs="宋体"/>
                <w:color w:val="auto"/>
                <w:kern w:val="0"/>
                <w:sz w:val="22"/>
              </w:rPr>
            </w:pPr>
            <w:r>
              <w:rPr>
                <w:rFonts w:hint="eastAsia" w:ascii="黑体" w:hAnsi="宋体" w:eastAsia="黑体" w:cs="宋体"/>
                <w:color w:val="auto"/>
                <w:kern w:val="0"/>
                <w:sz w:val="22"/>
                <w:lang w:eastAsia="zh-CN"/>
              </w:rPr>
              <w:t>市</w:t>
            </w:r>
            <w:r>
              <w:rPr>
                <w:rFonts w:hint="eastAsia" w:ascii="黑体" w:hAnsi="宋体" w:eastAsia="黑体" w:cs="宋体"/>
                <w:color w:val="auto"/>
                <w:kern w:val="0"/>
                <w:sz w:val="22"/>
              </w:rPr>
              <w:t>级</w:t>
            </w:r>
          </w:p>
        </w:tc>
        <w:tc>
          <w:tcPr>
            <w:tcW w:w="784" w:type="dxa"/>
            <w:vAlign w:val="center"/>
          </w:tcPr>
          <w:p w14:paraId="40E1087D">
            <w:pPr>
              <w:widowControl/>
              <w:jc w:val="center"/>
              <w:rPr>
                <w:rFonts w:ascii="黑体" w:hAnsi="宋体" w:eastAsia="黑体" w:cs="宋体"/>
                <w:color w:val="auto"/>
                <w:kern w:val="0"/>
                <w:sz w:val="22"/>
              </w:rPr>
            </w:pPr>
            <w:r>
              <w:rPr>
                <w:rFonts w:hint="eastAsia" w:ascii="黑体" w:hAnsi="宋体" w:eastAsia="黑体" w:cs="宋体"/>
                <w:color w:val="auto"/>
                <w:kern w:val="0"/>
                <w:sz w:val="22"/>
                <w:lang w:eastAsia="zh-CN"/>
              </w:rPr>
              <w:t>镇（区）</w:t>
            </w:r>
            <w:r>
              <w:rPr>
                <w:rFonts w:hint="eastAsia" w:ascii="黑体" w:hAnsi="宋体" w:eastAsia="黑体" w:cs="宋体"/>
                <w:color w:val="auto"/>
                <w:kern w:val="0"/>
                <w:sz w:val="22"/>
              </w:rPr>
              <w:t>级</w:t>
            </w:r>
          </w:p>
        </w:tc>
      </w:tr>
      <w:tr w14:paraId="65E32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04" w:type="dxa"/>
            <w:vAlign w:val="center"/>
          </w:tcPr>
          <w:p w14:paraId="114E8929">
            <w:pPr>
              <w:spacing w:line="240" w:lineRule="exact"/>
              <w:jc w:val="center"/>
              <w:rPr>
                <w:rFonts w:hint="default"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1</w:t>
            </w:r>
          </w:p>
        </w:tc>
        <w:tc>
          <w:tcPr>
            <w:tcW w:w="684" w:type="dxa"/>
            <w:vAlign w:val="center"/>
          </w:tcPr>
          <w:p w14:paraId="78A61AB8">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行政</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许可</w:t>
            </w:r>
          </w:p>
        </w:tc>
        <w:tc>
          <w:tcPr>
            <w:tcW w:w="1509" w:type="dxa"/>
            <w:vAlign w:val="center"/>
          </w:tcPr>
          <w:p w14:paraId="7208B7B1">
            <w:pPr>
              <w:spacing w:line="240" w:lineRule="exact"/>
              <w:rPr>
                <w:rFonts w:hint="eastAsia" w:ascii="仿宋_GB2312" w:hAnsi="Times New Roman" w:eastAsia="仿宋_GB2312"/>
                <w:color w:val="auto"/>
                <w:sz w:val="18"/>
                <w:szCs w:val="18"/>
                <w:u w:val="none"/>
                <w:lang w:eastAsia="zh-CN"/>
              </w:rPr>
            </w:pPr>
            <w:r>
              <w:rPr>
                <w:rFonts w:hint="eastAsia" w:ascii="仿宋_GB2312" w:hAnsi="Times New Roman" w:eastAsia="仿宋_GB2312"/>
                <w:color w:val="auto"/>
                <w:sz w:val="18"/>
                <w:szCs w:val="18"/>
                <w:u w:val="none"/>
                <w:lang w:eastAsia="zh-CN"/>
              </w:rPr>
              <w:t>国内营业性演出审批</w:t>
            </w:r>
          </w:p>
          <w:p w14:paraId="1E2D40CE">
            <w:pPr>
              <w:spacing w:line="240" w:lineRule="exact"/>
              <w:rPr>
                <w:rFonts w:hint="eastAsia" w:ascii="仿宋_GB2312" w:hAnsi="Times New Roman" w:eastAsia="仿宋_GB2312"/>
                <w:color w:val="auto"/>
                <w:sz w:val="18"/>
                <w:szCs w:val="18"/>
                <w:u w:val="none"/>
              </w:rPr>
            </w:pPr>
          </w:p>
        </w:tc>
        <w:tc>
          <w:tcPr>
            <w:tcW w:w="1916" w:type="dxa"/>
            <w:vAlign w:val="center"/>
          </w:tcPr>
          <w:p w14:paraId="346D5ECC">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1.办事指南：主要包括事项名称、设定依据、申请条件、办理材料、办理地点、办理时间、联系电话、办理流程、办理期限、申请行政许可需要提交的全部材料目录及办理情况;</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2.行政许可决定。</w:t>
            </w:r>
          </w:p>
        </w:tc>
        <w:tc>
          <w:tcPr>
            <w:tcW w:w="1746" w:type="dxa"/>
            <w:vAlign w:val="center"/>
          </w:tcPr>
          <w:p w14:paraId="6DCF0651">
            <w:pPr>
              <w:spacing w:line="240" w:lineRule="exact"/>
              <w:rPr>
                <w:rFonts w:hint="eastAsia"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1.《中华人民共和国行政许可法》</w:t>
            </w:r>
          </w:p>
          <w:p w14:paraId="32DA8E9B">
            <w:pPr>
              <w:spacing w:line="240" w:lineRule="exact"/>
              <w:rPr>
                <w:rFonts w:hint="eastAsia"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2.《中华人民共和国政府信息公开条例》</w:t>
            </w:r>
          </w:p>
          <w:p w14:paraId="2DD56295">
            <w:pPr>
              <w:spacing w:line="240" w:lineRule="exact"/>
              <w:rPr>
                <w:rFonts w:hint="eastAsia"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3.《营业性演出管理条例》</w:t>
            </w:r>
          </w:p>
          <w:p w14:paraId="761DF222">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lang w:val="en-US" w:eastAsia="zh-CN"/>
              </w:rPr>
              <w:t>4.《营业性演出管理条例实施细则》</w:t>
            </w:r>
          </w:p>
        </w:tc>
        <w:tc>
          <w:tcPr>
            <w:tcW w:w="1539" w:type="dxa"/>
            <w:vAlign w:val="center"/>
          </w:tcPr>
          <w:p w14:paraId="20A57CE9">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信息形成或变更之日起</w:t>
            </w:r>
            <w:r>
              <w:rPr>
                <w:rFonts w:hint="eastAsia" w:ascii="仿宋_GB2312" w:hAnsi="Times New Roman" w:eastAsia="仿宋_GB2312"/>
                <w:color w:val="auto"/>
                <w:sz w:val="18"/>
                <w:szCs w:val="18"/>
                <w:lang w:val="en-US" w:eastAsia="zh-CN"/>
              </w:rPr>
              <w:t>7</w:t>
            </w:r>
            <w:r>
              <w:rPr>
                <w:rFonts w:hint="eastAsia" w:ascii="仿宋_GB2312" w:hAnsi="Times New Roman" w:eastAsia="仿宋_GB2312"/>
                <w:color w:val="auto"/>
                <w:sz w:val="18"/>
                <w:szCs w:val="18"/>
              </w:rPr>
              <w:t>个工作日内公开</w:t>
            </w:r>
          </w:p>
        </w:tc>
        <w:tc>
          <w:tcPr>
            <w:tcW w:w="1329" w:type="dxa"/>
            <w:vAlign w:val="center"/>
          </w:tcPr>
          <w:p w14:paraId="72C5C463">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lang w:eastAsia="zh-CN"/>
              </w:rPr>
              <w:t>相关文化和旅游主管部门</w:t>
            </w:r>
          </w:p>
        </w:tc>
        <w:tc>
          <w:tcPr>
            <w:tcW w:w="1342" w:type="dxa"/>
            <w:vAlign w:val="center"/>
          </w:tcPr>
          <w:p w14:paraId="027E947E">
            <w:pPr>
              <w:numPr>
                <w:ilvl w:val="0"/>
                <w:numId w:val="0"/>
              </w:numPr>
              <w:spacing w:line="240" w:lineRule="exact"/>
              <w:ind w:left="0" w:leftChars="0" w:firstLine="0" w:firstLineChars="0"/>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 xml:space="preserve">■政府网站       </w:t>
            </w:r>
          </w:p>
        </w:tc>
        <w:tc>
          <w:tcPr>
            <w:tcW w:w="672" w:type="dxa"/>
            <w:vAlign w:val="center"/>
          </w:tcPr>
          <w:p w14:paraId="6EDC6103">
            <w:pPr>
              <w:spacing w:line="24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w:t>
            </w:r>
          </w:p>
        </w:tc>
        <w:tc>
          <w:tcPr>
            <w:tcW w:w="660" w:type="dxa"/>
            <w:vAlign w:val="center"/>
          </w:tcPr>
          <w:p w14:paraId="7A6D88C2">
            <w:pPr>
              <w:spacing w:line="240" w:lineRule="exact"/>
              <w:jc w:val="center"/>
              <w:rPr>
                <w:rFonts w:hint="eastAsia" w:ascii="仿宋_GB2312" w:hAnsi="Times New Roman" w:eastAsia="仿宋_GB2312"/>
                <w:color w:val="auto"/>
                <w:sz w:val="18"/>
                <w:szCs w:val="18"/>
              </w:rPr>
            </w:pPr>
          </w:p>
        </w:tc>
        <w:tc>
          <w:tcPr>
            <w:tcW w:w="513" w:type="dxa"/>
            <w:vAlign w:val="center"/>
          </w:tcPr>
          <w:p w14:paraId="390BBD06">
            <w:pPr>
              <w:spacing w:line="24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w:t>
            </w:r>
          </w:p>
        </w:tc>
        <w:tc>
          <w:tcPr>
            <w:tcW w:w="672" w:type="dxa"/>
            <w:vAlign w:val="center"/>
          </w:tcPr>
          <w:p w14:paraId="6EEEE9A0">
            <w:pPr>
              <w:spacing w:line="240" w:lineRule="exact"/>
              <w:jc w:val="center"/>
              <w:rPr>
                <w:rFonts w:hint="eastAsia" w:ascii="仿宋_GB2312" w:hAnsi="Times New Roman" w:eastAsia="仿宋_GB2312"/>
                <w:color w:val="auto"/>
                <w:sz w:val="18"/>
                <w:szCs w:val="18"/>
              </w:rPr>
            </w:pPr>
          </w:p>
        </w:tc>
        <w:tc>
          <w:tcPr>
            <w:tcW w:w="671" w:type="dxa"/>
            <w:vAlign w:val="center"/>
          </w:tcPr>
          <w:p w14:paraId="67DC3A03">
            <w:pPr>
              <w:spacing w:line="240" w:lineRule="exact"/>
              <w:jc w:val="center"/>
              <w:rPr>
                <w:rFonts w:hint="eastAsia" w:ascii="仿宋_GB2312" w:hAnsi="Times New Roman" w:eastAsia="仿宋_GB2312"/>
                <w:color w:val="auto"/>
                <w:sz w:val="18"/>
                <w:szCs w:val="18"/>
              </w:rPr>
            </w:pPr>
          </w:p>
        </w:tc>
        <w:tc>
          <w:tcPr>
            <w:tcW w:w="784" w:type="dxa"/>
            <w:vAlign w:val="center"/>
          </w:tcPr>
          <w:p w14:paraId="57DDA34F">
            <w:pPr>
              <w:spacing w:line="24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w:t>
            </w:r>
          </w:p>
        </w:tc>
      </w:tr>
      <w:tr w14:paraId="61CE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vAlign w:val="center"/>
          </w:tcPr>
          <w:p w14:paraId="4F262D04">
            <w:pPr>
              <w:spacing w:line="240" w:lineRule="exact"/>
              <w:jc w:val="center"/>
              <w:rPr>
                <w:rFonts w:hint="default"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2</w:t>
            </w:r>
          </w:p>
        </w:tc>
        <w:tc>
          <w:tcPr>
            <w:tcW w:w="684" w:type="dxa"/>
            <w:vAlign w:val="center"/>
          </w:tcPr>
          <w:p w14:paraId="16BDEA79">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lang w:eastAsia="zh-CN"/>
              </w:rPr>
              <w:t>其它行政权力</w:t>
            </w:r>
          </w:p>
        </w:tc>
        <w:tc>
          <w:tcPr>
            <w:tcW w:w="1509" w:type="dxa"/>
            <w:vAlign w:val="center"/>
          </w:tcPr>
          <w:p w14:paraId="458916C5">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艺术品经营单位备案</w:t>
            </w:r>
          </w:p>
        </w:tc>
        <w:tc>
          <w:tcPr>
            <w:tcW w:w="1916" w:type="dxa"/>
            <w:vAlign w:val="center"/>
          </w:tcPr>
          <w:p w14:paraId="31BC512A">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1.办事指南：主要包括事项名称、设定依据、申请条件、办理材料、办理地点、办理时间、联系电话、办理流程、办理期限、申请行政许可需要提交的全部材料目录及办理情况;</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2.行政许可决定。</w:t>
            </w:r>
          </w:p>
        </w:tc>
        <w:tc>
          <w:tcPr>
            <w:tcW w:w="1746" w:type="dxa"/>
            <w:vAlign w:val="center"/>
          </w:tcPr>
          <w:p w14:paraId="4204F376">
            <w:pPr>
              <w:spacing w:line="240" w:lineRule="exact"/>
              <w:rPr>
                <w:rFonts w:hint="eastAsia"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1.《中华人民共和国行政许可法》</w:t>
            </w:r>
          </w:p>
          <w:p w14:paraId="03104AB8">
            <w:pPr>
              <w:spacing w:line="240" w:lineRule="exact"/>
              <w:rPr>
                <w:rFonts w:hint="eastAsia"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2.《中华人民共和国政府信息公开条例》</w:t>
            </w:r>
          </w:p>
          <w:p w14:paraId="7053FC69">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lang w:val="en-US" w:eastAsia="zh-CN"/>
              </w:rPr>
              <w:t>3.《艺术品经营管理办法》</w:t>
            </w:r>
          </w:p>
        </w:tc>
        <w:tc>
          <w:tcPr>
            <w:tcW w:w="1539" w:type="dxa"/>
            <w:vAlign w:val="center"/>
          </w:tcPr>
          <w:p w14:paraId="4F94D525">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信息形成或变更之日起</w:t>
            </w:r>
            <w:r>
              <w:rPr>
                <w:rFonts w:hint="eastAsia" w:ascii="仿宋_GB2312" w:hAnsi="Times New Roman" w:eastAsia="仿宋_GB2312"/>
                <w:color w:val="auto"/>
                <w:sz w:val="18"/>
                <w:szCs w:val="18"/>
                <w:lang w:val="en-US" w:eastAsia="zh-CN"/>
              </w:rPr>
              <w:t>7</w:t>
            </w:r>
            <w:r>
              <w:rPr>
                <w:rFonts w:hint="eastAsia" w:ascii="仿宋_GB2312" w:hAnsi="Times New Roman" w:eastAsia="仿宋_GB2312"/>
                <w:color w:val="auto"/>
                <w:sz w:val="18"/>
                <w:szCs w:val="18"/>
              </w:rPr>
              <w:t>个工作日内公开</w:t>
            </w:r>
          </w:p>
        </w:tc>
        <w:tc>
          <w:tcPr>
            <w:tcW w:w="1329" w:type="dxa"/>
            <w:vAlign w:val="center"/>
          </w:tcPr>
          <w:p w14:paraId="5E7983C2">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lang w:eastAsia="zh-CN"/>
              </w:rPr>
              <w:t>相关文化和旅游主管部门</w:t>
            </w:r>
          </w:p>
        </w:tc>
        <w:tc>
          <w:tcPr>
            <w:tcW w:w="1342" w:type="dxa"/>
            <w:vAlign w:val="center"/>
          </w:tcPr>
          <w:p w14:paraId="4481CB99">
            <w:pPr>
              <w:numPr>
                <w:ilvl w:val="0"/>
                <w:numId w:val="0"/>
              </w:numPr>
              <w:spacing w:line="240" w:lineRule="exact"/>
              <w:ind w:left="0" w:leftChars="0" w:firstLine="0" w:firstLineChars="0"/>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 xml:space="preserve">■政府网站       </w:t>
            </w:r>
          </w:p>
        </w:tc>
        <w:tc>
          <w:tcPr>
            <w:tcW w:w="672" w:type="dxa"/>
            <w:vAlign w:val="center"/>
          </w:tcPr>
          <w:p w14:paraId="5700B819">
            <w:pPr>
              <w:spacing w:line="24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w:t>
            </w:r>
          </w:p>
        </w:tc>
        <w:tc>
          <w:tcPr>
            <w:tcW w:w="660" w:type="dxa"/>
            <w:vAlign w:val="center"/>
          </w:tcPr>
          <w:p w14:paraId="284C68BD">
            <w:pPr>
              <w:spacing w:line="240" w:lineRule="exact"/>
              <w:jc w:val="center"/>
              <w:rPr>
                <w:rFonts w:hint="eastAsia" w:ascii="仿宋_GB2312" w:hAnsi="Times New Roman" w:eastAsia="仿宋_GB2312"/>
                <w:color w:val="auto"/>
                <w:sz w:val="18"/>
                <w:szCs w:val="18"/>
              </w:rPr>
            </w:pPr>
          </w:p>
        </w:tc>
        <w:tc>
          <w:tcPr>
            <w:tcW w:w="513" w:type="dxa"/>
            <w:vAlign w:val="center"/>
          </w:tcPr>
          <w:p w14:paraId="6978B9AA">
            <w:pPr>
              <w:spacing w:line="24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w:t>
            </w:r>
          </w:p>
        </w:tc>
        <w:tc>
          <w:tcPr>
            <w:tcW w:w="672" w:type="dxa"/>
            <w:vAlign w:val="center"/>
          </w:tcPr>
          <w:p w14:paraId="000C6FFA">
            <w:pPr>
              <w:spacing w:line="240" w:lineRule="exact"/>
              <w:jc w:val="center"/>
              <w:rPr>
                <w:rFonts w:hint="eastAsia" w:ascii="仿宋_GB2312" w:hAnsi="Times New Roman" w:eastAsia="仿宋_GB2312"/>
                <w:color w:val="auto"/>
                <w:sz w:val="18"/>
                <w:szCs w:val="18"/>
              </w:rPr>
            </w:pPr>
          </w:p>
        </w:tc>
        <w:tc>
          <w:tcPr>
            <w:tcW w:w="671" w:type="dxa"/>
            <w:vAlign w:val="center"/>
          </w:tcPr>
          <w:p w14:paraId="48CBDDF0">
            <w:pPr>
              <w:spacing w:line="240" w:lineRule="exact"/>
              <w:jc w:val="center"/>
              <w:rPr>
                <w:rFonts w:hint="eastAsia" w:ascii="仿宋_GB2312" w:hAnsi="Times New Roman" w:eastAsia="仿宋_GB2312"/>
                <w:color w:val="auto"/>
                <w:sz w:val="18"/>
                <w:szCs w:val="18"/>
              </w:rPr>
            </w:pPr>
          </w:p>
        </w:tc>
        <w:tc>
          <w:tcPr>
            <w:tcW w:w="784" w:type="dxa"/>
            <w:vAlign w:val="center"/>
          </w:tcPr>
          <w:p w14:paraId="5ADA63AA">
            <w:pPr>
              <w:spacing w:line="24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w:t>
            </w:r>
          </w:p>
        </w:tc>
      </w:tr>
      <w:tr w14:paraId="664B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vAlign w:val="center"/>
          </w:tcPr>
          <w:p w14:paraId="7BBF773F">
            <w:pPr>
              <w:spacing w:line="240" w:lineRule="exact"/>
              <w:jc w:val="center"/>
              <w:rPr>
                <w:rFonts w:hint="default"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3</w:t>
            </w:r>
          </w:p>
        </w:tc>
        <w:tc>
          <w:tcPr>
            <w:tcW w:w="684" w:type="dxa"/>
            <w:vAlign w:val="center"/>
          </w:tcPr>
          <w:p w14:paraId="656DED9D">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行政</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处罚</w:t>
            </w:r>
          </w:p>
        </w:tc>
        <w:tc>
          <w:tcPr>
            <w:tcW w:w="1509" w:type="dxa"/>
            <w:vAlign w:val="center"/>
          </w:tcPr>
          <w:p w14:paraId="552673D4">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对互联网上网服务营业场所违法行为的行政处罚</w:t>
            </w:r>
          </w:p>
        </w:tc>
        <w:tc>
          <w:tcPr>
            <w:tcW w:w="1916" w:type="dxa"/>
            <w:vAlign w:val="center"/>
          </w:tcPr>
          <w:p w14:paraId="31879B83">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1.主体信息；</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2.案由；</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3.处罚依据；</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4.处罚结果。</w:t>
            </w:r>
          </w:p>
        </w:tc>
        <w:tc>
          <w:tcPr>
            <w:tcW w:w="1746" w:type="dxa"/>
            <w:vAlign w:val="center"/>
          </w:tcPr>
          <w:p w14:paraId="74823705">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互联网上网服务营业场所管理条例》、《国务院关于促进市场公平竞争维护市场正常秩序的若干意见》、《国务院办公厅关于全面推行行政执法公示制度执法全过程记录制度重大执法决定法制审核制度的指导意见</w:t>
            </w:r>
          </w:p>
        </w:tc>
        <w:tc>
          <w:tcPr>
            <w:tcW w:w="1539" w:type="dxa"/>
            <w:vAlign w:val="center"/>
          </w:tcPr>
          <w:p w14:paraId="26D886FF">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执法决定信息在决定作出之日起7个工作日内公开，其他相关信息形成或变更之日起20个工作日内公开</w:t>
            </w:r>
          </w:p>
        </w:tc>
        <w:tc>
          <w:tcPr>
            <w:tcW w:w="1329" w:type="dxa"/>
            <w:vAlign w:val="center"/>
          </w:tcPr>
          <w:p w14:paraId="77697DAE">
            <w:pPr>
              <w:pStyle w:val="3"/>
              <w:rPr>
                <w:rFonts w:hint="default" w:eastAsia="宋体"/>
                <w:color w:val="auto"/>
                <w:lang w:val="en-US" w:eastAsia="zh-CN"/>
              </w:rPr>
            </w:pPr>
            <w:r>
              <w:rPr>
                <w:rFonts w:hint="eastAsia" w:ascii="仿宋_GB2312" w:hAnsi="Times New Roman" w:eastAsia="仿宋_GB2312"/>
                <w:color w:val="auto"/>
                <w:sz w:val="18"/>
                <w:szCs w:val="18"/>
              </w:rPr>
              <w:t>南头镇综合行政执法局</w:t>
            </w:r>
          </w:p>
          <w:p w14:paraId="4B7E864A">
            <w:pPr>
              <w:spacing w:line="240" w:lineRule="exact"/>
              <w:rPr>
                <w:rFonts w:ascii="仿宋_GB2312" w:hAnsi="Times New Roman" w:eastAsia="仿宋_GB2312"/>
                <w:color w:val="auto"/>
                <w:sz w:val="18"/>
                <w:szCs w:val="18"/>
              </w:rPr>
            </w:pPr>
          </w:p>
        </w:tc>
        <w:tc>
          <w:tcPr>
            <w:tcW w:w="1342" w:type="dxa"/>
            <w:vAlign w:val="center"/>
          </w:tcPr>
          <w:p w14:paraId="65D4BB6D">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■政府网站</w:t>
            </w:r>
          </w:p>
        </w:tc>
        <w:tc>
          <w:tcPr>
            <w:tcW w:w="672" w:type="dxa"/>
            <w:vAlign w:val="center"/>
          </w:tcPr>
          <w:p w14:paraId="5A982E29">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rPr>
              <w:t>√</w:t>
            </w:r>
          </w:p>
        </w:tc>
        <w:tc>
          <w:tcPr>
            <w:tcW w:w="660" w:type="dxa"/>
            <w:vAlign w:val="center"/>
          </w:tcPr>
          <w:p w14:paraId="44D62AEC">
            <w:pPr>
              <w:spacing w:line="240" w:lineRule="exact"/>
              <w:jc w:val="center"/>
              <w:rPr>
                <w:rFonts w:ascii="仿宋_GB2312" w:hAnsi="Times New Roman" w:eastAsia="仿宋_GB2312"/>
                <w:color w:val="auto"/>
                <w:sz w:val="18"/>
                <w:szCs w:val="18"/>
              </w:rPr>
            </w:pPr>
          </w:p>
        </w:tc>
        <w:tc>
          <w:tcPr>
            <w:tcW w:w="513" w:type="dxa"/>
            <w:vAlign w:val="center"/>
          </w:tcPr>
          <w:p w14:paraId="1307C0D4">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rPr>
              <w:t>√</w:t>
            </w:r>
          </w:p>
        </w:tc>
        <w:tc>
          <w:tcPr>
            <w:tcW w:w="672" w:type="dxa"/>
            <w:vAlign w:val="center"/>
          </w:tcPr>
          <w:p w14:paraId="48E09EFB">
            <w:pPr>
              <w:spacing w:line="240" w:lineRule="exact"/>
              <w:jc w:val="center"/>
              <w:rPr>
                <w:rFonts w:ascii="仿宋_GB2312" w:hAnsi="Times New Roman" w:eastAsia="仿宋_GB2312"/>
                <w:color w:val="auto"/>
                <w:sz w:val="18"/>
                <w:szCs w:val="18"/>
              </w:rPr>
            </w:pPr>
          </w:p>
        </w:tc>
        <w:tc>
          <w:tcPr>
            <w:tcW w:w="671" w:type="dxa"/>
            <w:vAlign w:val="center"/>
          </w:tcPr>
          <w:p w14:paraId="389B3A9B">
            <w:pPr>
              <w:spacing w:line="240" w:lineRule="exact"/>
              <w:jc w:val="center"/>
              <w:rPr>
                <w:rFonts w:ascii="仿宋_GB2312" w:hAnsi="Times New Roman" w:eastAsia="仿宋_GB2312"/>
                <w:color w:val="auto"/>
                <w:sz w:val="18"/>
                <w:szCs w:val="18"/>
              </w:rPr>
            </w:pPr>
          </w:p>
        </w:tc>
        <w:tc>
          <w:tcPr>
            <w:tcW w:w="784" w:type="dxa"/>
            <w:vAlign w:val="center"/>
          </w:tcPr>
          <w:p w14:paraId="3D5B5156">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rPr>
              <w:t>√</w:t>
            </w:r>
          </w:p>
        </w:tc>
      </w:tr>
      <w:tr w14:paraId="5730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vAlign w:val="center"/>
          </w:tcPr>
          <w:p w14:paraId="4E0B0F49">
            <w:pPr>
              <w:spacing w:line="240" w:lineRule="exact"/>
              <w:jc w:val="center"/>
              <w:rPr>
                <w:rFonts w:hint="default"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4</w:t>
            </w:r>
          </w:p>
        </w:tc>
        <w:tc>
          <w:tcPr>
            <w:tcW w:w="684" w:type="dxa"/>
            <w:vAlign w:val="center"/>
          </w:tcPr>
          <w:p w14:paraId="2615F2BD">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行政</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处罚</w:t>
            </w:r>
          </w:p>
        </w:tc>
        <w:tc>
          <w:tcPr>
            <w:tcW w:w="1509" w:type="dxa"/>
            <w:vAlign w:val="center"/>
          </w:tcPr>
          <w:p w14:paraId="0075E2FB">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对娱乐场所违法行为的行政处罚</w:t>
            </w:r>
          </w:p>
        </w:tc>
        <w:tc>
          <w:tcPr>
            <w:tcW w:w="1916" w:type="dxa"/>
            <w:vAlign w:val="center"/>
          </w:tcPr>
          <w:p w14:paraId="624124BF">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1.主体信息；</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2.案由；</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3.处罚依据；</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4.处罚结果</w:t>
            </w:r>
          </w:p>
        </w:tc>
        <w:tc>
          <w:tcPr>
            <w:tcW w:w="1746" w:type="dxa"/>
            <w:vAlign w:val="center"/>
          </w:tcPr>
          <w:p w14:paraId="37385064">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娱乐场所管理条例》、《国务院关于促进市场公平竞争维护市场正常秩序的若干意见》、《国务院办公厅关于全面推行行政执法公示制度执法全过程记录制度重大执法决定法制审核制度的指导意见》、《娱乐场所管理办法》</w:t>
            </w:r>
          </w:p>
        </w:tc>
        <w:tc>
          <w:tcPr>
            <w:tcW w:w="1539" w:type="dxa"/>
            <w:vAlign w:val="center"/>
          </w:tcPr>
          <w:p w14:paraId="3783E54D">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执法决定信息在决定作出之日起7个工作日内公开，其他相关信息形成或变更之日起20个工作日内公开</w:t>
            </w:r>
          </w:p>
        </w:tc>
        <w:tc>
          <w:tcPr>
            <w:tcW w:w="1329" w:type="dxa"/>
            <w:vAlign w:val="center"/>
          </w:tcPr>
          <w:p w14:paraId="71685BEA">
            <w:pPr>
              <w:pStyle w:val="3"/>
              <w:rPr>
                <w:rFonts w:hint="default" w:eastAsia="宋体"/>
                <w:color w:val="auto"/>
                <w:lang w:val="en-US" w:eastAsia="zh-CN"/>
              </w:rPr>
            </w:pPr>
            <w:r>
              <w:rPr>
                <w:rFonts w:hint="eastAsia" w:ascii="仿宋_GB2312" w:hAnsi="Times New Roman" w:eastAsia="仿宋_GB2312"/>
                <w:color w:val="auto"/>
                <w:sz w:val="18"/>
                <w:szCs w:val="18"/>
              </w:rPr>
              <w:t>南头镇综合行政执法局</w:t>
            </w:r>
          </w:p>
          <w:p w14:paraId="729B2694">
            <w:pPr>
              <w:spacing w:line="240" w:lineRule="exact"/>
              <w:rPr>
                <w:rFonts w:ascii="仿宋_GB2312" w:hAnsi="Times New Roman" w:eastAsia="仿宋_GB2312"/>
                <w:color w:val="auto"/>
                <w:sz w:val="18"/>
                <w:szCs w:val="18"/>
              </w:rPr>
            </w:pPr>
          </w:p>
        </w:tc>
        <w:tc>
          <w:tcPr>
            <w:tcW w:w="1342" w:type="dxa"/>
            <w:vAlign w:val="center"/>
          </w:tcPr>
          <w:p w14:paraId="330C63D7">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 xml:space="preserve">■政府网站 </w:t>
            </w:r>
          </w:p>
        </w:tc>
        <w:tc>
          <w:tcPr>
            <w:tcW w:w="672" w:type="dxa"/>
            <w:vAlign w:val="center"/>
          </w:tcPr>
          <w:p w14:paraId="3F07B37F">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rPr>
              <w:t>√</w:t>
            </w:r>
          </w:p>
        </w:tc>
        <w:tc>
          <w:tcPr>
            <w:tcW w:w="660" w:type="dxa"/>
            <w:vAlign w:val="center"/>
          </w:tcPr>
          <w:p w14:paraId="288E1065">
            <w:pPr>
              <w:spacing w:line="240" w:lineRule="exact"/>
              <w:jc w:val="center"/>
              <w:rPr>
                <w:rFonts w:ascii="仿宋_GB2312" w:hAnsi="Times New Roman" w:eastAsia="仿宋_GB2312"/>
                <w:color w:val="auto"/>
                <w:sz w:val="18"/>
                <w:szCs w:val="18"/>
              </w:rPr>
            </w:pPr>
          </w:p>
        </w:tc>
        <w:tc>
          <w:tcPr>
            <w:tcW w:w="513" w:type="dxa"/>
            <w:vAlign w:val="center"/>
          </w:tcPr>
          <w:p w14:paraId="20BB83D9">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rPr>
              <w:t>√</w:t>
            </w:r>
          </w:p>
        </w:tc>
        <w:tc>
          <w:tcPr>
            <w:tcW w:w="672" w:type="dxa"/>
            <w:vAlign w:val="center"/>
          </w:tcPr>
          <w:p w14:paraId="6A73D1D1">
            <w:pPr>
              <w:spacing w:line="240" w:lineRule="exact"/>
              <w:jc w:val="center"/>
              <w:rPr>
                <w:rFonts w:ascii="仿宋_GB2312" w:hAnsi="Times New Roman" w:eastAsia="仿宋_GB2312"/>
                <w:color w:val="auto"/>
                <w:sz w:val="18"/>
                <w:szCs w:val="18"/>
              </w:rPr>
            </w:pPr>
          </w:p>
        </w:tc>
        <w:tc>
          <w:tcPr>
            <w:tcW w:w="671" w:type="dxa"/>
            <w:vAlign w:val="center"/>
          </w:tcPr>
          <w:p w14:paraId="4AFA9BA5">
            <w:pPr>
              <w:spacing w:line="240" w:lineRule="exact"/>
              <w:jc w:val="center"/>
              <w:rPr>
                <w:rFonts w:ascii="仿宋_GB2312" w:hAnsi="Times New Roman" w:eastAsia="仿宋_GB2312"/>
                <w:color w:val="auto"/>
                <w:sz w:val="18"/>
                <w:szCs w:val="18"/>
              </w:rPr>
            </w:pPr>
          </w:p>
        </w:tc>
        <w:tc>
          <w:tcPr>
            <w:tcW w:w="784" w:type="dxa"/>
            <w:vAlign w:val="center"/>
          </w:tcPr>
          <w:p w14:paraId="613769CC">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rPr>
              <w:t>√</w:t>
            </w:r>
          </w:p>
        </w:tc>
      </w:tr>
      <w:tr w14:paraId="09B6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vAlign w:val="center"/>
          </w:tcPr>
          <w:p w14:paraId="0A0F2372">
            <w:pPr>
              <w:spacing w:line="240" w:lineRule="exact"/>
              <w:jc w:val="center"/>
              <w:rPr>
                <w:rFonts w:hint="default"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5</w:t>
            </w:r>
          </w:p>
        </w:tc>
        <w:tc>
          <w:tcPr>
            <w:tcW w:w="684" w:type="dxa"/>
            <w:vAlign w:val="center"/>
          </w:tcPr>
          <w:p w14:paraId="505144CE">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行政</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处罚</w:t>
            </w:r>
          </w:p>
        </w:tc>
        <w:tc>
          <w:tcPr>
            <w:tcW w:w="1509" w:type="dxa"/>
            <w:vAlign w:val="center"/>
          </w:tcPr>
          <w:p w14:paraId="0BD06F51">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对营业性演出违法行为的行政处罚</w:t>
            </w:r>
          </w:p>
        </w:tc>
        <w:tc>
          <w:tcPr>
            <w:tcW w:w="1916" w:type="dxa"/>
            <w:vAlign w:val="center"/>
          </w:tcPr>
          <w:p w14:paraId="3B1FFD63">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1.主体信息；</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2.案由；</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3.处罚依据；</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4.处罚结果</w:t>
            </w:r>
          </w:p>
        </w:tc>
        <w:tc>
          <w:tcPr>
            <w:tcW w:w="1746" w:type="dxa"/>
            <w:vAlign w:val="center"/>
          </w:tcPr>
          <w:p w14:paraId="74E277A6">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营业性演出管理条例》、《国务院关于促进市场公平竞争维护市场正常秩序的若干意见》、《国务院办公厅关于全面推行行政执法公示制度执法全过程记录制度重大执法决定法制审核制度的指导意见》、《营业性演出管理条例实施细则》</w:t>
            </w:r>
          </w:p>
        </w:tc>
        <w:tc>
          <w:tcPr>
            <w:tcW w:w="1539" w:type="dxa"/>
            <w:vAlign w:val="center"/>
          </w:tcPr>
          <w:p w14:paraId="0C607E1D">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执法决定信息在决定作出之日起7个工作日内公开，其他相关信息形成或变更之日起20个工作日内公开</w:t>
            </w:r>
          </w:p>
        </w:tc>
        <w:tc>
          <w:tcPr>
            <w:tcW w:w="1329" w:type="dxa"/>
            <w:vAlign w:val="center"/>
          </w:tcPr>
          <w:p w14:paraId="1CBB14F6">
            <w:pPr>
              <w:pStyle w:val="3"/>
              <w:rPr>
                <w:rFonts w:hint="default" w:eastAsia="宋体"/>
                <w:color w:val="auto"/>
                <w:lang w:val="en-US" w:eastAsia="zh-CN"/>
              </w:rPr>
            </w:pPr>
            <w:r>
              <w:rPr>
                <w:rFonts w:hint="eastAsia" w:ascii="仿宋_GB2312" w:hAnsi="Times New Roman" w:eastAsia="仿宋_GB2312"/>
                <w:color w:val="auto"/>
                <w:sz w:val="18"/>
                <w:szCs w:val="18"/>
              </w:rPr>
              <w:t>南头镇综合行政执法局</w:t>
            </w:r>
          </w:p>
          <w:p w14:paraId="55A2F6F0">
            <w:pPr>
              <w:spacing w:line="240" w:lineRule="exact"/>
              <w:rPr>
                <w:rFonts w:hint="eastAsia" w:ascii="仿宋_GB2312" w:hAnsi="Times New Roman" w:eastAsia="仿宋_GB2312"/>
                <w:color w:val="auto"/>
                <w:sz w:val="18"/>
                <w:szCs w:val="18"/>
              </w:rPr>
            </w:pPr>
          </w:p>
        </w:tc>
        <w:tc>
          <w:tcPr>
            <w:tcW w:w="1342" w:type="dxa"/>
            <w:vAlign w:val="center"/>
          </w:tcPr>
          <w:p w14:paraId="1E4142B9">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■政府网站</w:t>
            </w:r>
          </w:p>
        </w:tc>
        <w:tc>
          <w:tcPr>
            <w:tcW w:w="672" w:type="dxa"/>
            <w:vAlign w:val="center"/>
          </w:tcPr>
          <w:p w14:paraId="31715010">
            <w:pPr>
              <w:spacing w:line="24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w:t>
            </w:r>
          </w:p>
        </w:tc>
        <w:tc>
          <w:tcPr>
            <w:tcW w:w="660" w:type="dxa"/>
            <w:vAlign w:val="center"/>
          </w:tcPr>
          <w:p w14:paraId="011D4EA8">
            <w:pPr>
              <w:spacing w:line="240" w:lineRule="exact"/>
              <w:jc w:val="center"/>
              <w:rPr>
                <w:rFonts w:hint="eastAsia" w:ascii="仿宋_GB2312" w:hAnsi="Times New Roman" w:eastAsia="仿宋_GB2312"/>
                <w:color w:val="auto"/>
                <w:sz w:val="18"/>
                <w:szCs w:val="18"/>
              </w:rPr>
            </w:pPr>
          </w:p>
        </w:tc>
        <w:tc>
          <w:tcPr>
            <w:tcW w:w="513" w:type="dxa"/>
            <w:vAlign w:val="center"/>
          </w:tcPr>
          <w:p w14:paraId="7730F21E">
            <w:pPr>
              <w:spacing w:line="24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w:t>
            </w:r>
          </w:p>
        </w:tc>
        <w:tc>
          <w:tcPr>
            <w:tcW w:w="672" w:type="dxa"/>
            <w:vAlign w:val="center"/>
          </w:tcPr>
          <w:p w14:paraId="39876667">
            <w:pPr>
              <w:spacing w:line="240" w:lineRule="exact"/>
              <w:jc w:val="center"/>
              <w:rPr>
                <w:rFonts w:hint="eastAsia" w:ascii="仿宋_GB2312" w:hAnsi="Times New Roman" w:eastAsia="仿宋_GB2312"/>
                <w:color w:val="auto"/>
                <w:sz w:val="18"/>
                <w:szCs w:val="18"/>
              </w:rPr>
            </w:pPr>
          </w:p>
        </w:tc>
        <w:tc>
          <w:tcPr>
            <w:tcW w:w="671" w:type="dxa"/>
            <w:vAlign w:val="center"/>
          </w:tcPr>
          <w:p w14:paraId="0B314A31">
            <w:pPr>
              <w:spacing w:line="240" w:lineRule="exact"/>
              <w:jc w:val="center"/>
              <w:rPr>
                <w:rFonts w:hint="eastAsia" w:ascii="仿宋_GB2312" w:hAnsi="Times New Roman" w:eastAsia="仿宋_GB2312"/>
                <w:color w:val="auto"/>
                <w:sz w:val="18"/>
                <w:szCs w:val="18"/>
              </w:rPr>
            </w:pPr>
          </w:p>
        </w:tc>
        <w:tc>
          <w:tcPr>
            <w:tcW w:w="784" w:type="dxa"/>
            <w:vAlign w:val="center"/>
          </w:tcPr>
          <w:p w14:paraId="084623D6">
            <w:pPr>
              <w:spacing w:line="24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w:t>
            </w:r>
          </w:p>
        </w:tc>
      </w:tr>
      <w:tr w14:paraId="07DB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vAlign w:val="center"/>
          </w:tcPr>
          <w:p w14:paraId="2DBC1EFE">
            <w:pPr>
              <w:spacing w:line="240" w:lineRule="exact"/>
              <w:jc w:val="center"/>
              <w:rPr>
                <w:rFonts w:hint="default"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6</w:t>
            </w:r>
          </w:p>
        </w:tc>
        <w:tc>
          <w:tcPr>
            <w:tcW w:w="684" w:type="dxa"/>
            <w:vAlign w:val="center"/>
          </w:tcPr>
          <w:p w14:paraId="0534A3E5">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行政</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强制</w:t>
            </w:r>
          </w:p>
        </w:tc>
        <w:tc>
          <w:tcPr>
            <w:tcW w:w="1509" w:type="dxa"/>
            <w:vAlign w:val="center"/>
          </w:tcPr>
          <w:p w14:paraId="2DD3AE42">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对擅自从事互联网上网服务经营活动场所的查封，专用工具、设备的扣押</w:t>
            </w:r>
          </w:p>
        </w:tc>
        <w:tc>
          <w:tcPr>
            <w:tcW w:w="1916" w:type="dxa"/>
            <w:vAlign w:val="center"/>
          </w:tcPr>
          <w:p w14:paraId="787D556F">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1.主体信息；</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2.案由；</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3.处理依据；</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4.处理结果。</w:t>
            </w:r>
          </w:p>
        </w:tc>
        <w:tc>
          <w:tcPr>
            <w:tcW w:w="1746" w:type="dxa"/>
            <w:vAlign w:val="center"/>
          </w:tcPr>
          <w:p w14:paraId="2F1E7730">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w:t>
            </w:r>
            <w:r>
              <w:rPr>
                <w:rFonts w:hint="eastAsia" w:ascii="仿宋_GB2312" w:hAnsi="Times New Roman" w:eastAsia="仿宋_GB2312"/>
                <w:color w:val="auto"/>
                <w:sz w:val="18"/>
                <w:szCs w:val="18"/>
                <w:lang w:eastAsia="zh-CN"/>
              </w:rPr>
              <w:t>中华人民共和国政府信息公开条例</w:t>
            </w:r>
            <w:r>
              <w:rPr>
                <w:rFonts w:hint="eastAsia" w:ascii="仿宋_GB2312" w:hAnsi="Times New Roman" w:eastAsia="仿宋_GB2312"/>
                <w:color w:val="auto"/>
                <w:sz w:val="18"/>
                <w:szCs w:val="18"/>
              </w:rPr>
              <w:t>》、《互联网上网服务营业场所管理条例》、《国务院关于促进市场公平竞争维护市场正常秩序的若干意见》、《国务院办公厅关于全面推行行政执法公示制度执法全过程记录制度重大执法决定法制审核制度的指导意见》</w:t>
            </w:r>
          </w:p>
        </w:tc>
        <w:tc>
          <w:tcPr>
            <w:tcW w:w="1539" w:type="dxa"/>
            <w:vAlign w:val="center"/>
          </w:tcPr>
          <w:p w14:paraId="00459BE8">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信息形成或变更之日起20个工作日内公开</w:t>
            </w:r>
          </w:p>
        </w:tc>
        <w:tc>
          <w:tcPr>
            <w:tcW w:w="1329" w:type="dxa"/>
            <w:vAlign w:val="center"/>
          </w:tcPr>
          <w:p w14:paraId="01736CF9">
            <w:pPr>
              <w:pStyle w:val="3"/>
              <w:rPr>
                <w:rFonts w:hint="default" w:eastAsia="宋体"/>
                <w:color w:val="auto"/>
                <w:lang w:val="en-US" w:eastAsia="zh-CN"/>
              </w:rPr>
            </w:pPr>
            <w:r>
              <w:rPr>
                <w:rFonts w:hint="eastAsia" w:ascii="仿宋_GB2312" w:hAnsi="Times New Roman" w:eastAsia="仿宋_GB2312"/>
                <w:color w:val="auto"/>
                <w:sz w:val="18"/>
                <w:szCs w:val="18"/>
              </w:rPr>
              <w:t>南头镇综合行政执法局</w:t>
            </w:r>
          </w:p>
          <w:p w14:paraId="7047272E">
            <w:pPr>
              <w:spacing w:line="240" w:lineRule="exact"/>
              <w:rPr>
                <w:rFonts w:hint="eastAsia" w:ascii="仿宋_GB2312" w:hAnsi="Times New Roman" w:eastAsia="仿宋_GB2312"/>
                <w:color w:val="auto"/>
                <w:sz w:val="18"/>
                <w:szCs w:val="18"/>
                <w:lang w:eastAsia="zh-CN"/>
              </w:rPr>
            </w:pPr>
          </w:p>
        </w:tc>
        <w:tc>
          <w:tcPr>
            <w:tcW w:w="1342" w:type="dxa"/>
            <w:vAlign w:val="center"/>
          </w:tcPr>
          <w:p w14:paraId="014DB661">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 xml:space="preserve">■政府网站 </w:t>
            </w:r>
          </w:p>
        </w:tc>
        <w:tc>
          <w:tcPr>
            <w:tcW w:w="672" w:type="dxa"/>
            <w:vAlign w:val="center"/>
          </w:tcPr>
          <w:p w14:paraId="7554C2AB">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rPr>
              <w:t>√</w:t>
            </w:r>
          </w:p>
        </w:tc>
        <w:tc>
          <w:tcPr>
            <w:tcW w:w="660" w:type="dxa"/>
            <w:vAlign w:val="center"/>
          </w:tcPr>
          <w:p w14:paraId="4C9D1568">
            <w:pPr>
              <w:spacing w:line="240" w:lineRule="exact"/>
              <w:jc w:val="center"/>
              <w:rPr>
                <w:rFonts w:ascii="仿宋_GB2312" w:hAnsi="Times New Roman" w:eastAsia="仿宋_GB2312"/>
                <w:color w:val="auto"/>
                <w:sz w:val="18"/>
                <w:szCs w:val="18"/>
              </w:rPr>
            </w:pPr>
          </w:p>
        </w:tc>
        <w:tc>
          <w:tcPr>
            <w:tcW w:w="513" w:type="dxa"/>
            <w:vAlign w:val="center"/>
          </w:tcPr>
          <w:p w14:paraId="24FDBBF7">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rPr>
              <w:t>√</w:t>
            </w:r>
          </w:p>
        </w:tc>
        <w:tc>
          <w:tcPr>
            <w:tcW w:w="672" w:type="dxa"/>
            <w:vAlign w:val="center"/>
          </w:tcPr>
          <w:p w14:paraId="29EB3992">
            <w:pPr>
              <w:spacing w:line="240" w:lineRule="exact"/>
              <w:jc w:val="center"/>
              <w:rPr>
                <w:rFonts w:ascii="仿宋_GB2312" w:hAnsi="Times New Roman" w:eastAsia="仿宋_GB2312"/>
                <w:color w:val="auto"/>
                <w:sz w:val="18"/>
                <w:szCs w:val="18"/>
              </w:rPr>
            </w:pPr>
          </w:p>
        </w:tc>
        <w:tc>
          <w:tcPr>
            <w:tcW w:w="671" w:type="dxa"/>
            <w:vAlign w:val="center"/>
          </w:tcPr>
          <w:p w14:paraId="41018B7B">
            <w:pPr>
              <w:spacing w:line="240" w:lineRule="exact"/>
              <w:jc w:val="center"/>
              <w:rPr>
                <w:rFonts w:ascii="仿宋_GB2312" w:hAnsi="Times New Roman" w:eastAsia="仿宋_GB2312"/>
                <w:color w:val="auto"/>
                <w:sz w:val="18"/>
                <w:szCs w:val="18"/>
              </w:rPr>
            </w:pPr>
          </w:p>
        </w:tc>
        <w:tc>
          <w:tcPr>
            <w:tcW w:w="784" w:type="dxa"/>
            <w:vAlign w:val="center"/>
          </w:tcPr>
          <w:p w14:paraId="1ED35685">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rPr>
              <w:t>√</w:t>
            </w:r>
          </w:p>
        </w:tc>
      </w:tr>
      <w:tr w14:paraId="6526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vAlign w:val="center"/>
          </w:tcPr>
          <w:p w14:paraId="5D2B7B67">
            <w:pPr>
              <w:spacing w:line="240" w:lineRule="exact"/>
              <w:jc w:val="center"/>
              <w:rPr>
                <w:rFonts w:hint="default"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7</w:t>
            </w:r>
          </w:p>
        </w:tc>
        <w:tc>
          <w:tcPr>
            <w:tcW w:w="684" w:type="dxa"/>
            <w:vAlign w:val="center"/>
          </w:tcPr>
          <w:p w14:paraId="7837E7EB">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公共</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服务</w:t>
            </w:r>
          </w:p>
        </w:tc>
        <w:tc>
          <w:tcPr>
            <w:tcW w:w="1509" w:type="dxa"/>
            <w:vAlign w:val="center"/>
          </w:tcPr>
          <w:p w14:paraId="0677C005">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公共文化机构免费开放信息</w:t>
            </w:r>
          </w:p>
        </w:tc>
        <w:tc>
          <w:tcPr>
            <w:tcW w:w="1916" w:type="dxa"/>
            <w:vAlign w:val="center"/>
          </w:tcPr>
          <w:p w14:paraId="4C9EA083">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1.机构名称；</w:t>
            </w:r>
            <w:r>
              <w:rPr>
                <w:rFonts w:hint="eastAsia" w:ascii="仿宋_GB2312" w:hAnsi="Times New Roman" w:eastAsia="仿宋_GB2312"/>
                <w:color w:val="auto"/>
                <w:sz w:val="18"/>
                <w:szCs w:val="18"/>
                <w:highlight w:val="none"/>
              </w:rPr>
              <w:br w:type="textWrapping"/>
            </w:r>
            <w:r>
              <w:rPr>
                <w:rFonts w:hint="eastAsia" w:ascii="仿宋_GB2312" w:hAnsi="Times New Roman" w:eastAsia="仿宋_GB2312"/>
                <w:color w:val="auto"/>
                <w:sz w:val="18"/>
                <w:szCs w:val="18"/>
                <w:highlight w:val="none"/>
              </w:rPr>
              <w:t>2.开放时间；</w:t>
            </w:r>
            <w:r>
              <w:rPr>
                <w:rFonts w:hint="eastAsia" w:ascii="仿宋_GB2312" w:hAnsi="Times New Roman" w:eastAsia="仿宋_GB2312"/>
                <w:color w:val="auto"/>
                <w:sz w:val="18"/>
                <w:szCs w:val="18"/>
                <w:highlight w:val="none"/>
              </w:rPr>
              <w:br w:type="textWrapping"/>
            </w:r>
            <w:r>
              <w:rPr>
                <w:rFonts w:hint="eastAsia" w:ascii="仿宋_GB2312" w:hAnsi="Times New Roman" w:eastAsia="仿宋_GB2312"/>
                <w:color w:val="auto"/>
                <w:sz w:val="18"/>
                <w:szCs w:val="18"/>
                <w:highlight w:val="none"/>
              </w:rPr>
              <w:t>3.机构地址；</w:t>
            </w:r>
            <w:r>
              <w:rPr>
                <w:rFonts w:hint="eastAsia" w:ascii="仿宋_GB2312" w:hAnsi="Times New Roman" w:eastAsia="仿宋_GB2312"/>
                <w:color w:val="auto"/>
                <w:sz w:val="18"/>
                <w:szCs w:val="18"/>
                <w:highlight w:val="none"/>
              </w:rPr>
              <w:br w:type="textWrapping"/>
            </w:r>
            <w:r>
              <w:rPr>
                <w:rFonts w:hint="eastAsia" w:ascii="仿宋_GB2312" w:hAnsi="Times New Roman" w:eastAsia="仿宋_GB2312"/>
                <w:color w:val="auto"/>
                <w:sz w:val="18"/>
                <w:szCs w:val="18"/>
                <w:highlight w:val="none"/>
              </w:rPr>
              <w:t>4.联系电话；</w:t>
            </w:r>
            <w:r>
              <w:rPr>
                <w:rFonts w:hint="eastAsia" w:ascii="仿宋_GB2312" w:hAnsi="Times New Roman" w:eastAsia="仿宋_GB2312"/>
                <w:color w:val="auto"/>
                <w:sz w:val="18"/>
                <w:szCs w:val="18"/>
                <w:highlight w:val="none"/>
              </w:rPr>
              <w:br w:type="textWrapping"/>
            </w:r>
            <w:r>
              <w:rPr>
                <w:rFonts w:hint="eastAsia" w:ascii="仿宋_GB2312" w:hAnsi="Times New Roman" w:eastAsia="仿宋_GB2312"/>
                <w:color w:val="auto"/>
                <w:sz w:val="18"/>
                <w:szCs w:val="18"/>
                <w:highlight w:val="none"/>
              </w:rPr>
              <w:t>5.临时停止开放信息。</w:t>
            </w:r>
          </w:p>
        </w:tc>
        <w:tc>
          <w:tcPr>
            <w:tcW w:w="1746" w:type="dxa"/>
            <w:vAlign w:val="center"/>
          </w:tcPr>
          <w:p w14:paraId="297266C7">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《中华人民共和国公共文化服务保障法》、《</w:t>
            </w:r>
            <w:r>
              <w:rPr>
                <w:rFonts w:hint="eastAsia" w:ascii="仿宋_GB2312" w:hAnsi="Times New Roman" w:eastAsia="仿宋_GB2312"/>
                <w:color w:val="auto"/>
                <w:sz w:val="18"/>
                <w:szCs w:val="18"/>
                <w:highlight w:val="none"/>
                <w:lang w:eastAsia="zh-CN"/>
              </w:rPr>
              <w:t>中华人民共和国政府信息公开条例</w:t>
            </w:r>
            <w:r>
              <w:rPr>
                <w:rFonts w:hint="eastAsia" w:ascii="仿宋_GB2312" w:hAnsi="Times New Roman" w:eastAsia="仿宋_GB2312"/>
                <w:color w:val="auto"/>
                <w:sz w:val="18"/>
                <w:szCs w:val="18"/>
                <w:highlight w:val="none"/>
              </w:rPr>
              <w:t>》、《</w:t>
            </w:r>
            <w:bookmarkStart w:id="1" w:name="_GoBack"/>
            <w:bookmarkEnd w:id="1"/>
            <w:r>
              <w:rPr>
                <w:rFonts w:hint="eastAsia" w:ascii="仿宋_GB2312" w:hAnsi="Times New Roman" w:eastAsia="仿宋_GB2312"/>
                <w:color w:val="auto"/>
                <w:sz w:val="18"/>
                <w:szCs w:val="18"/>
                <w:highlight w:val="none"/>
                <w:lang w:eastAsia="zh-CN"/>
              </w:rPr>
              <w:t>文化和旅游部</w:t>
            </w:r>
            <w:r>
              <w:rPr>
                <w:rFonts w:hint="eastAsia" w:ascii="仿宋_GB2312" w:hAnsi="Times New Roman" w:eastAsia="仿宋_GB2312"/>
                <w:color w:val="auto"/>
                <w:sz w:val="18"/>
                <w:szCs w:val="18"/>
                <w:highlight w:val="none"/>
              </w:rPr>
              <w:t xml:space="preserve"> 财政部关于推进全国美术馆、公共图书馆、文化馆（站）免费开放工作的意见》、《</w:t>
            </w:r>
            <w:r>
              <w:rPr>
                <w:rFonts w:hint="eastAsia" w:ascii="仿宋_GB2312" w:hAnsi="Times New Roman" w:eastAsia="仿宋_GB2312"/>
                <w:color w:val="auto"/>
                <w:sz w:val="18"/>
                <w:szCs w:val="18"/>
                <w:highlight w:val="none"/>
                <w:lang w:eastAsia="zh-CN"/>
              </w:rPr>
              <w:t>文化和旅游部</w:t>
            </w:r>
            <w:r>
              <w:rPr>
                <w:rFonts w:hint="eastAsia" w:ascii="仿宋_GB2312" w:hAnsi="Times New Roman" w:eastAsia="仿宋_GB2312"/>
                <w:color w:val="auto"/>
                <w:sz w:val="18"/>
                <w:szCs w:val="18"/>
                <w:highlight w:val="none"/>
              </w:rPr>
              <w:t xml:space="preserve"> 财政部关于做好城市社区(街道)文化中心免费开放工作的通知》</w:t>
            </w:r>
          </w:p>
        </w:tc>
        <w:tc>
          <w:tcPr>
            <w:tcW w:w="1539" w:type="dxa"/>
            <w:vAlign w:val="center"/>
          </w:tcPr>
          <w:p w14:paraId="1B2DC379">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信息形成或变更之日起20个工作日内公开</w:t>
            </w:r>
          </w:p>
        </w:tc>
        <w:tc>
          <w:tcPr>
            <w:tcW w:w="1329" w:type="dxa"/>
            <w:vAlign w:val="center"/>
          </w:tcPr>
          <w:p w14:paraId="4B56C396">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lang w:eastAsia="zh-CN"/>
              </w:rPr>
              <w:t>市文化广电旅游局，相关公共文化服务机构</w:t>
            </w:r>
          </w:p>
        </w:tc>
        <w:tc>
          <w:tcPr>
            <w:tcW w:w="1342" w:type="dxa"/>
            <w:vAlign w:val="center"/>
          </w:tcPr>
          <w:p w14:paraId="43243BC3">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highlight w:val="none"/>
              </w:rPr>
              <w:t>■政府网站</w:t>
            </w:r>
          </w:p>
        </w:tc>
        <w:tc>
          <w:tcPr>
            <w:tcW w:w="672" w:type="dxa"/>
            <w:vAlign w:val="center"/>
          </w:tcPr>
          <w:p w14:paraId="66D39D45">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660" w:type="dxa"/>
            <w:vAlign w:val="center"/>
          </w:tcPr>
          <w:p w14:paraId="74248698">
            <w:pPr>
              <w:spacing w:line="240" w:lineRule="exact"/>
              <w:jc w:val="center"/>
              <w:rPr>
                <w:rFonts w:ascii="仿宋_GB2312" w:hAnsi="Times New Roman" w:eastAsia="仿宋_GB2312"/>
                <w:color w:val="auto"/>
                <w:sz w:val="18"/>
                <w:szCs w:val="18"/>
              </w:rPr>
            </w:pPr>
          </w:p>
        </w:tc>
        <w:tc>
          <w:tcPr>
            <w:tcW w:w="513" w:type="dxa"/>
            <w:vAlign w:val="center"/>
          </w:tcPr>
          <w:p w14:paraId="14A6F386">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672" w:type="dxa"/>
            <w:vAlign w:val="center"/>
          </w:tcPr>
          <w:p w14:paraId="17BC3634">
            <w:pPr>
              <w:spacing w:line="240" w:lineRule="exact"/>
              <w:jc w:val="center"/>
              <w:rPr>
                <w:rFonts w:ascii="仿宋_GB2312" w:hAnsi="Times New Roman" w:eastAsia="仿宋_GB2312"/>
                <w:color w:val="auto"/>
                <w:sz w:val="18"/>
                <w:szCs w:val="18"/>
              </w:rPr>
            </w:pPr>
          </w:p>
        </w:tc>
        <w:tc>
          <w:tcPr>
            <w:tcW w:w="671" w:type="dxa"/>
            <w:vAlign w:val="center"/>
          </w:tcPr>
          <w:p w14:paraId="6BA5FA2F">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784" w:type="dxa"/>
            <w:vAlign w:val="center"/>
          </w:tcPr>
          <w:p w14:paraId="280F08CC">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r>
      <w:tr w14:paraId="4386C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vAlign w:val="center"/>
          </w:tcPr>
          <w:p w14:paraId="680E8B91">
            <w:pPr>
              <w:spacing w:line="240" w:lineRule="exact"/>
              <w:jc w:val="center"/>
              <w:rPr>
                <w:rFonts w:hint="default"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8</w:t>
            </w:r>
          </w:p>
        </w:tc>
        <w:tc>
          <w:tcPr>
            <w:tcW w:w="684" w:type="dxa"/>
            <w:vAlign w:val="center"/>
          </w:tcPr>
          <w:p w14:paraId="32BA5DFB">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公共</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服务</w:t>
            </w:r>
          </w:p>
        </w:tc>
        <w:tc>
          <w:tcPr>
            <w:tcW w:w="1509" w:type="dxa"/>
            <w:vAlign w:val="center"/>
          </w:tcPr>
          <w:p w14:paraId="129175DB">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特殊群体公共文化服务信息</w:t>
            </w:r>
          </w:p>
        </w:tc>
        <w:tc>
          <w:tcPr>
            <w:tcW w:w="1916" w:type="dxa"/>
            <w:vAlign w:val="center"/>
          </w:tcPr>
          <w:p w14:paraId="6EFFE6BD">
            <w:pPr>
              <w:numPr>
                <w:ilvl w:val="0"/>
                <w:numId w:val="1"/>
              </w:numPr>
              <w:spacing w:line="240" w:lineRule="exact"/>
              <w:rPr>
                <w:rFonts w:hint="eastAsia" w:ascii="仿宋_GB2312" w:hAnsi="Times New Roman" w:eastAsia="仿宋_GB2312"/>
                <w:color w:val="auto"/>
                <w:sz w:val="18"/>
                <w:szCs w:val="18"/>
                <w:highlight w:val="none"/>
              </w:rPr>
            </w:pPr>
            <w:r>
              <w:rPr>
                <w:rFonts w:hint="eastAsia" w:ascii="仿宋_GB2312" w:hAnsi="Times New Roman" w:eastAsia="仿宋_GB2312"/>
                <w:color w:val="auto"/>
                <w:sz w:val="18"/>
                <w:szCs w:val="18"/>
                <w:highlight w:val="none"/>
              </w:rPr>
              <w:t>机构名称；</w:t>
            </w:r>
            <w:r>
              <w:rPr>
                <w:rFonts w:hint="eastAsia" w:ascii="仿宋_GB2312" w:hAnsi="Times New Roman" w:eastAsia="仿宋_GB2312"/>
                <w:color w:val="auto"/>
                <w:sz w:val="18"/>
                <w:szCs w:val="18"/>
                <w:highlight w:val="none"/>
              </w:rPr>
              <w:br w:type="textWrapping"/>
            </w:r>
            <w:r>
              <w:rPr>
                <w:rFonts w:hint="eastAsia" w:ascii="仿宋_GB2312" w:hAnsi="Times New Roman" w:eastAsia="仿宋_GB2312"/>
                <w:color w:val="auto"/>
                <w:sz w:val="18"/>
                <w:szCs w:val="18"/>
                <w:highlight w:val="none"/>
              </w:rPr>
              <w:t>2.开放时间；</w:t>
            </w:r>
            <w:r>
              <w:rPr>
                <w:rFonts w:hint="eastAsia" w:ascii="仿宋_GB2312" w:hAnsi="Times New Roman" w:eastAsia="仿宋_GB2312"/>
                <w:color w:val="auto"/>
                <w:sz w:val="18"/>
                <w:szCs w:val="18"/>
                <w:highlight w:val="none"/>
              </w:rPr>
              <w:br w:type="textWrapping"/>
            </w:r>
            <w:r>
              <w:rPr>
                <w:rFonts w:hint="eastAsia" w:ascii="仿宋_GB2312" w:hAnsi="Times New Roman" w:eastAsia="仿宋_GB2312"/>
                <w:color w:val="auto"/>
                <w:sz w:val="18"/>
                <w:szCs w:val="18"/>
                <w:highlight w:val="none"/>
              </w:rPr>
              <w:t>3.机构地址；</w:t>
            </w:r>
            <w:r>
              <w:rPr>
                <w:rFonts w:hint="eastAsia" w:ascii="仿宋_GB2312" w:hAnsi="Times New Roman" w:eastAsia="仿宋_GB2312"/>
                <w:color w:val="auto"/>
                <w:sz w:val="18"/>
                <w:szCs w:val="18"/>
                <w:highlight w:val="none"/>
              </w:rPr>
              <w:br w:type="textWrapping"/>
            </w:r>
            <w:r>
              <w:rPr>
                <w:rFonts w:hint="eastAsia" w:ascii="仿宋_GB2312" w:hAnsi="Times New Roman" w:eastAsia="仿宋_GB2312"/>
                <w:color w:val="auto"/>
                <w:sz w:val="18"/>
                <w:szCs w:val="18"/>
                <w:highlight w:val="none"/>
              </w:rPr>
              <w:t>4.联系电话；</w:t>
            </w:r>
          </w:p>
          <w:p w14:paraId="656A3D88">
            <w:pPr>
              <w:numPr>
                <w:ilvl w:val="0"/>
                <w:numId w:val="0"/>
              </w:numPr>
              <w:spacing w:line="240" w:lineRule="exact"/>
              <w:ind w:left="0" w:leftChars="0" w:firstLine="0" w:firstLineChars="0"/>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lang w:val="en-US" w:eastAsia="zh-CN"/>
              </w:rPr>
              <w:t>5.服务内容；</w:t>
            </w:r>
            <w:r>
              <w:rPr>
                <w:rFonts w:hint="eastAsia" w:ascii="仿宋_GB2312" w:hAnsi="Times New Roman" w:eastAsia="仿宋_GB2312"/>
                <w:color w:val="auto"/>
                <w:sz w:val="18"/>
                <w:szCs w:val="18"/>
                <w:highlight w:val="none"/>
              </w:rPr>
              <w:br w:type="textWrapping"/>
            </w:r>
            <w:r>
              <w:rPr>
                <w:rFonts w:hint="eastAsia" w:ascii="仿宋_GB2312" w:hAnsi="Times New Roman" w:eastAsia="仿宋_GB2312"/>
                <w:color w:val="auto"/>
                <w:sz w:val="18"/>
                <w:szCs w:val="18"/>
                <w:highlight w:val="none"/>
              </w:rPr>
              <w:t>5.临时停止开放信息。</w:t>
            </w:r>
          </w:p>
        </w:tc>
        <w:tc>
          <w:tcPr>
            <w:tcW w:w="1746" w:type="dxa"/>
            <w:vAlign w:val="center"/>
          </w:tcPr>
          <w:p w14:paraId="3DC44D55">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《中华人民共和国残疾人保障法》、《</w:t>
            </w:r>
            <w:r>
              <w:rPr>
                <w:rFonts w:hint="eastAsia" w:ascii="仿宋_GB2312" w:hAnsi="Times New Roman" w:eastAsia="仿宋_GB2312"/>
                <w:color w:val="auto"/>
                <w:sz w:val="18"/>
                <w:szCs w:val="18"/>
                <w:highlight w:val="none"/>
                <w:lang w:eastAsia="zh-CN"/>
              </w:rPr>
              <w:t>中华人民共和国政府信息公开条例</w:t>
            </w:r>
            <w:r>
              <w:rPr>
                <w:rFonts w:hint="eastAsia" w:ascii="仿宋_GB2312" w:hAnsi="Times New Roman" w:eastAsia="仿宋_GB2312"/>
                <w:color w:val="auto"/>
                <w:sz w:val="18"/>
                <w:szCs w:val="18"/>
                <w:highlight w:val="none"/>
              </w:rPr>
              <w:t>》、《中共中央办公厅 国务院办公厅印发关于加快构建现代公共文化服务体系的意见》</w:t>
            </w:r>
          </w:p>
        </w:tc>
        <w:tc>
          <w:tcPr>
            <w:tcW w:w="1539" w:type="dxa"/>
            <w:vAlign w:val="center"/>
          </w:tcPr>
          <w:p w14:paraId="666E1634">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信息形成或变更之日起20个工作日内公开</w:t>
            </w:r>
          </w:p>
        </w:tc>
        <w:tc>
          <w:tcPr>
            <w:tcW w:w="1329" w:type="dxa"/>
            <w:vAlign w:val="center"/>
          </w:tcPr>
          <w:p w14:paraId="229B33E6">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lang w:eastAsia="zh-CN"/>
              </w:rPr>
              <w:t>市文化广电旅游局，相关公共文化服务机构</w:t>
            </w:r>
          </w:p>
        </w:tc>
        <w:tc>
          <w:tcPr>
            <w:tcW w:w="1342" w:type="dxa"/>
            <w:vAlign w:val="center"/>
          </w:tcPr>
          <w:p w14:paraId="5DE8B46E">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highlight w:val="none"/>
              </w:rPr>
              <w:t>■政府网站</w:t>
            </w:r>
          </w:p>
        </w:tc>
        <w:tc>
          <w:tcPr>
            <w:tcW w:w="672" w:type="dxa"/>
            <w:vAlign w:val="center"/>
          </w:tcPr>
          <w:p w14:paraId="57739ECA">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660" w:type="dxa"/>
            <w:vAlign w:val="center"/>
          </w:tcPr>
          <w:p w14:paraId="69BE7398">
            <w:pPr>
              <w:spacing w:line="240" w:lineRule="exact"/>
              <w:jc w:val="center"/>
              <w:rPr>
                <w:rFonts w:ascii="仿宋_GB2312" w:hAnsi="Times New Roman" w:eastAsia="仿宋_GB2312"/>
                <w:color w:val="auto"/>
                <w:sz w:val="18"/>
                <w:szCs w:val="18"/>
              </w:rPr>
            </w:pPr>
          </w:p>
        </w:tc>
        <w:tc>
          <w:tcPr>
            <w:tcW w:w="513" w:type="dxa"/>
            <w:vAlign w:val="center"/>
          </w:tcPr>
          <w:p w14:paraId="7AE4B270">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672" w:type="dxa"/>
            <w:vAlign w:val="center"/>
          </w:tcPr>
          <w:p w14:paraId="4C2A9B0E">
            <w:pPr>
              <w:spacing w:line="240" w:lineRule="exact"/>
              <w:jc w:val="center"/>
              <w:rPr>
                <w:rFonts w:ascii="仿宋_GB2312" w:hAnsi="Times New Roman" w:eastAsia="仿宋_GB2312"/>
                <w:color w:val="auto"/>
                <w:sz w:val="18"/>
                <w:szCs w:val="18"/>
              </w:rPr>
            </w:pPr>
          </w:p>
        </w:tc>
        <w:tc>
          <w:tcPr>
            <w:tcW w:w="671" w:type="dxa"/>
            <w:vAlign w:val="center"/>
          </w:tcPr>
          <w:p w14:paraId="680D708B">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784" w:type="dxa"/>
            <w:vAlign w:val="center"/>
          </w:tcPr>
          <w:p w14:paraId="08735CF9">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r>
      <w:tr w14:paraId="5A86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vAlign w:val="center"/>
          </w:tcPr>
          <w:p w14:paraId="53660AE7">
            <w:pPr>
              <w:spacing w:line="240" w:lineRule="exact"/>
              <w:jc w:val="center"/>
              <w:rPr>
                <w:rFonts w:hint="default"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9</w:t>
            </w:r>
          </w:p>
        </w:tc>
        <w:tc>
          <w:tcPr>
            <w:tcW w:w="684" w:type="dxa"/>
            <w:vAlign w:val="center"/>
          </w:tcPr>
          <w:p w14:paraId="07825A1C">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公共</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服务</w:t>
            </w:r>
          </w:p>
        </w:tc>
        <w:tc>
          <w:tcPr>
            <w:tcW w:w="1509" w:type="dxa"/>
            <w:vAlign w:val="center"/>
          </w:tcPr>
          <w:p w14:paraId="4A110F63">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组织开展群众文化活动</w:t>
            </w:r>
          </w:p>
        </w:tc>
        <w:tc>
          <w:tcPr>
            <w:tcW w:w="1916" w:type="dxa"/>
            <w:vAlign w:val="center"/>
          </w:tcPr>
          <w:p w14:paraId="588868E3">
            <w:pPr>
              <w:spacing w:line="240" w:lineRule="exact"/>
              <w:rPr>
                <w:rFonts w:hint="eastAsia" w:ascii="仿宋_GB2312" w:hAnsi="Times New Roman" w:eastAsia="仿宋_GB2312"/>
                <w:color w:val="auto"/>
                <w:sz w:val="18"/>
                <w:szCs w:val="18"/>
                <w:highlight w:val="none"/>
                <w:lang w:eastAsia="zh-CN"/>
              </w:rPr>
            </w:pPr>
            <w:r>
              <w:rPr>
                <w:rFonts w:hint="eastAsia" w:ascii="仿宋_GB2312" w:hAnsi="Times New Roman" w:eastAsia="仿宋_GB2312"/>
                <w:color w:val="auto"/>
                <w:sz w:val="18"/>
                <w:szCs w:val="18"/>
                <w:highlight w:val="none"/>
              </w:rPr>
              <w:t>1.</w:t>
            </w:r>
            <w:r>
              <w:rPr>
                <w:rFonts w:hint="eastAsia" w:ascii="仿宋_GB2312" w:hAnsi="Times New Roman" w:eastAsia="仿宋_GB2312"/>
                <w:color w:val="auto"/>
                <w:sz w:val="18"/>
                <w:szCs w:val="18"/>
                <w:highlight w:val="none"/>
                <w:lang w:eastAsia="zh-CN"/>
              </w:rPr>
              <w:t>活动名称；</w:t>
            </w:r>
          </w:p>
          <w:p w14:paraId="6179AEF3">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lang w:val="en-US" w:eastAsia="zh-CN"/>
              </w:rPr>
              <w:t>2.</w:t>
            </w:r>
            <w:r>
              <w:rPr>
                <w:rFonts w:hint="eastAsia" w:ascii="仿宋_GB2312" w:hAnsi="Times New Roman" w:eastAsia="仿宋_GB2312"/>
                <w:color w:val="auto"/>
                <w:sz w:val="18"/>
                <w:szCs w:val="18"/>
                <w:highlight w:val="none"/>
              </w:rPr>
              <w:t>活动时间；</w:t>
            </w:r>
            <w:r>
              <w:rPr>
                <w:rFonts w:hint="eastAsia" w:ascii="仿宋_GB2312" w:hAnsi="Times New Roman" w:eastAsia="仿宋_GB2312"/>
                <w:color w:val="auto"/>
                <w:sz w:val="18"/>
                <w:szCs w:val="18"/>
                <w:highlight w:val="none"/>
              </w:rPr>
              <w:br w:type="textWrapping"/>
            </w:r>
            <w:r>
              <w:rPr>
                <w:rFonts w:hint="eastAsia" w:ascii="仿宋_GB2312" w:hAnsi="Times New Roman" w:eastAsia="仿宋_GB2312"/>
                <w:color w:val="auto"/>
                <w:sz w:val="18"/>
                <w:szCs w:val="18"/>
                <w:highlight w:val="none"/>
                <w:lang w:val="en-US" w:eastAsia="zh-CN"/>
              </w:rPr>
              <w:t>3</w:t>
            </w:r>
            <w:r>
              <w:rPr>
                <w:rFonts w:hint="eastAsia" w:ascii="仿宋_GB2312" w:hAnsi="Times New Roman" w:eastAsia="仿宋_GB2312"/>
                <w:color w:val="auto"/>
                <w:sz w:val="18"/>
                <w:szCs w:val="18"/>
                <w:highlight w:val="none"/>
              </w:rPr>
              <w:t>.活动单位；</w:t>
            </w:r>
            <w:r>
              <w:rPr>
                <w:rFonts w:hint="eastAsia" w:ascii="仿宋_GB2312" w:hAnsi="Times New Roman" w:eastAsia="仿宋_GB2312"/>
                <w:color w:val="auto"/>
                <w:sz w:val="18"/>
                <w:szCs w:val="18"/>
                <w:highlight w:val="none"/>
              </w:rPr>
              <w:br w:type="textWrapping"/>
            </w:r>
            <w:r>
              <w:rPr>
                <w:rFonts w:hint="eastAsia" w:ascii="仿宋_GB2312" w:hAnsi="Times New Roman" w:eastAsia="仿宋_GB2312"/>
                <w:color w:val="auto"/>
                <w:sz w:val="18"/>
                <w:szCs w:val="18"/>
                <w:highlight w:val="none"/>
                <w:lang w:val="en-US" w:eastAsia="zh-CN"/>
              </w:rPr>
              <w:t>4</w:t>
            </w:r>
            <w:r>
              <w:rPr>
                <w:rFonts w:hint="eastAsia" w:ascii="仿宋_GB2312" w:hAnsi="Times New Roman" w:eastAsia="仿宋_GB2312"/>
                <w:color w:val="auto"/>
                <w:sz w:val="18"/>
                <w:szCs w:val="18"/>
                <w:highlight w:val="none"/>
              </w:rPr>
              <w:t>.活动地址；</w:t>
            </w:r>
            <w:r>
              <w:rPr>
                <w:rFonts w:hint="eastAsia" w:ascii="仿宋_GB2312" w:hAnsi="Times New Roman" w:eastAsia="仿宋_GB2312"/>
                <w:color w:val="auto"/>
                <w:sz w:val="18"/>
                <w:szCs w:val="18"/>
                <w:highlight w:val="none"/>
              </w:rPr>
              <w:br w:type="textWrapping"/>
            </w:r>
            <w:r>
              <w:rPr>
                <w:rFonts w:hint="eastAsia" w:ascii="仿宋_GB2312" w:hAnsi="Times New Roman" w:eastAsia="仿宋_GB2312"/>
                <w:color w:val="auto"/>
                <w:sz w:val="18"/>
                <w:szCs w:val="18"/>
                <w:highlight w:val="none"/>
                <w:lang w:val="en-US" w:eastAsia="zh-CN"/>
              </w:rPr>
              <w:t>5</w:t>
            </w:r>
            <w:r>
              <w:rPr>
                <w:rFonts w:hint="eastAsia" w:ascii="仿宋_GB2312" w:hAnsi="Times New Roman" w:eastAsia="仿宋_GB2312"/>
                <w:color w:val="auto"/>
                <w:sz w:val="18"/>
                <w:szCs w:val="18"/>
                <w:highlight w:val="none"/>
              </w:rPr>
              <w:t>.联系电话；</w:t>
            </w:r>
            <w:r>
              <w:rPr>
                <w:rFonts w:hint="eastAsia" w:ascii="仿宋_GB2312" w:hAnsi="Times New Roman" w:eastAsia="仿宋_GB2312"/>
                <w:color w:val="auto"/>
                <w:sz w:val="18"/>
                <w:szCs w:val="18"/>
                <w:highlight w:val="none"/>
              </w:rPr>
              <w:br w:type="textWrapping"/>
            </w:r>
            <w:r>
              <w:rPr>
                <w:rFonts w:hint="eastAsia" w:ascii="仿宋_GB2312" w:hAnsi="Times New Roman" w:eastAsia="仿宋_GB2312"/>
                <w:color w:val="auto"/>
                <w:sz w:val="18"/>
                <w:szCs w:val="18"/>
                <w:highlight w:val="none"/>
                <w:lang w:val="en-US" w:eastAsia="zh-CN"/>
              </w:rPr>
              <w:t>6</w:t>
            </w:r>
            <w:r>
              <w:rPr>
                <w:rFonts w:hint="eastAsia" w:ascii="仿宋_GB2312" w:hAnsi="Times New Roman" w:eastAsia="仿宋_GB2312"/>
                <w:color w:val="auto"/>
                <w:sz w:val="18"/>
                <w:szCs w:val="18"/>
                <w:highlight w:val="none"/>
              </w:rPr>
              <w:t>.临时停止活动信息。</w:t>
            </w:r>
          </w:p>
        </w:tc>
        <w:tc>
          <w:tcPr>
            <w:tcW w:w="1746" w:type="dxa"/>
            <w:vAlign w:val="center"/>
          </w:tcPr>
          <w:p w14:paraId="149A8755">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r>
              <w:rPr>
                <w:rFonts w:hint="eastAsia" w:ascii="仿宋_GB2312" w:hAnsi="Times New Roman" w:eastAsia="仿宋_GB2312"/>
                <w:color w:val="auto"/>
                <w:sz w:val="18"/>
                <w:szCs w:val="18"/>
                <w:highlight w:val="none"/>
                <w:lang w:eastAsia="zh-CN"/>
              </w:rPr>
              <w:t>中华人民共和国政府信息公开条例</w:t>
            </w:r>
            <w:r>
              <w:rPr>
                <w:rFonts w:hint="eastAsia" w:ascii="仿宋_GB2312" w:hAnsi="Times New Roman" w:eastAsia="仿宋_GB2312"/>
                <w:color w:val="auto"/>
                <w:sz w:val="18"/>
                <w:szCs w:val="18"/>
                <w:highlight w:val="none"/>
              </w:rPr>
              <w:t>》、《文化馆服务标准》</w:t>
            </w:r>
          </w:p>
        </w:tc>
        <w:tc>
          <w:tcPr>
            <w:tcW w:w="1539" w:type="dxa"/>
            <w:vAlign w:val="center"/>
          </w:tcPr>
          <w:p w14:paraId="11D10B0D">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信息形成或变更之日起20个工作日内公开</w:t>
            </w:r>
          </w:p>
        </w:tc>
        <w:tc>
          <w:tcPr>
            <w:tcW w:w="1329" w:type="dxa"/>
            <w:vAlign w:val="center"/>
          </w:tcPr>
          <w:p w14:paraId="669ADE2C">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lang w:eastAsia="zh-CN"/>
              </w:rPr>
              <w:t>市文化广电旅游局，相关公共文化服务机构</w:t>
            </w:r>
          </w:p>
        </w:tc>
        <w:tc>
          <w:tcPr>
            <w:tcW w:w="1342" w:type="dxa"/>
            <w:vAlign w:val="center"/>
          </w:tcPr>
          <w:p w14:paraId="52E63D65">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■政府网站</w:t>
            </w:r>
          </w:p>
        </w:tc>
        <w:tc>
          <w:tcPr>
            <w:tcW w:w="672" w:type="dxa"/>
            <w:vAlign w:val="center"/>
          </w:tcPr>
          <w:p w14:paraId="530E0DB3">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660" w:type="dxa"/>
            <w:vAlign w:val="center"/>
          </w:tcPr>
          <w:p w14:paraId="369FCFFE">
            <w:pPr>
              <w:spacing w:line="240" w:lineRule="exact"/>
              <w:jc w:val="center"/>
              <w:rPr>
                <w:rFonts w:ascii="仿宋_GB2312" w:hAnsi="Times New Roman" w:eastAsia="仿宋_GB2312"/>
                <w:color w:val="auto"/>
                <w:sz w:val="18"/>
                <w:szCs w:val="18"/>
              </w:rPr>
            </w:pPr>
          </w:p>
        </w:tc>
        <w:tc>
          <w:tcPr>
            <w:tcW w:w="513" w:type="dxa"/>
            <w:vAlign w:val="center"/>
          </w:tcPr>
          <w:p w14:paraId="7D7683CA">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672" w:type="dxa"/>
            <w:vAlign w:val="center"/>
          </w:tcPr>
          <w:p w14:paraId="1FAE7E83">
            <w:pPr>
              <w:spacing w:line="240" w:lineRule="exact"/>
              <w:jc w:val="center"/>
              <w:rPr>
                <w:rFonts w:ascii="仿宋_GB2312" w:hAnsi="Times New Roman" w:eastAsia="仿宋_GB2312"/>
                <w:color w:val="auto"/>
                <w:sz w:val="18"/>
                <w:szCs w:val="18"/>
              </w:rPr>
            </w:pPr>
          </w:p>
        </w:tc>
        <w:tc>
          <w:tcPr>
            <w:tcW w:w="671" w:type="dxa"/>
            <w:vAlign w:val="center"/>
          </w:tcPr>
          <w:p w14:paraId="6C8241DC">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784" w:type="dxa"/>
            <w:vAlign w:val="center"/>
          </w:tcPr>
          <w:p w14:paraId="51AC9135">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r>
      <w:tr w14:paraId="1A4A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vAlign w:val="center"/>
          </w:tcPr>
          <w:p w14:paraId="506F6D24">
            <w:pPr>
              <w:spacing w:line="240" w:lineRule="exact"/>
              <w:jc w:val="center"/>
              <w:rPr>
                <w:rFonts w:hint="default"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10</w:t>
            </w:r>
          </w:p>
        </w:tc>
        <w:tc>
          <w:tcPr>
            <w:tcW w:w="684" w:type="dxa"/>
            <w:vAlign w:val="center"/>
          </w:tcPr>
          <w:p w14:paraId="77520837">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公共</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服务</w:t>
            </w:r>
          </w:p>
        </w:tc>
        <w:tc>
          <w:tcPr>
            <w:tcW w:w="1509" w:type="dxa"/>
            <w:vAlign w:val="center"/>
          </w:tcPr>
          <w:p w14:paraId="2E4BDB9A">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下基层辅导、演出、展览和指导基层群众文化活动</w:t>
            </w:r>
          </w:p>
        </w:tc>
        <w:tc>
          <w:tcPr>
            <w:tcW w:w="1916" w:type="dxa"/>
            <w:vAlign w:val="center"/>
          </w:tcPr>
          <w:p w14:paraId="656C4D29">
            <w:pPr>
              <w:numPr>
                <w:ilvl w:val="0"/>
                <w:numId w:val="2"/>
              </w:numPr>
              <w:spacing w:line="240" w:lineRule="exact"/>
              <w:rPr>
                <w:rFonts w:hint="eastAsia" w:ascii="仿宋_GB2312" w:hAnsi="Times New Roman" w:eastAsia="仿宋_GB2312"/>
                <w:color w:val="auto"/>
                <w:sz w:val="18"/>
                <w:szCs w:val="18"/>
                <w:highlight w:val="none"/>
              </w:rPr>
            </w:pPr>
            <w:r>
              <w:rPr>
                <w:rFonts w:hint="eastAsia" w:ascii="仿宋_GB2312" w:hAnsi="Times New Roman" w:eastAsia="仿宋_GB2312"/>
                <w:color w:val="auto"/>
                <w:sz w:val="18"/>
                <w:szCs w:val="18"/>
                <w:highlight w:val="none"/>
              </w:rPr>
              <w:t>活动</w:t>
            </w:r>
            <w:r>
              <w:rPr>
                <w:rFonts w:hint="eastAsia" w:ascii="仿宋_GB2312" w:hAnsi="Times New Roman" w:eastAsia="仿宋_GB2312"/>
                <w:color w:val="auto"/>
                <w:sz w:val="18"/>
                <w:szCs w:val="18"/>
                <w:highlight w:val="none"/>
                <w:lang w:eastAsia="zh-CN"/>
              </w:rPr>
              <w:t>名称；</w:t>
            </w:r>
          </w:p>
          <w:p w14:paraId="55969F2E">
            <w:pPr>
              <w:numPr>
                <w:ilvl w:val="0"/>
                <w:numId w:val="2"/>
              </w:num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lang w:eastAsia="zh-CN"/>
              </w:rPr>
              <w:t>活动时间</w:t>
            </w:r>
            <w:r>
              <w:rPr>
                <w:rFonts w:hint="eastAsia" w:ascii="仿宋_GB2312" w:hAnsi="Times New Roman" w:eastAsia="仿宋_GB2312"/>
                <w:color w:val="auto"/>
                <w:sz w:val="18"/>
                <w:szCs w:val="18"/>
                <w:highlight w:val="none"/>
              </w:rPr>
              <w:t>；</w:t>
            </w:r>
            <w:r>
              <w:rPr>
                <w:rFonts w:hint="eastAsia" w:ascii="仿宋_GB2312" w:hAnsi="Times New Roman" w:eastAsia="仿宋_GB2312"/>
                <w:color w:val="auto"/>
                <w:sz w:val="18"/>
                <w:szCs w:val="18"/>
                <w:highlight w:val="none"/>
              </w:rPr>
              <w:br w:type="textWrapping"/>
            </w:r>
            <w:r>
              <w:rPr>
                <w:rFonts w:hint="eastAsia" w:ascii="仿宋_GB2312" w:hAnsi="Times New Roman" w:eastAsia="仿宋_GB2312"/>
                <w:color w:val="auto"/>
                <w:sz w:val="18"/>
                <w:szCs w:val="18"/>
                <w:highlight w:val="none"/>
                <w:lang w:val="en-US" w:eastAsia="zh-CN"/>
              </w:rPr>
              <w:t>3</w:t>
            </w:r>
            <w:r>
              <w:rPr>
                <w:rFonts w:hint="eastAsia" w:ascii="仿宋_GB2312" w:hAnsi="Times New Roman" w:eastAsia="仿宋_GB2312"/>
                <w:color w:val="auto"/>
                <w:sz w:val="18"/>
                <w:szCs w:val="18"/>
                <w:highlight w:val="none"/>
              </w:rPr>
              <w:t>.活动单位；</w:t>
            </w:r>
            <w:r>
              <w:rPr>
                <w:rFonts w:hint="eastAsia" w:ascii="仿宋_GB2312" w:hAnsi="Times New Roman" w:eastAsia="仿宋_GB2312"/>
                <w:color w:val="auto"/>
                <w:sz w:val="18"/>
                <w:szCs w:val="18"/>
                <w:highlight w:val="none"/>
              </w:rPr>
              <w:br w:type="textWrapping"/>
            </w:r>
            <w:r>
              <w:rPr>
                <w:rFonts w:hint="eastAsia" w:ascii="仿宋_GB2312" w:hAnsi="Times New Roman" w:eastAsia="仿宋_GB2312"/>
                <w:color w:val="auto"/>
                <w:sz w:val="18"/>
                <w:szCs w:val="18"/>
                <w:highlight w:val="none"/>
                <w:lang w:val="en-US" w:eastAsia="zh-CN"/>
              </w:rPr>
              <w:t>4</w:t>
            </w:r>
            <w:r>
              <w:rPr>
                <w:rFonts w:hint="eastAsia" w:ascii="仿宋_GB2312" w:hAnsi="Times New Roman" w:eastAsia="仿宋_GB2312"/>
                <w:color w:val="auto"/>
                <w:sz w:val="18"/>
                <w:szCs w:val="18"/>
                <w:highlight w:val="none"/>
              </w:rPr>
              <w:t>.活动地址；</w:t>
            </w:r>
            <w:r>
              <w:rPr>
                <w:rFonts w:hint="eastAsia" w:ascii="仿宋_GB2312" w:hAnsi="Times New Roman" w:eastAsia="仿宋_GB2312"/>
                <w:color w:val="auto"/>
                <w:sz w:val="18"/>
                <w:szCs w:val="18"/>
                <w:highlight w:val="none"/>
              </w:rPr>
              <w:br w:type="textWrapping"/>
            </w:r>
            <w:r>
              <w:rPr>
                <w:rFonts w:hint="eastAsia" w:ascii="仿宋_GB2312" w:hAnsi="Times New Roman" w:eastAsia="仿宋_GB2312"/>
                <w:color w:val="auto"/>
                <w:sz w:val="18"/>
                <w:szCs w:val="18"/>
                <w:highlight w:val="none"/>
                <w:lang w:val="en-US" w:eastAsia="zh-CN"/>
              </w:rPr>
              <w:t>5</w:t>
            </w:r>
            <w:r>
              <w:rPr>
                <w:rFonts w:hint="eastAsia" w:ascii="仿宋_GB2312" w:hAnsi="Times New Roman" w:eastAsia="仿宋_GB2312"/>
                <w:color w:val="auto"/>
                <w:sz w:val="18"/>
                <w:szCs w:val="18"/>
                <w:highlight w:val="none"/>
              </w:rPr>
              <w:t>.联系电话；</w:t>
            </w:r>
            <w:r>
              <w:rPr>
                <w:rFonts w:hint="eastAsia" w:ascii="仿宋_GB2312" w:hAnsi="Times New Roman" w:eastAsia="仿宋_GB2312"/>
                <w:color w:val="auto"/>
                <w:sz w:val="18"/>
                <w:szCs w:val="18"/>
                <w:highlight w:val="none"/>
              </w:rPr>
              <w:br w:type="textWrapping"/>
            </w:r>
            <w:r>
              <w:rPr>
                <w:rFonts w:hint="eastAsia" w:ascii="仿宋_GB2312" w:hAnsi="Times New Roman" w:eastAsia="仿宋_GB2312"/>
                <w:color w:val="auto"/>
                <w:sz w:val="18"/>
                <w:szCs w:val="18"/>
                <w:highlight w:val="none"/>
                <w:lang w:val="en-US" w:eastAsia="zh-CN"/>
              </w:rPr>
              <w:t>6</w:t>
            </w:r>
            <w:r>
              <w:rPr>
                <w:rFonts w:hint="eastAsia" w:ascii="仿宋_GB2312" w:hAnsi="Times New Roman" w:eastAsia="仿宋_GB2312"/>
                <w:color w:val="auto"/>
                <w:sz w:val="18"/>
                <w:szCs w:val="18"/>
                <w:highlight w:val="none"/>
              </w:rPr>
              <w:t>.临时停止活动信息。</w:t>
            </w:r>
          </w:p>
        </w:tc>
        <w:tc>
          <w:tcPr>
            <w:tcW w:w="1746" w:type="dxa"/>
            <w:vAlign w:val="center"/>
          </w:tcPr>
          <w:p w14:paraId="296AA04C">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r>
              <w:rPr>
                <w:rFonts w:hint="eastAsia" w:ascii="仿宋_GB2312" w:hAnsi="Times New Roman" w:eastAsia="仿宋_GB2312"/>
                <w:color w:val="auto"/>
                <w:sz w:val="18"/>
                <w:szCs w:val="18"/>
                <w:highlight w:val="none"/>
                <w:lang w:eastAsia="zh-CN"/>
              </w:rPr>
              <w:t>中华人民共和国政府信息公开条例</w:t>
            </w:r>
            <w:r>
              <w:rPr>
                <w:rFonts w:hint="eastAsia" w:ascii="仿宋_GB2312" w:hAnsi="Times New Roman" w:eastAsia="仿宋_GB2312"/>
                <w:color w:val="auto"/>
                <w:sz w:val="18"/>
                <w:szCs w:val="18"/>
                <w:highlight w:val="none"/>
              </w:rPr>
              <w:t>》、《文化馆服务标准》</w:t>
            </w:r>
          </w:p>
        </w:tc>
        <w:tc>
          <w:tcPr>
            <w:tcW w:w="1539" w:type="dxa"/>
            <w:vAlign w:val="center"/>
          </w:tcPr>
          <w:p w14:paraId="70F87943">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信息形成或变更之日起20个工作日内公开</w:t>
            </w:r>
          </w:p>
        </w:tc>
        <w:tc>
          <w:tcPr>
            <w:tcW w:w="1329" w:type="dxa"/>
            <w:vAlign w:val="center"/>
          </w:tcPr>
          <w:p w14:paraId="2ACB3AC1">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lang w:eastAsia="zh-CN"/>
              </w:rPr>
              <w:t>市文化广电旅游局，相关公共文化服务机构</w:t>
            </w:r>
          </w:p>
        </w:tc>
        <w:tc>
          <w:tcPr>
            <w:tcW w:w="1342" w:type="dxa"/>
            <w:vAlign w:val="center"/>
          </w:tcPr>
          <w:p w14:paraId="7CB9A1B3">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■政府网站</w:t>
            </w:r>
          </w:p>
        </w:tc>
        <w:tc>
          <w:tcPr>
            <w:tcW w:w="672" w:type="dxa"/>
            <w:vAlign w:val="center"/>
          </w:tcPr>
          <w:p w14:paraId="15739C32">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660" w:type="dxa"/>
            <w:vAlign w:val="center"/>
          </w:tcPr>
          <w:p w14:paraId="1D7FC09E">
            <w:pPr>
              <w:spacing w:line="240" w:lineRule="exact"/>
              <w:jc w:val="center"/>
              <w:rPr>
                <w:rFonts w:ascii="仿宋_GB2312" w:hAnsi="Times New Roman" w:eastAsia="仿宋_GB2312"/>
                <w:color w:val="auto"/>
                <w:sz w:val="18"/>
                <w:szCs w:val="18"/>
              </w:rPr>
            </w:pPr>
          </w:p>
        </w:tc>
        <w:tc>
          <w:tcPr>
            <w:tcW w:w="513" w:type="dxa"/>
            <w:vAlign w:val="center"/>
          </w:tcPr>
          <w:p w14:paraId="697F9B8F">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672" w:type="dxa"/>
            <w:vAlign w:val="center"/>
          </w:tcPr>
          <w:p w14:paraId="416524AF">
            <w:pPr>
              <w:spacing w:line="240" w:lineRule="exact"/>
              <w:jc w:val="center"/>
              <w:rPr>
                <w:rFonts w:ascii="仿宋_GB2312" w:hAnsi="Times New Roman" w:eastAsia="仿宋_GB2312"/>
                <w:color w:val="auto"/>
                <w:sz w:val="18"/>
                <w:szCs w:val="18"/>
              </w:rPr>
            </w:pPr>
          </w:p>
        </w:tc>
        <w:tc>
          <w:tcPr>
            <w:tcW w:w="671" w:type="dxa"/>
            <w:vAlign w:val="center"/>
          </w:tcPr>
          <w:p w14:paraId="774BE9E6">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784" w:type="dxa"/>
            <w:vAlign w:val="center"/>
          </w:tcPr>
          <w:p w14:paraId="19D71375">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r>
      <w:tr w14:paraId="09C4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vAlign w:val="center"/>
          </w:tcPr>
          <w:p w14:paraId="222253BA">
            <w:pPr>
              <w:spacing w:line="240" w:lineRule="exact"/>
              <w:jc w:val="center"/>
              <w:rPr>
                <w:rFonts w:hint="default"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11</w:t>
            </w:r>
          </w:p>
        </w:tc>
        <w:tc>
          <w:tcPr>
            <w:tcW w:w="684" w:type="dxa"/>
            <w:vAlign w:val="center"/>
          </w:tcPr>
          <w:p w14:paraId="401D6918">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公共</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服务</w:t>
            </w:r>
          </w:p>
        </w:tc>
        <w:tc>
          <w:tcPr>
            <w:tcW w:w="1509" w:type="dxa"/>
            <w:vAlign w:val="center"/>
          </w:tcPr>
          <w:p w14:paraId="6211EB0A">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举办各类展览、讲座信息</w:t>
            </w:r>
          </w:p>
        </w:tc>
        <w:tc>
          <w:tcPr>
            <w:tcW w:w="1916" w:type="dxa"/>
            <w:vAlign w:val="center"/>
          </w:tcPr>
          <w:p w14:paraId="4406742C">
            <w:pPr>
              <w:numPr>
                <w:ilvl w:val="0"/>
                <w:numId w:val="0"/>
              </w:numPr>
              <w:spacing w:line="240" w:lineRule="exact"/>
              <w:rPr>
                <w:rFonts w:hint="eastAsia" w:ascii="仿宋_GB2312" w:hAnsi="Times New Roman" w:eastAsia="仿宋_GB2312"/>
                <w:color w:val="auto"/>
                <w:sz w:val="18"/>
                <w:szCs w:val="18"/>
                <w:highlight w:val="none"/>
              </w:rPr>
            </w:pPr>
            <w:r>
              <w:rPr>
                <w:rFonts w:hint="eastAsia" w:ascii="仿宋_GB2312" w:hAnsi="Times New Roman" w:eastAsia="仿宋_GB2312"/>
                <w:color w:val="auto"/>
                <w:sz w:val="18"/>
                <w:szCs w:val="18"/>
                <w:highlight w:val="none"/>
                <w:lang w:val="en-US" w:eastAsia="zh-CN"/>
              </w:rPr>
              <w:t>1.</w:t>
            </w:r>
            <w:r>
              <w:rPr>
                <w:rFonts w:hint="eastAsia" w:ascii="仿宋_GB2312" w:hAnsi="Times New Roman" w:eastAsia="仿宋_GB2312"/>
                <w:color w:val="auto"/>
                <w:sz w:val="18"/>
                <w:szCs w:val="18"/>
                <w:highlight w:val="none"/>
              </w:rPr>
              <w:t>活动</w:t>
            </w:r>
            <w:r>
              <w:rPr>
                <w:rFonts w:hint="eastAsia" w:ascii="仿宋_GB2312" w:hAnsi="Times New Roman" w:eastAsia="仿宋_GB2312"/>
                <w:color w:val="auto"/>
                <w:sz w:val="18"/>
                <w:szCs w:val="18"/>
                <w:highlight w:val="none"/>
                <w:lang w:eastAsia="zh-CN"/>
              </w:rPr>
              <w:t>名称；</w:t>
            </w:r>
          </w:p>
          <w:p w14:paraId="1C0F91DF">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lang w:eastAsia="zh-CN"/>
              </w:rPr>
              <w:t>活动时间</w:t>
            </w:r>
            <w:r>
              <w:rPr>
                <w:rFonts w:hint="eastAsia" w:ascii="仿宋_GB2312" w:hAnsi="Times New Roman" w:eastAsia="仿宋_GB2312"/>
                <w:color w:val="auto"/>
                <w:sz w:val="18"/>
                <w:szCs w:val="18"/>
                <w:highlight w:val="none"/>
              </w:rPr>
              <w:t>；</w:t>
            </w:r>
            <w:r>
              <w:rPr>
                <w:rFonts w:hint="eastAsia" w:ascii="仿宋_GB2312" w:hAnsi="Times New Roman" w:eastAsia="仿宋_GB2312"/>
                <w:color w:val="auto"/>
                <w:sz w:val="18"/>
                <w:szCs w:val="18"/>
                <w:highlight w:val="none"/>
              </w:rPr>
              <w:br w:type="textWrapping"/>
            </w:r>
            <w:r>
              <w:rPr>
                <w:rFonts w:hint="eastAsia" w:ascii="仿宋_GB2312" w:hAnsi="Times New Roman" w:eastAsia="仿宋_GB2312"/>
                <w:color w:val="auto"/>
                <w:sz w:val="18"/>
                <w:szCs w:val="18"/>
                <w:highlight w:val="none"/>
              </w:rPr>
              <w:t>2.活动单位；</w:t>
            </w:r>
            <w:r>
              <w:rPr>
                <w:rFonts w:hint="eastAsia" w:ascii="仿宋_GB2312" w:hAnsi="Times New Roman" w:eastAsia="仿宋_GB2312"/>
                <w:color w:val="auto"/>
                <w:sz w:val="18"/>
                <w:szCs w:val="18"/>
                <w:highlight w:val="none"/>
              </w:rPr>
              <w:br w:type="textWrapping"/>
            </w:r>
            <w:r>
              <w:rPr>
                <w:rFonts w:hint="eastAsia" w:ascii="仿宋_GB2312" w:hAnsi="Times New Roman" w:eastAsia="仿宋_GB2312"/>
                <w:color w:val="auto"/>
                <w:sz w:val="18"/>
                <w:szCs w:val="18"/>
                <w:highlight w:val="none"/>
              </w:rPr>
              <w:t>3.活动地址；</w:t>
            </w:r>
            <w:r>
              <w:rPr>
                <w:rFonts w:hint="eastAsia" w:ascii="仿宋_GB2312" w:hAnsi="Times New Roman" w:eastAsia="仿宋_GB2312"/>
                <w:color w:val="auto"/>
                <w:sz w:val="18"/>
                <w:szCs w:val="18"/>
                <w:highlight w:val="none"/>
              </w:rPr>
              <w:br w:type="textWrapping"/>
            </w:r>
            <w:r>
              <w:rPr>
                <w:rFonts w:hint="eastAsia" w:ascii="仿宋_GB2312" w:hAnsi="Times New Roman" w:eastAsia="仿宋_GB2312"/>
                <w:color w:val="auto"/>
                <w:sz w:val="18"/>
                <w:szCs w:val="18"/>
                <w:highlight w:val="none"/>
              </w:rPr>
              <w:t>4.联系电话；</w:t>
            </w:r>
            <w:r>
              <w:rPr>
                <w:rFonts w:hint="eastAsia" w:ascii="仿宋_GB2312" w:hAnsi="Times New Roman" w:eastAsia="仿宋_GB2312"/>
                <w:color w:val="auto"/>
                <w:sz w:val="18"/>
                <w:szCs w:val="18"/>
                <w:highlight w:val="none"/>
              </w:rPr>
              <w:br w:type="textWrapping"/>
            </w:r>
            <w:r>
              <w:rPr>
                <w:rFonts w:hint="eastAsia" w:ascii="仿宋_GB2312" w:hAnsi="Times New Roman" w:eastAsia="仿宋_GB2312"/>
                <w:color w:val="auto"/>
                <w:sz w:val="18"/>
                <w:szCs w:val="18"/>
                <w:highlight w:val="none"/>
              </w:rPr>
              <w:t>5.临时停止活动信息。</w:t>
            </w:r>
          </w:p>
        </w:tc>
        <w:tc>
          <w:tcPr>
            <w:tcW w:w="1746" w:type="dxa"/>
            <w:vAlign w:val="center"/>
          </w:tcPr>
          <w:p w14:paraId="43A6BC8F">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r>
              <w:rPr>
                <w:rFonts w:hint="eastAsia" w:ascii="仿宋_GB2312" w:hAnsi="Times New Roman" w:eastAsia="仿宋_GB2312"/>
                <w:color w:val="auto"/>
                <w:sz w:val="18"/>
                <w:szCs w:val="18"/>
                <w:highlight w:val="none"/>
                <w:lang w:eastAsia="zh-CN"/>
              </w:rPr>
              <w:t>中华人民共和国政府信息公开条例</w:t>
            </w:r>
            <w:r>
              <w:rPr>
                <w:rFonts w:hint="eastAsia" w:ascii="仿宋_GB2312" w:hAnsi="Times New Roman" w:eastAsia="仿宋_GB2312"/>
                <w:color w:val="auto"/>
                <w:sz w:val="18"/>
                <w:szCs w:val="18"/>
                <w:highlight w:val="none"/>
              </w:rPr>
              <w:t>》、《乡镇综合文化站管理办法》</w:t>
            </w:r>
          </w:p>
        </w:tc>
        <w:tc>
          <w:tcPr>
            <w:tcW w:w="1539" w:type="dxa"/>
            <w:vAlign w:val="center"/>
          </w:tcPr>
          <w:p w14:paraId="4644E583">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信息形成或变更之日起20个工作日内公开</w:t>
            </w:r>
          </w:p>
        </w:tc>
        <w:tc>
          <w:tcPr>
            <w:tcW w:w="1329" w:type="dxa"/>
            <w:vAlign w:val="center"/>
          </w:tcPr>
          <w:p w14:paraId="2AB1615B">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lang w:eastAsia="zh-CN"/>
              </w:rPr>
              <w:t>市文化广电旅游局，相关公共文化服务机构</w:t>
            </w:r>
          </w:p>
        </w:tc>
        <w:tc>
          <w:tcPr>
            <w:tcW w:w="1342" w:type="dxa"/>
            <w:vAlign w:val="center"/>
          </w:tcPr>
          <w:p w14:paraId="20FC1B81">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■政府网站</w:t>
            </w:r>
          </w:p>
        </w:tc>
        <w:tc>
          <w:tcPr>
            <w:tcW w:w="672" w:type="dxa"/>
            <w:vAlign w:val="center"/>
          </w:tcPr>
          <w:p w14:paraId="5F561B82">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660" w:type="dxa"/>
            <w:vAlign w:val="center"/>
          </w:tcPr>
          <w:p w14:paraId="56A65B8B">
            <w:pPr>
              <w:spacing w:line="240" w:lineRule="exact"/>
              <w:jc w:val="center"/>
              <w:rPr>
                <w:rFonts w:ascii="仿宋_GB2312" w:hAnsi="Times New Roman" w:eastAsia="仿宋_GB2312"/>
                <w:color w:val="auto"/>
                <w:sz w:val="18"/>
                <w:szCs w:val="18"/>
              </w:rPr>
            </w:pPr>
          </w:p>
        </w:tc>
        <w:tc>
          <w:tcPr>
            <w:tcW w:w="513" w:type="dxa"/>
            <w:vAlign w:val="center"/>
          </w:tcPr>
          <w:p w14:paraId="3FBF1330">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672" w:type="dxa"/>
            <w:vAlign w:val="center"/>
          </w:tcPr>
          <w:p w14:paraId="22FE5F55">
            <w:pPr>
              <w:spacing w:line="240" w:lineRule="exact"/>
              <w:jc w:val="center"/>
              <w:rPr>
                <w:rFonts w:ascii="仿宋_GB2312" w:hAnsi="Times New Roman" w:eastAsia="仿宋_GB2312"/>
                <w:color w:val="auto"/>
                <w:sz w:val="18"/>
                <w:szCs w:val="18"/>
              </w:rPr>
            </w:pPr>
          </w:p>
        </w:tc>
        <w:tc>
          <w:tcPr>
            <w:tcW w:w="671" w:type="dxa"/>
            <w:vAlign w:val="center"/>
          </w:tcPr>
          <w:p w14:paraId="0AC1566F">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784" w:type="dxa"/>
            <w:vAlign w:val="center"/>
          </w:tcPr>
          <w:p w14:paraId="0F05F691">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r>
      <w:tr w14:paraId="04E8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vAlign w:val="center"/>
          </w:tcPr>
          <w:p w14:paraId="49B92ADF">
            <w:pPr>
              <w:spacing w:line="240" w:lineRule="exact"/>
              <w:jc w:val="center"/>
              <w:rPr>
                <w:rFonts w:hint="default"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12</w:t>
            </w:r>
          </w:p>
        </w:tc>
        <w:tc>
          <w:tcPr>
            <w:tcW w:w="684" w:type="dxa"/>
            <w:vAlign w:val="center"/>
          </w:tcPr>
          <w:p w14:paraId="0196054C">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公共</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服务</w:t>
            </w:r>
          </w:p>
        </w:tc>
        <w:tc>
          <w:tcPr>
            <w:tcW w:w="1509" w:type="dxa"/>
            <w:vAlign w:val="center"/>
          </w:tcPr>
          <w:p w14:paraId="69E209FD">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辅导和培训基层文化骨干</w:t>
            </w:r>
          </w:p>
        </w:tc>
        <w:tc>
          <w:tcPr>
            <w:tcW w:w="1916" w:type="dxa"/>
            <w:vAlign w:val="center"/>
          </w:tcPr>
          <w:p w14:paraId="74AFD79B">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1.培训时间；</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2.培训单位；</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3.培训地址；</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4.联系电话；</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5.临时停止活动信息。</w:t>
            </w:r>
          </w:p>
        </w:tc>
        <w:tc>
          <w:tcPr>
            <w:tcW w:w="1746" w:type="dxa"/>
            <w:vAlign w:val="center"/>
          </w:tcPr>
          <w:p w14:paraId="454D3A12">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w:t>
            </w:r>
            <w:r>
              <w:rPr>
                <w:rFonts w:hint="eastAsia" w:ascii="仿宋_GB2312" w:hAnsi="Times New Roman" w:eastAsia="仿宋_GB2312"/>
                <w:color w:val="auto"/>
                <w:sz w:val="18"/>
                <w:szCs w:val="18"/>
                <w:lang w:eastAsia="zh-CN"/>
              </w:rPr>
              <w:t>中华人民共和国政府信息公开条例</w:t>
            </w:r>
            <w:r>
              <w:rPr>
                <w:rFonts w:hint="eastAsia" w:ascii="仿宋_GB2312" w:hAnsi="Times New Roman" w:eastAsia="仿宋_GB2312"/>
                <w:color w:val="auto"/>
                <w:sz w:val="18"/>
                <w:szCs w:val="18"/>
              </w:rPr>
              <w:t>》、《乡镇综合文化站管理办法》</w:t>
            </w:r>
          </w:p>
        </w:tc>
        <w:tc>
          <w:tcPr>
            <w:tcW w:w="1539" w:type="dxa"/>
            <w:vAlign w:val="center"/>
          </w:tcPr>
          <w:p w14:paraId="5E926EC7">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信息形成或变更之日起20个工作日内公开</w:t>
            </w:r>
          </w:p>
        </w:tc>
        <w:tc>
          <w:tcPr>
            <w:tcW w:w="1329" w:type="dxa"/>
            <w:vAlign w:val="center"/>
          </w:tcPr>
          <w:p w14:paraId="28D78DA5">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lang w:eastAsia="zh-CN"/>
              </w:rPr>
              <w:t>市文化广电旅游局，相关公共文化服务机构</w:t>
            </w:r>
          </w:p>
        </w:tc>
        <w:tc>
          <w:tcPr>
            <w:tcW w:w="1342" w:type="dxa"/>
            <w:vAlign w:val="center"/>
          </w:tcPr>
          <w:p w14:paraId="781BA89B">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■政府网站</w:t>
            </w:r>
          </w:p>
        </w:tc>
        <w:tc>
          <w:tcPr>
            <w:tcW w:w="672" w:type="dxa"/>
            <w:vAlign w:val="center"/>
          </w:tcPr>
          <w:p w14:paraId="7E2761D3">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660" w:type="dxa"/>
            <w:vAlign w:val="center"/>
          </w:tcPr>
          <w:p w14:paraId="3510DFF2">
            <w:pPr>
              <w:spacing w:line="240" w:lineRule="exact"/>
              <w:jc w:val="center"/>
              <w:rPr>
                <w:rFonts w:ascii="仿宋_GB2312" w:hAnsi="Times New Roman" w:eastAsia="仿宋_GB2312"/>
                <w:color w:val="auto"/>
                <w:sz w:val="18"/>
                <w:szCs w:val="18"/>
              </w:rPr>
            </w:pPr>
          </w:p>
        </w:tc>
        <w:tc>
          <w:tcPr>
            <w:tcW w:w="513" w:type="dxa"/>
            <w:vAlign w:val="center"/>
          </w:tcPr>
          <w:p w14:paraId="5052F981">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672" w:type="dxa"/>
            <w:vAlign w:val="center"/>
          </w:tcPr>
          <w:p w14:paraId="6B2AEA5C">
            <w:pPr>
              <w:spacing w:line="240" w:lineRule="exact"/>
              <w:jc w:val="center"/>
              <w:rPr>
                <w:rFonts w:ascii="仿宋_GB2312" w:hAnsi="Times New Roman" w:eastAsia="仿宋_GB2312"/>
                <w:color w:val="auto"/>
                <w:sz w:val="18"/>
                <w:szCs w:val="18"/>
              </w:rPr>
            </w:pPr>
          </w:p>
        </w:tc>
        <w:tc>
          <w:tcPr>
            <w:tcW w:w="671" w:type="dxa"/>
            <w:vAlign w:val="center"/>
          </w:tcPr>
          <w:p w14:paraId="35658607">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784" w:type="dxa"/>
            <w:vAlign w:val="center"/>
          </w:tcPr>
          <w:p w14:paraId="5DC9BE33">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r>
      <w:tr w14:paraId="67B9A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vAlign w:val="center"/>
          </w:tcPr>
          <w:p w14:paraId="78738513">
            <w:pPr>
              <w:spacing w:line="240" w:lineRule="exact"/>
              <w:jc w:val="center"/>
              <w:rPr>
                <w:rFonts w:hint="default"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13</w:t>
            </w:r>
          </w:p>
        </w:tc>
        <w:tc>
          <w:tcPr>
            <w:tcW w:w="684" w:type="dxa"/>
            <w:vAlign w:val="center"/>
          </w:tcPr>
          <w:p w14:paraId="59BEDF43">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公共</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服务</w:t>
            </w:r>
          </w:p>
        </w:tc>
        <w:tc>
          <w:tcPr>
            <w:tcW w:w="1509" w:type="dxa"/>
            <w:vAlign w:val="center"/>
          </w:tcPr>
          <w:p w14:paraId="30BA021B">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非物质文化遗产展示传播活动</w:t>
            </w:r>
          </w:p>
        </w:tc>
        <w:tc>
          <w:tcPr>
            <w:tcW w:w="1916" w:type="dxa"/>
            <w:vAlign w:val="center"/>
          </w:tcPr>
          <w:p w14:paraId="0BBFD5C9">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1.活动时间；</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2.组织单位；</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3.活动地址；</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4.联系电话；</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5.临时停止活动信息。</w:t>
            </w:r>
          </w:p>
        </w:tc>
        <w:tc>
          <w:tcPr>
            <w:tcW w:w="1746" w:type="dxa"/>
            <w:vAlign w:val="center"/>
          </w:tcPr>
          <w:p w14:paraId="7703E7A3">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《中华人民共和国非物质文化遗产法》、《</w:t>
            </w:r>
            <w:r>
              <w:rPr>
                <w:rFonts w:hint="eastAsia" w:ascii="仿宋_GB2312" w:hAnsi="Times New Roman" w:eastAsia="仿宋_GB2312"/>
                <w:color w:val="auto"/>
                <w:sz w:val="18"/>
                <w:szCs w:val="18"/>
                <w:lang w:eastAsia="zh-CN"/>
              </w:rPr>
              <w:t>中华人民共和国政府信息公开条例</w:t>
            </w:r>
            <w:r>
              <w:rPr>
                <w:rFonts w:hint="eastAsia" w:ascii="仿宋_GB2312" w:hAnsi="Times New Roman" w:eastAsia="仿宋_GB2312"/>
                <w:color w:val="auto"/>
                <w:sz w:val="18"/>
                <w:szCs w:val="18"/>
              </w:rPr>
              <w:t xml:space="preserve">》  </w:t>
            </w:r>
          </w:p>
        </w:tc>
        <w:tc>
          <w:tcPr>
            <w:tcW w:w="1539" w:type="dxa"/>
            <w:vAlign w:val="center"/>
          </w:tcPr>
          <w:p w14:paraId="0E59BBC3">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信息形成或变更之日起20个工作日内公开</w:t>
            </w:r>
          </w:p>
        </w:tc>
        <w:tc>
          <w:tcPr>
            <w:tcW w:w="1329" w:type="dxa"/>
            <w:vAlign w:val="center"/>
          </w:tcPr>
          <w:p w14:paraId="37AF5B2D">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lang w:eastAsia="zh-CN"/>
              </w:rPr>
              <w:t>市文化广电旅游局，相关公共文化服务机构</w:t>
            </w:r>
          </w:p>
        </w:tc>
        <w:tc>
          <w:tcPr>
            <w:tcW w:w="1342" w:type="dxa"/>
            <w:vAlign w:val="center"/>
          </w:tcPr>
          <w:p w14:paraId="5CC17C89">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■政府网站</w:t>
            </w:r>
          </w:p>
        </w:tc>
        <w:tc>
          <w:tcPr>
            <w:tcW w:w="672" w:type="dxa"/>
            <w:vAlign w:val="center"/>
          </w:tcPr>
          <w:p w14:paraId="28879291">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660" w:type="dxa"/>
            <w:vAlign w:val="center"/>
          </w:tcPr>
          <w:p w14:paraId="37D56C08">
            <w:pPr>
              <w:spacing w:line="240" w:lineRule="exact"/>
              <w:jc w:val="center"/>
              <w:rPr>
                <w:rFonts w:ascii="仿宋_GB2312" w:hAnsi="Times New Roman" w:eastAsia="仿宋_GB2312"/>
                <w:color w:val="auto"/>
                <w:sz w:val="18"/>
                <w:szCs w:val="18"/>
              </w:rPr>
            </w:pPr>
          </w:p>
        </w:tc>
        <w:tc>
          <w:tcPr>
            <w:tcW w:w="513" w:type="dxa"/>
            <w:vAlign w:val="center"/>
          </w:tcPr>
          <w:p w14:paraId="496F1DFA">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672" w:type="dxa"/>
            <w:vAlign w:val="center"/>
          </w:tcPr>
          <w:p w14:paraId="58773E4C">
            <w:pPr>
              <w:spacing w:line="240" w:lineRule="exact"/>
              <w:jc w:val="center"/>
              <w:rPr>
                <w:rFonts w:ascii="仿宋_GB2312" w:hAnsi="Times New Roman" w:eastAsia="仿宋_GB2312"/>
                <w:color w:val="auto"/>
                <w:sz w:val="18"/>
                <w:szCs w:val="18"/>
              </w:rPr>
            </w:pPr>
          </w:p>
        </w:tc>
        <w:tc>
          <w:tcPr>
            <w:tcW w:w="671" w:type="dxa"/>
            <w:vAlign w:val="center"/>
          </w:tcPr>
          <w:p w14:paraId="2F7DE19A">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784" w:type="dxa"/>
            <w:vAlign w:val="center"/>
          </w:tcPr>
          <w:p w14:paraId="3A215ABD">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r>
      <w:tr w14:paraId="3BD48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04" w:type="dxa"/>
            <w:vAlign w:val="center"/>
          </w:tcPr>
          <w:p w14:paraId="724ED93C">
            <w:pPr>
              <w:spacing w:line="240" w:lineRule="exact"/>
              <w:jc w:val="center"/>
              <w:rPr>
                <w:rFonts w:hint="default" w:ascii="仿宋_GB2312" w:hAnsi="Times New Roman" w:eastAsia="仿宋_GB2312"/>
                <w:color w:val="auto"/>
                <w:sz w:val="18"/>
                <w:szCs w:val="18"/>
                <w:lang w:val="en-US" w:eastAsia="zh-CN"/>
              </w:rPr>
            </w:pPr>
            <w:r>
              <w:rPr>
                <w:rFonts w:hint="eastAsia" w:ascii="仿宋_GB2312" w:hAnsi="Times New Roman" w:eastAsia="仿宋_GB2312"/>
                <w:color w:val="auto"/>
                <w:sz w:val="18"/>
                <w:szCs w:val="18"/>
                <w:lang w:val="en-US" w:eastAsia="zh-CN"/>
              </w:rPr>
              <w:t>14</w:t>
            </w:r>
          </w:p>
        </w:tc>
        <w:tc>
          <w:tcPr>
            <w:tcW w:w="684" w:type="dxa"/>
            <w:vAlign w:val="center"/>
          </w:tcPr>
          <w:p w14:paraId="07E0CC26">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公共</w:t>
            </w:r>
            <w:r>
              <w:rPr>
                <w:rFonts w:hint="eastAsia" w:ascii="仿宋_GB2312" w:hAnsi="Times New Roman" w:eastAsia="仿宋_GB2312"/>
                <w:color w:val="auto"/>
                <w:sz w:val="18"/>
                <w:szCs w:val="18"/>
              </w:rPr>
              <w:br w:type="textWrapping"/>
            </w:r>
            <w:r>
              <w:rPr>
                <w:rFonts w:hint="eastAsia" w:ascii="仿宋_GB2312" w:hAnsi="Times New Roman" w:eastAsia="仿宋_GB2312"/>
                <w:color w:val="auto"/>
                <w:sz w:val="18"/>
                <w:szCs w:val="18"/>
              </w:rPr>
              <w:t>服务</w:t>
            </w:r>
          </w:p>
        </w:tc>
        <w:tc>
          <w:tcPr>
            <w:tcW w:w="1509" w:type="dxa"/>
            <w:vAlign w:val="center"/>
          </w:tcPr>
          <w:p w14:paraId="3DAD200D">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文博单位名录</w:t>
            </w:r>
          </w:p>
        </w:tc>
        <w:tc>
          <w:tcPr>
            <w:tcW w:w="1916" w:type="dxa"/>
            <w:vAlign w:val="center"/>
          </w:tcPr>
          <w:p w14:paraId="674A8670">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文物保护管理机构和博物馆名录</w:t>
            </w:r>
          </w:p>
        </w:tc>
        <w:tc>
          <w:tcPr>
            <w:tcW w:w="1746" w:type="dxa"/>
            <w:vAlign w:val="center"/>
          </w:tcPr>
          <w:p w14:paraId="74C1DC40">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w:t>
            </w:r>
            <w:r>
              <w:rPr>
                <w:rFonts w:hint="eastAsia" w:ascii="仿宋_GB2312" w:hAnsi="Times New Roman" w:eastAsia="仿宋_GB2312"/>
                <w:color w:val="auto"/>
                <w:sz w:val="18"/>
                <w:szCs w:val="18"/>
                <w:lang w:eastAsia="zh-CN"/>
              </w:rPr>
              <w:t>中华人民共和国政府信息公开条例</w:t>
            </w:r>
            <w:r>
              <w:rPr>
                <w:rFonts w:hint="eastAsia" w:ascii="仿宋_GB2312" w:hAnsi="Times New Roman" w:eastAsia="仿宋_GB2312"/>
                <w:color w:val="auto"/>
                <w:sz w:val="18"/>
                <w:szCs w:val="18"/>
              </w:rPr>
              <w:t>》</w:t>
            </w:r>
          </w:p>
        </w:tc>
        <w:tc>
          <w:tcPr>
            <w:tcW w:w="1539" w:type="dxa"/>
            <w:vAlign w:val="center"/>
          </w:tcPr>
          <w:p w14:paraId="5C99FC86">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信息形成或变更之日起20个工作日内公开</w:t>
            </w:r>
          </w:p>
        </w:tc>
        <w:tc>
          <w:tcPr>
            <w:tcW w:w="1329" w:type="dxa"/>
            <w:vAlign w:val="center"/>
          </w:tcPr>
          <w:p w14:paraId="19479909">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lang w:eastAsia="zh-CN"/>
              </w:rPr>
              <w:t>市文化广电旅游局、相关文物行政部门</w:t>
            </w:r>
          </w:p>
        </w:tc>
        <w:tc>
          <w:tcPr>
            <w:tcW w:w="1342" w:type="dxa"/>
            <w:vAlign w:val="center"/>
          </w:tcPr>
          <w:p w14:paraId="390BB8AF">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■政府网站</w:t>
            </w:r>
          </w:p>
        </w:tc>
        <w:tc>
          <w:tcPr>
            <w:tcW w:w="672" w:type="dxa"/>
            <w:vAlign w:val="center"/>
          </w:tcPr>
          <w:p w14:paraId="4E315C21">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660" w:type="dxa"/>
            <w:vAlign w:val="center"/>
          </w:tcPr>
          <w:p w14:paraId="3B33C72A">
            <w:pPr>
              <w:spacing w:line="240" w:lineRule="exact"/>
              <w:jc w:val="center"/>
              <w:rPr>
                <w:rFonts w:ascii="仿宋_GB2312" w:hAnsi="Times New Roman" w:eastAsia="仿宋_GB2312"/>
                <w:color w:val="auto"/>
                <w:sz w:val="18"/>
                <w:szCs w:val="18"/>
              </w:rPr>
            </w:pPr>
          </w:p>
        </w:tc>
        <w:tc>
          <w:tcPr>
            <w:tcW w:w="513" w:type="dxa"/>
            <w:vAlign w:val="center"/>
          </w:tcPr>
          <w:p w14:paraId="69D1BE0D">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672" w:type="dxa"/>
            <w:vAlign w:val="center"/>
          </w:tcPr>
          <w:p w14:paraId="0A72345D">
            <w:pPr>
              <w:spacing w:line="240" w:lineRule="exact"/>
              <w:jc w:val="center"/>
              <w:rPr>
                <w:rFonts w:ascii="仿宋_GB2312" w:hAnsi="Times New Roman" w:eastAsia="仿宋_GB2312"/>
                <w:color w:val="auto"/>
                <w:sz w:val="18"/>
                <w:szCs w:val="18"/>
              </w:rPr>
            </w:pPr>
          </w:p>
        </w:tc>
        <w:tc>
          <w:tcPr>
            <w:tcW w:w="671" w:type="dxa"/>
            <w:vAlign w:val="center"/>
          </w:tcPr>
          <w:p w14:paraId="46DD8AA4">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c>
          <w:tcPr>
            <w:tcW w:w="784" w:type="dxa"/>
            <w:vAlign w:val="center"/>
          </w:tcPr>
          <w:p w14:paraId="6C6B7895">
            <w:pPr>
              <w:spacing w:line="240" w:lineRule="exact"/>
              <w:jc w:val="center"/>
              <w:rPr>
                <w:rFonts w:ascii="仿宋_GB2312" w:hAnsi="Times New Roman" w:eastAsia="仿宋_GB2312"/>
                <w:color w:val="auto"/>
                <w:sz w:val="18"/>
                <w:szCs w:val="18"/>
              </w:rPr>
            </w:pPr>
            <w:r>
              <w:rPr>
                <w:rFonts w:hint="eastAsia" w:ascii="仿宋_GB2312" w:hAnsi="Times New Roman" w:eastAsia="仿宋_GB2312"/>
                <w:color w:val="auto"/>
                <w:sz w:val="18"/>
                <w:szCs w:val="18"/>
                <w:highlight w:val="none"/>
              </w:rPr>
              <w:t>√</w:t>
            </w:r>
          </w:p>
        </w:tc>
      </w:tr>
    </w:tbl>
    <w:p w14:paraId="409F212F">
      <w:pPr>
        <w:jc w:val="left"/>
        <w:rPr>
          <w:rFonts w:ascii="Times New Roman" w:hAnsi="Times New Roman" w:eastAsia="方正小标宋_GBK"/>
          <w:color w:val="auto"/>
          <w:sz w:val="28"/>
          <w:szCs w:val="28"/>
        </w:rPr>
      </w:pPr>
    </w:p>
    <w:p w14:paraId="269FF22B"/>
    <w:sectPr>
      <w:footerReference r:id="rId3"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B16C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B12B49">
                          <w:pPr>
                            <w:pStyle w:val="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B12B49">
                    <w:pPr>
                      <w:pStyle w:val="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0830BF"/>
    <w:multiLevelType w:val="singleLevel"/>
    <w:tmpl w:val="5F0830BF"/>
    <w:lvl w:ilvl="0" w:tentative="0">
      <w:start w:val="1"/>
      <w:numFmt w:val="decimal"/>
      <w:suff w:val="nothing"/>
      <w:lvlText w:val="%1."/>
      <w:lvlJc w:val="left"/>
    </w:lvl>
  </w:abstractNum>
  <w:abstractNum w:abstractNumId="1">
    <w:nsid w:val="5F0832E9"/>
    <w:multiLevelType w:val="singleLevel"/>
    <w:tmpl w:val="5F0832E9"/>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trackRevisions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9F0FB7"/>
    <w:rsid w:val="00E0339F"/>
    <w:rsid w:val="02B054AD"/>
    <w:rsid w:val="03966944"/>
    <w:rsid w:val="071241C6"/>
    <w:rsid w:val="0A920F52"/>
    <w:rsid w:val="0C384085"/>
    <w:rsid w:val="11576AF1"/>
    <w:rsid w:val="126F12B5"/>
    <w:rsid w:val="1C9D7FEF"/>
    <w:rsid w:val="237A4C53"/>
    <w:rsid w:val="255D415B"/>
    <w:rsid w:val="29CE16C4"/>
    <w:rsid w:val="2CD91B9E"/>
    <w:rsid w:val="36A147B7"/>
    <w:rsid w:val="40754296"/>
    <w:rsid w:val="412E1DD4"/>
    <w:rsid w:val="4142634C"/>
    <w:rsid w:val="43C92AA1"/>
    <w:rsid w:val="4420374A"/>
    <w:rsid w:val="4446112B"/>
    <w:rsid w:val="49EE2E09"/>
    <w:rsid w:val="4E9F0FB7"/>
    <w:rsid w:val="4F384441"/>
    <w:rsid w:val="54D351E1"/>
    <w:rsid w:val="5DF52F4C"/>
    <w:rsid w:val="5F447F1A"/>
    <w:rsid w:val="6D535020"/>
    <w:rsid w:val="72E0157C"/>
    <w:rsid w:val="733134C1"/>
    <w:rsid w:val="753E6634"/>
    <w:rsid w:val="75B14C22"/>
    <w:rsid w:val="75CA3ED2"/>
    <w:rsid w:val="777E9757"/>
    <w:rsid w:val="7975D436"/>
    <w:rsid w:val="7A8B1B1F"/>
    <w:rsid w:val="7D3643EB"/>
    <w:rsid w:val="7D5344D6"/>
    <w:rsid w:val="7E033DB9"/>
    <w:rsid w:val="DCD32ADA"/>
    <w:rsid w:val="DFFF04C0"/>
    <w:rsid w:val="F8C7D2D8"/>
    <w:rsid w:val="FCE69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guest/C:\Users\&#32701;&#32701;\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5</Pages>
  <Words>9883</Words>
  <Characters>10202</Characters>
  <Lines>0</Lines>
  <Paragraphs>0</Paragraphs>
  <TotalTime>39</TotalTime>
  <ScaleCrop>false</ScaleCrop>
  <LinksUpToDate>false</LinksUpToDate>
  <CharactersWithSpaces>10690</CharactersWithSpaces>
  <Application>WPS Office_12.9.0.21301_F1E327BC-269C-435d-A152-05C5408002CA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2020-07-02T02:36:00Z</dcterms:created>
  <dc:creator>梁羽</dc:creator>
  <cp:lastModifiedBy>GUEST</cp:lastModifiedBy>
  <cp:lastPrinted>2020-08-12T03:25:00Z</cp:lastPrinted>
  <dcterms:modified xsi:type="dcterms:W3CDTF">2026-07-22T10:36:44Z</dcterms:modified>
  <dc:title>中山市公共文化服务领域基层政务公开标准目录</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2052-12.9.0.21301</vt:lpwstr>
  </property>
  <property fmtid="{D5CDD505-2E9C-101B-9397-08002B2CF9AE}" pid="3" name="ICV">
    <vt:lpwstr>6E02913C8AF644F0BD2C366B876D5665</vt:lpwstr>
  </property>
</Properties>
</file>