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99E990">
      <w:pPr>
        <w:spacing w:line="560" w:lineRule="exact"/>
        <w:ind w:firstLine="0" w:firstLineChars="0"/>
        <w:jc w:val="both"/>
        <w:rPr>
          <w:rFonts w:hint="default" w:ascii="方正小标宋简体" w:hAnsi="方正小标宋简体" w:eastAsia="方正小标宋简体" w:cs="方正小标宋简体"/>
          <w:color w:val="auto"/>
          <w:sz w:val="32"/>
          <w:szCs w:val="32"/>
          <w:lang w:val="en-US" w:eastAsia="zh-CN"/>
        </w:rPr>
      </w:pPr>
      <w:r>
        <w:rPr>
          <w:rFonts w:hint="eastAsia" w:ascii="方正小标宋简体" w:hAnsi="方正小标宋简体" w:eastAsia="方正小标宋简体" w:cs="方正小标宋简体"/>
          <w:color w:val="auto"/>
          <w:sz w:val="32"/>
          <w:szCs w:val="32"/>
          <w:lang w:eastAsia="zh-CN"/>
        </w:rPr>
        <w:t>附件</w:t>
      </w:r>
      <w:r>
        <w:rPr>
          <w:rFonts w:hint="eastAsia" w:ascii="方正小标宋简体" w:hAnsi="方正小标宋简体" w:eastAsia="方正小标宋简体" w:cs="方正小标宋简体"/>
          <w:color w:val="auto"/>
          <w:sz w:val="32"/>
          <w:szCs w:val="32"/>
          <w:lang w:val="en-US" w:eastAsia="zh-CN"/>
        </w:rPr>
        <w:t>6</w:t>
      </w:r>
    </w:p>
    <w:p w14:paraId="5CDF379A">
      <w:pPr>
        <w:spacing w:line="560" w:lineRule="exact"/>
        <w:ind w:firstLine="0" w:firstLineChars="0"/>
        <w:jc w:val="center"/>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中山市国内营业性演出审批业务</w:t>
      </w:r>
    </w:p>
    <w:p w14:paraId="5508E866">
      <w:pPr>
        <w:spacing w:line="560" w:lineRule="exact"/>
        <w:ind w:firstLine="0" w:firstLineChars="0"/>
        <w:jc w:val="center"/>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相关问题解析</w:t>
      </w:r>
    </w:p>
    <w:p w14:paraId="7CD202E0">
      <w:pPr>
        <w:spacing w:line="560" w:lineRule="exact"/>
        <w:ind w:firstLine="880" w:firstLineChars="200"/>
        <w:jc w:val="both"/>
        <w:rPr>
          <w:rFonts w:hint="eastAsia" w:ascii="方正小标宋简体" w:hAnsi="方正小标宋简体" w:eastAsia="方正小标宋简体" w:cs="方正小标宋简体"/>
          <w:color w:val="auto"/>
          <w:sz w:val="44"/>
          <w:szCs w:val="44"/>
          <w:lang w:eastAsia="zh-CN"/>
        </w:rPr>
      </w:pPr>
    </w:p>
    <w:p w14:paraId="25D6D0B5">
      <w:pPr>
        <w:spacing w:line="560" w:lineRule="exact"/>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（一）什么是营业性演出？</w:t>
      </w:r>
    </w:p>
    <w:p w14:paraId="3BDABD9C">
      <w:pPr>
        <w:pStyle w:val="6"/>
        <w:snapToGrid w:val="0"/>
        <w:spacing w:line="560" w:lineRule="exact"/>
        <w:ind w:firstLine="640"/>
        <w:rPr>
          <w:rFonts w:hint="eastAsia" w:ascii="仿宋_GB2312" w:hAnsi="宋体" w:eastAsia="仿宋_GB2312"/>
          <w:color w:val="auto"/>
          <w:sz w:val="32"/>
          <w:szCs w:val="32"/>
        </w:rPr>
      </w:pPr>
      <w:r>
        <w:rPr>
          <w:rFonts w:hint="eastAsia" w:ascii="仿宋_GB2312" w:hAnsi="宋体" w:eastAsia="仿宋_GB2312"/>
          <w:color w:val="auto"/>
          <w:sz w:val="32"/>
          <w:szCs w:val="32"/>
        </w:rPr>
        <w:t>营业性演出是指以营利为目的为公众举办的现场文艺</w:t>
      </w:r>
      <w:bookmarkStart w:id="0" w:name="_GoBack"/>
      <w:bookmarkEnd w:id="0"/>
      <w:r>
        <w:rPr>
          <w:rFonts w:hint="eastAsia" w:ascii="仿宋_GB2312" w:hAnsi="宋体" w:eastAsia="仿宋_GB2312"/>
          <w:color w:val="auto"/>
          <w:sz w:val="32"/>
          <w:szCs w:val="32"/>
        </w:rPr>
        <w:t>表演活动。举办募捐义演和其他符合《营业性演出管理条例实施细则》第二条所述方式的公益性演出按本指南办理。</w:t>
      </w:r>
    </w:p>
    <w:p w14:paraId="0B175BD0">
      <w:pPr>
        <w:spacing w:line="560" w:lineRule="exact"/>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（二）未成年人参加营业性演出，提供本人的同意函就可以吗？</w:t>
      </w:r>
    </w:p>
    <w:p w14:paraId="7602E513">
      <w:pPr>
        <w:spacing w:line="560" w:lineRule="exact"/>
        <w:ind w:firstLine="640" w:firstLineChars="200"/>
        <w:rPr>
          <w:rFonts w:hint="eastAsia" w:ascii="仿宋_GB2312" w:hAnsi="楷体" w:eastAsia="仿宋_GB2312"/>
          <w:color w:val="auto"/>
          <w:sz w:val="32"/>
          <w:szCs w:val="32"/>
        </w:rPr>
      </w:pPr>
      <w:r>
        <w:rPr>
          <w:rFonts w:hint="eastAsia" w:ascii="仿宋_GB2312" w:hAnsi="楷体" w:eastAsia="仿宋_GB2312"/>
          <w:color w:val="auto"/>
          <w:sz w:val="32"/>
          <w:szCs w:val="32"/>
        </w:rPr>
        <w:t>答：不行。应当提供其监护人出具的书面同意材料或是监护人与文艺表演团体签署的书面同意函。</w:t>
      </w:r>
    </w:p>
    <w:p w14:paraId="2DABF9BE">
      <w:pPr>
        <w:spacing w:line="560" w:lineRule="exact"/>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 xml:space="preserve">    (三)对演出节目内容及其视听资料是如何要求的？</w:t>
      </w:r>
    </w:p>
    <w:p w14:paraId="38D5FB5E">
      <w:pPr>
        <w:spacing w:line="560" w:lineRule="exact"/>
        <w:ind w:firstLine="640" w:firstLineChars="200"/>
        <w:rPr>
          <w:rFonts w:hint="eastAsia" w:ascii="黑体" w:hAnsi="宋体" w:eastAsia="黑体"/>
          <w:color w:val="auto"/>
          <w:sz w:val="30"/>
          <w:szCs w:val="30"/>
        </w:rPr>
      </w:pPr>
      <w:r>
        <w:rPr>
          <w:rFonts w:hint="eastAsia" w:ascii="仿宋_GB2312" w:hAnsi="楷体" w:eastAsia="仿宋_GB2312"/>
          <w:color w:val="auto"/>
          <w:sz w:val="32"/>
          <w:szCs w:val="32"/>
        </w:rPr>
        <w:t>答：鉴于演出活动具有艺术二次创作的特点，对于临时组台演出，其所报视听资料可以是演出或练习的视频资料。</w:t>
      </w:r>
    </w:p>
    <w:p w14:paraId="721D4CDF">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（四）演出经纪机构资质审核注意事项有哪些？</w:t>
      </w:r>
    </w:p>
    <w:p w14:paraId="6D249EBE">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涉外及港澳台营业性演出活动的举办单位，应当符合《营业性演出管理条例》（以下简称《条例》）及《营业性演出管理条例实施细则》（以下简称《实施细则》）规定的条件。演出经纪机构取得《营业性演出许可证》满2年，但没有举办过营业性演出的，不得举办涉外及港澳台营业性演出。演出经纪机构有违反《条例》规定记录的，自行政处罚决定生效之日起2年内，不得举办涉外港澳台营业性演出。</w:t>
      </w:r>
    </w:p>
    <w:p w14:paraId="66F11E2C">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（五）两年以上从事演出的经历应当怎样计算？</w:t>
      </w:r>
    </w:p>
    <w:p w14:paraId="0805950A">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从设立之日起计算。</w:t>
      </w:r>
    </w:p>
    <w:p w14:paraId="1BE97CDF">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（六）企业邀请演员参加不对外的庆典演出，应如何审批？</w:t>
      </w:r>
    </w:p>
    <w:p w14:paraId="4D567FFC">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属于包场演出，应当按照《条例》及实施细则的规定审批；至于企业内部工会组织本单位职工的演出，属于企业内部活动，不需审批。</w:t>
      </w:r>
    </w:p>
    <w:p w14:paraId="1CFB24AA">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（七）歌迷会是否需要审批？</w:t>
      </w:r>
    </w:p>
    <w:p w14:paraId="6E2BA201">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如果歌迷会有企业赞助或者歌手有出场费或者现场有演出活动，应当报文化主管部门审批。</w:t>
      </w:r>
    </w:p>
    <w:p w14:paraId="496BA221">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（八）歌手担任企业的形象大使，需不需要文化主管部门的审批？</w:t>
      </w:r>
    </w:p>
    <w:p w14:paraId="1CCA6FA8">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不需要文化部门审批。但企业为推广所举办的演出，应当报文化主管部门审批。</w:t>
      </w:r>
    </w:p>
    <w:p w14:paraId="72A14380">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（九）电视台录制文艺节目需不需要审批？</w:t>
      </w:r>
    </w:p>
    <w:p w14:paraId="3B395DF7">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在演播厅外从事电视文艺节目的现场录制，凡符合《实施细则》第二条规定条件的，均应当委托演出经纪机构承办，并依照《条例》及《实施细则》的规定办理审批手续。防止任何单位以录制节目的名义为名规避审批，确保演出市场的公平、公正。</w:t>
      </w:r>
    </w:p>
    <w:p w14:paraId="1B6C0493">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（十）模特选拔、选美、选秀、走秀活动是否应当依照《条例》审批？</w:t>
      </w:r>
    </w:p>
    <w:p w14:paraId="68E8521C">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模特选拔、选美、选秀、走秀活动不属于文艺演出活动，不在《条例》的调整范围之内。</w:t>
      </w:r>
    </w:p>
    <w:p w14:paraId="2B30D3D0">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（十一）外资投资演出项目是否有限制？</w:t>
      </w:r>
    </w:p>
    <w:p w14:paraId="08FA17BB">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《条例》仅对外商投资设立演出市场主体有准入限制，对外商投资演出项目的行为没有做出具体规定，但公开演出时要按照规定办理相关审批手续。</w:t>
      </w:r>
    </w:p>
    <w:p w14:paraId="4A075E79">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（十二）建立和加强演出市场信息通报制度具体的措施有哪些？</w:t>
      </w:r>
    </w:p>
    <w:p w14:paraId="0DACAF8E">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建立演出市场信息通报制度，省级</w:t>
      </w:r>
      <w:r>
        <w:rPr>
          <w:rFonts w:hint="eastAsia" w:ascii="仿宋_GB2312" w:eastAsia="仿宋_GB2312"/>
          <w:color w:val="auto"/>
          <w:sz w:val="32"/>
          <w:szCs w:val="32"/>
          <w:lang w:eastAsia="zh-CN"/>
        </w:rPr>
        <w:t>文化旅游行政主管部门</w:t>
      </w:r>
      <w:r>
        <w:rPr>
          <w:rFonts w:hint="eastAsia" w:ascii="仿宋_GB2312" w:eastAsia="仿宋_GB2312"/>
          <w:color w:val="auto"/>
          <w:sz w:val="32"/>
          <w:szCs w:val="32"/>
        </w:rPr>
        <w:t>及时将演出批准文件通过网上公示、公文抄送等方式告知演出地县级</w:t>
      </w:r>
      <w:r>
        <w:rPr>
          <w:rFonts w:hint="eastAsia" w:ascii="仿宋_GB2312" w:eastAsia="仿宋_GB2312"/>
          <w:color w:val="auto"/>
          <w:sz w:val="32"/>
          <w:szCs w:val="32"/>
          <w:lang w:eastAsia="zh-CN"/>
        </w:rPr>
        <w:t>文化旅游行政主管部门</w:t>
      </w:r>
      <w:r>
        <w:rPr>
          <w:rFonts w:hint="eastAsia" w:ascii="仿宋_GB2312" w:eastAsia="仿宋_GB2312"/>
          <w:color w:val="auto"/>
          <w:sz w:val="32"/>
          <w:szCs w:val="32"/>
        </w:rPr>
        <w:t>及文化</w:t>
      </w:r>
      <w:r>
        <w:rPr>
          <w:rFonts w:hint="eastAsia" w:ascii="仿宋_GB2312" w:eastAsia="仿宋_GB2312"/>
          <w:color w:val="auto"/>
          <w:sz w:val="32"/>
          <w:szCs w:val="32"/>
          <w:lang w:eastAsia="zh-CN"/>
        </w:rPr>
        <w:t>旅游</w:t>
      </w:r>
      <w:r>
        <w:rPr>
          <w:rFonts w:hint="eastAsia" w:ascii="仿宋_GB2312" w:eastAsia="仿宋_GB2312"/>
          <w:color w:val="auto"/>
          <w:sz w:val="32"/>
          <w:szCs w:val="32"/>
        </w:rPr>
        <w:t>市场综合执法机构。演出批准文件应当包括演出名称、演出团体或者个人、演出时间、演出地点、节目内容以及演出活动举办单位等内容。</w:t>
      </w:r>
    </w:p>
    <w:p w14:paraId="6BBD75C2">
      <w:pPr>
        <w:numPr>
          <w:ilvl w:val="0"/>
          <w:numId w:val="1"/>
        </w:numPr>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举办营业性演出的演出场地的消防安全验收批准文件有哪些？</w:t>
      </w:r>
    </w:p>
    <w:p w14:paraId="1980A58F">
      <w:pPr>
        <w:numPr>
          <w:ilvl w:val="0"/>
          <w:numId w:val="0"/>
        </w:numPr>
        <w:ind w:firstLine="640" w:firstLineChars="200"/>
        <w:jc w:val="both"/>
        <w:rPr>
          <w:rFonts w:hint="eastAsia" w:ascii="仿宋_GB2312" w:hAnsi="仿宋_GB2312" w:eastAsia="仿宋_GB2312" w:cs="仿宋_GB2312"/>
          <w:color w:val="FF0000"/>
          <w:sz w:val="32"/>
          <w:szCs w:val="32"/>
          <w:lang w:val="en-US" w:eastAsia="zh-CN"/>
        </w:rPr>
      </w:pPr>
      <w:r>
        <w:rPr>
          <w:rFonts w:hint="eastAsia" w:ascii="仿宋_GB2312" w:eastAsia="仿宋_GB2312"/>
          <w:color w:val="auto"/>
          <w:sz w:val="32"/>
          <w:szCs w:val="32"/>
          <w:lang w:val="en-US" w:eastAsia="zh-CN"/>
        </w:rPr>
        <w:t>答：如演出场地为专业演出场所，只需提供其《营业性演出许可证》或《演出场所备案证明》进行核查即可；如演出场地为</w:t>
      </w:r>
      <w:r>
        <w:rPr>
          <w:rFonts w:hint="eastAsia" w:ascii="仿宋_GB2312" w:eastAsia="仿宋_GB2312"/>
          <w:color w:val="auto"/>
          <w:sz w:val="32"/>
          <w:szCs w:val="32"/>
          <w:lang w:eastAsia="zh-CN"/>
        </w:rPr>
        <w:t>歌舞娱乐场所、旅游景区、主题公园、游乐园、宾馆、酒吧、饭店、餐饮场所等非专业演出场所，需提供场所的营业执照复印件和</w:t>
      </w:r>
      <w:r>
        <w:rPr>
          <w:rFonts w:hint="default" w:ascii="Times New Roman" w:hAnsi="Times New Roman" w:eastAsia="仿宋_GB2312" w:cs="Times New Roman"/>
          <w:color w:val="FF0000"/>
          <w:kern w:val="0"/>
          <w:sz w:val="32"/>
          <w:szCs w:val="32"/>
          <w:lang w:eastAsia="zh-CN" w:bidi="ar"/>
        </w:rPr>
        <w:t>消防部门</w:t>
      </w:r>
      <w:r>
        <w:rPr>
          <w:rFonts w:hint="default" w:ascii="Times New Roman" w:hAnsi="Times New Roman" w:eastAsia="仿宋_GB2312" w:cs="Times New Roman"/>
          <w:color w:val="FF0000"/>
          <w:kern w:val="0"/>
          <w:sz w:val="32"/>
          <w:szCs w:val="32"/>
          <w:lang w:val="en-US" w:eastAsia="zh-CN" w:bidi="ar"/>
        </w:rPr>
        <w:t>出具</w:t>
      </w:r>
      <w:r>
        <w:rPr>
          <w:rFonts w:hint="default" w:ascii="Times New Roman" w:hAnsi="Times New Roman" w:eastAsia="仿宋_GB2312" w:cs="Times New Roman"/>
          <w:color w:val="FF0000"/>
          <w:kern w:val="0"/>
          <w:sz w:val="32"/>
          <w:szCs w:val="32"/>
          <w:lang w:bidi="ar"/>
        </w:rPr>
        <w:t>的</w:t>
      </w:r>
      <w:r>
        <w:rPr>
          <w:rFonts w:hint="default" w:ascii="Times New Roman" w:hAnsi="Times New Roman" w:eastAsia="仿宋_GB2312" w:cs="Times New Roman"/>
          <w:color w:val="FF0000"/>
          <w:kern w:val="0"/>
          <w:sz w:val="32"/>
          <w:szCs w:val="32"/>
          <w:lang w:val="en-US" w:eastAsia="zh-CN" w:bidi="ar"/>
        </w:rPr>
        <w:t>开业许可</w:t>
      </w:r>
      <w:r>
        <w:rPr>
          <w:rFonts w:hint="default" w:ascii="Times New Roman" w:hAnsi="Times New Roman" w:eastAsia="仿宋_GB2312" w:cs="Times New Roman"/>
          <w:color w:val="FF0000"/>
          <w:kern w:val="0"/>
          <w:sz w:val="32"/>
          <w:szCs w:val="32"/>
          <w:lang w:eastAsia="zh-CN" w:bidi="ar"/>
        </w:rPr>
        <w:t>证明文件</w:t>
      </w:r>
      <w:r>
        <w:rPr>
          <w:rFonts w:hint="default" w:ascii="Times New Roman" w:hAnsi="Times New Roman" w:eastAsia="仿宋_GB2312" w:cs="Times New Roman"/>
          <w:color w:val="FF0000"/>
          <w:kern w:val="0"/>
          <w:sz w:val="32"/>
          <w:szCs w:val="32"/>
          <w:lang w:eastAsia="zh" w:bidi="ar"/>
        </w:rPr>
        <w:t>（</w:t>
      </w:r>
      <w:r>
        <w:rPr>
          <w:rFonts w:hint="default" w:ascii="Times New Roman" w:hAnsi="Times New Roman" w:eastAsia="仿宋_GB2312" w:cs="Times New Roman"/>
          <w:color w:val="FF0000"/>
          <w:kern w:val="0"/>
          <w:sz w:val="32"/>
          <w:szCs w:val="32"/>
          <w:lang w:bidi="ar"/>
        </w:rPr>
        <w:t>如《公众聚集场所投入使用、营业前消防安全检查</w:t>
      </w:r>
      <w:r>
        <w:rPr>
          <w:rFonts w:hint="default" w:ascii="Times New Roman" w:hAnsi="Times New Roman" w:eastAsia="仿宋_GB2312" w:cs="Times New Roman"/>
          <w:color w:val="FF0000"/>
          <w:kern w:val="0"/>
          <w:sz w:val="32"/>
          <w:szCs w:val="32"/>
          <w:lang w:eastAsia="zh-CN" w:bidi="ar"/>
        </w:rPr>
        <w:t>意见书</w:t>
      </w:r>
      <w:r>
        <w:rPr>
          <w:rFonts w:hint="default" w:ascii="Times New Roman" w:hAnsi="Times New Roman" w:eastAsia="仿宋_GB2312" w:cs="Times New Roman"/>
          <w:color w:val="FF0000"/>
          <w:kern w:val="0"/>
          <w:sz w:val="32"/>
          <w:szCs w:val="32"/>
          <w:lang w:bidi="ar"/>
        </w:rPr>
        <w:t>》</w:t>
      </w:r>
      <w:r>
        <w:rPr>
          <w:rFonts w:hint="default" w:ascii="Times New Roman" w:hAnsi="Times New Roman" w:eastAsia="仿宋_GB2312" w:cs="Times New Roman"/>
          <w:color w:val="FF0000"/>
          <w:kern w:val="0"/>
          <w:sz w:val="32"/>
          <w:szCs w:val="32"/>
          <w:lang w:eastAsia="zh" w:bidi="ar"/>
        </w:rPr>
        <w:t>）</w:t>
      </w:r>
      <w:r>
        <w:rPr>
          <w:rFonts w:hint="eastAsia" w:ascii="仿宋_GB2312" w:hAnsi="仿宋_GB2312" w:eastAsia="仿宋_GB2312" w:cs="仿宋_GB2312"/>
          <w:color w:val="FF0000"/>
          <w:sz w:val="32"/>
          <w:szCs w:val="32"/>
          <w:lang w:val="en-US" w:eastAsia="zh-CN"/>
        </w:rPr>
        <w:t>。</w:t>
      </w:r>
    </w:p>
    <w:p w14:paraId="789F1B4B">
      <w:pPr>
        <w:numPr>
          <w:ilvl w:val="0"/>
          <w:numId w:val="1"/>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演出举办单位是否可以经营演出票务业务？</w:t>
      </w:r>
    </w:p>
    <w:p w14:paraId="1EE2C1E1">
      <w:pPr>
        <w:numPr>
          <w:ilvl w:val="-1"/>
          <w:numId w:val="0"/>
        </w:numPr>
        <w:ind w:firstLine="640" w:firstLineChars="200"/>
        <w:jc w:val="both"/>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lang w:val="en-US" w:eastAsia="zh-CN"/>
        </w:rPr>
        <w:t>答：根据2017年</w:t>
      </w:r>
      <w:r>
        <w:rPr>
          <w:rFonts w:hint="eastAsia" w:ascii="仿宋_GB2312" w:eastAsia="仿宋_GB2312"/>
          <w:color w:val="auto"/>
          <w:sz w:val="32"/>
          <w:szCs w:val="32"/>
          <w:lang w:val="en-US" w:eastAsia="zh-CN"/>
        </w:rPr>
        <w:t>《文化部关于规范营业性演出票务市场经营秩序的通知</w:t>
      </w:r>
      <w:r>
        <w:rPr>
          <w:rFonts w:hint="eastAsia" w:ascii="仿宋_GB2312" w:hAnsi="仿宋_GB2312" w:eastAsia="仿宋_GB2312" w:cs="仿宋_GB2312"/>
          <w:color w:val="auto"/>
          <w:sz w:val="32"/>
          <w:szCs w:val="32"/>
          <w:u w:val="none" w:color="auto"/>
          <w:lang w:val="en-US" w:eastAsia="zh-CN"/>
        </w:rPr>
        <w:t>》的有关要求，从事营业性演出票务经营活动的单位，经营业务中应当载明“演出票务”，且应办理营业性演出许可证，不得预售或销售未取得营业性演出批准文件的演出门票。演出举办单位除自行经营演出票务外，应当委托具有资质的演出票务经营单位经营本单位营业性演出门票。演出票务经营单位经营营业性演出门票，应当取得演出举办单位单位的授权。取得授权的演出票务经营单位，可以委托其他具有演出票务经营资质的机构代售演出门票。未经委托或授权，演出票务经营单位不得经营营业性演出门票，举办大型演唱会，应当按照公安部门的要求，在提交大型群众性活动申请时，向公安部门一并提交演出票务销售方案。文化行政部门应当联合公安部门督促演出举办单位按照票务销售方案进行售票。</w:t>
      </w:r>
    </w:p>
    <w:p w14:paraId="22C25B8C">
      <w:pPr>
        <w:numPr>
          <w:ilvl w:val="-1"/>
          <w:numId w:val="0"/>
        </w:numPr>
        <w:ind w:firstLine="640" w:firstLineChars="200"/>
        <w:jc w:val="both"/>
        <w:rPr>
          <w:rFonts w:hint="eastAsia" w:ascii="仿宋_GB2312" w:hAnsi="仿宋_GB2312" w:eastAsia="仿宋_GB2312" w:cs="仿宋_GB2312"/>
          <w:color w:val="auto"/>
          <w:sz w:val="32"/>
          <w:szCs w:val="32"/>
          <w:u w:val="none" w:color="auto"/>
          <w:lang w:val="en-US" w:eastAsia="zh-CN"/>
        </w:rPr>
      </w:pPr>
    </w:p>
    <w:p w14:paraId="2D14C24B">
      <w:pPr>
        <w:spacing w:line="360" w:lineRule="auto"/>
        <w:rPr>
          <w:rFonts w:hint="eastAsia" w:eastAsia="宋体"/>
          <w:color w:val="auto"/>
          <w:lang w:val="en-US" w:eastAsia="zh-CN"/>
        </w:rPr>
      </w:pPr>
    </w:p>
    <w:p w14:paraId="38B9315C">
      <w:pPr>
        <w:rPr>
          <w:color w:val="auto"/>
        </w:rPr>
      </w:pPr>
    </w:p>
    <w:sectPr>
      <w:footerReference r:id="rId3" w:type="default"/>
      <w:pgSz w:w="11906" w:h="16838"/>
      <w:pgMar w:top="1134" w:right="1797" w:bottom="607" w:left="1797" w:header="851" w:footer="992" w:gutter="0"/>
      <w:cols w:space="720" w:num="1"/>
      <w:rtlGutter w:val="0"/>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E26CD">
    <w:pPr>
      <w:pStyle w:val="2"/>
      <w:framePr w:wrap="around" w:vAnchor="text" w:hAnchor="margin" w:xAlign="right" w:yAlign="top"/>
      <w:pBdr>
        <w:between w:val="none" w:color="auto" w:sz="0" w:space="0"/>
      </w:pBdr>
    </w:pPr>
    <w:r>
      <w:fldChar w:fldCharType="begin"/>
    </w:r>
    <w:r>
      <w:rPr>
        <w:rStyle w:val="5"/>
      </w:rPr>
      <w:instrText xml:space="preserve"> PAGE  </w:instrText>
    </w:r>
    <w:r>
      <w:fldChar w:fldCharType="separate"/>
    </w:r>
    <w:r>
      <w:rPr>
        <w:rStyle w:val="5"/>
      </w:rPr>
      <w:t>19</w:t>
    </w:r>
    <w:r>
      <w:fldChar w:fldCharType="end"/>
    </w:r>
  </w:p>
  <w:p w14:paraId="23307598">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3F531"/>
    <w:multiLevelType w:val="singleLevel"/>
    <w:tmpl w:val="6163F531"/>
    <w:lvl w:ilvl="0" w:tentative="0">
      <w:start w:val="1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0610D"/>
    <w:rsid w:val="045D4F5F"/>
    <w:rsid w:val="06B97816"/>
    <w:rsid w:val="08A04A92"/>
    <w:rsid w:val="08E510A5"/>
    <w:rsid w:val="0A790BE5"/>
    <w:rsid w:val="0AD46352"/>
    <w:rsid w:val="0DEB325C"/>
    <w:rsid w:val="11C81165"/>
    <w:rsid w:val="12D761C6"/>
    <w:rsid w:val="12FE1008"/>
    <w:rsid w:val="14200F92"/>
    <w:rsid w:val="14206E7D"/>
    <w:rsid w:val="16343574"/>
    <w:rsid w:val="168B1492"/>
    <w:rsid w:val="16F94C2D"/>
    <w:rsid w:val="17F42C72"/>
    <w:rsid w:val="1C007B0B"/>
    <w:rsid w:val="1D24149E"/>
    <w:rsid w:val="207C324D"/>
    <w:rsid w:val="22F95AED"/>
    <w:rsid w:val="25630D61"/>
    <w:rsid w:val="25B22B68"/>
    <w:rsid w:val="26E571B3"/>
    <w:rsid w:val="2B5F28E5"/>
    <w:rsid w:val="2D0852EE"/>
    <w:rsid w:val="2D167E87"/>
    <w:rsid w:val="2D2B320F"/>
    <w:rsid w:val="2F1034C5"/>
    <w:rsid w:val="363F3ACA"/>
    <w:rsid w:val="36452CF3"/>
    <w:rsid w:val="36D34080"/>
    <w:rsid w:val="38131916"/>
    <w:rsid w:val="38623892"/>
    <w:rsid w:val="3A4878DC"/>
    <w:rsid w:val="3C4E2EFF"/>
    <w:rsid w:val="3C86525B"/>
    <w:rsid w:val="3D3C7FF9"/>
    <w:rsid w:val="3EE76361"/>
    <w:rsid w:val="3F8313C0"/>
    <w:rsid w:val="41490D2C"/>
    <w:rsid w:val="42CC3426"/>
    <w:rsid w:val="44016D0D"/>
    <w:rsid w:val="451B6DD2"/>
    <w:rsid w:val="47774CCA"/>
    <w:rsid w:val="477C3572"/>
    <w:rsid w:val="4C357B95"/>
    <w:rsid w:val="4D154C85"/>
    <w:rsid w:val="4E6423A8"/>
    <w:rsid w:val="509513C3"/>
    <w:rsid w:val="55F63D2B"/>
    <w:rsid w:val="566A0555"/>
    <w:rsid w:val="580A701F"/>
    <w:rsid w:val="5DDD390F"/>
    <w:rsid w:val="5E0930E1"/>
    <w:rsid w:val="60C874BA"/>
    <w:rsid w:val="64433A65"/>
    <w:rsid w:val="655D0593"/>
    <w:rsid w:val="65E329B5"/>
    <w:rsid w:val="66E63727"/>
    <w:rsid w:val="680B1421"/>
    <w:rsid w:val="68431255"/>
    <w:rsid w:val="689013C8"/>
    <w:rsid w:val="71C233B0"/>
    <w:rsid w:val="72357E6C"/>
    <w:rsid w:val="72563C24"/>
    <w:rsid w:val="726915C0"/>
    <w:rsid w:val="736A5CEA"/>
    <w:rsid w:val="738A058E"/>
    <w:rsid w:val="7596196B"/>
    <w:rsid w:val="763B5B08"/>
    <w:rsid w:val="76587637"/>
    <w:rsid w:val="7AAA40CE"/>
    <w:rsid w:val="7DE06CCB"/>
    <w:rsid w:val="7DE57D18"/>
    <w:rsid w:val="FADEF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page number"/>
    <w:basedOn w:val="4"/>
    <w:qFormat/>
    <w:uiPriority w:val="0"/>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Office_12.9.0.21301_F1E327BC-269C-435d-A152-05C5408002CA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user</cp:lastModifiedBy>
  <dcterms:modified xsi:type="dcterms:W3CDTF">2026-05-19T17:15:48Z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2052-12.9.0.21301</vt:lpwstr>
  </property>
  <property fmtid="{D5CDD505-2E9C-101B-9397-08002B2CF9AE}" pid="3" name="ICV">
    <vt:lpwstr>18866F0BF62544A78A5495E6A767DE0A</vt:lpwstr>
  </property>
</Properties>
</file>