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6B800">
      <w:pPr>
        <w:pStyle w:val="3"/>
        <w:jc w:val="center"/>
        <w:rPr>
          <w:rFonts w:hint="eastAsia"/>
          <w:sz w:val="32"/>
          <w:szCs w:val="32"/>
          <w:lang w:val="en-US" w:eastAsia="zh-CN"/>
        </w:rPr>
      </w:pPr>
      <w:r>
        <w:rPr>
          <w:rFonts w:hint="eastAsia"/>
          <w:sz w:val="32"/>
          <w:szCs w:val="32"/>
          <w:lang w:val="en-US" w:eastAsia="zh-CN"/>
        </w:rPr>
        <w:t>集体建设用地使用权及其地上附着物（含住宅）补偿标准</w:t>
      </w:r>
    </w:p>
    <w:p w14:paraId="226E5390">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00" w:lineRule="exact"/>
        <w:ind w:leftChars="200" w:right="0" w:rightChars="0"/>
        <w:jc w:val="both"/>
        <w:textAlignment w:val="auto"/>
        <w:outlineLvl w:val="9"/>
        <w:rPr>
          <w:rFonts w:hint="eastAsia" w:ascii="仿宋" w:hAnsi="仿宋" w:eastAsia="仿宋" w:cs="仿宋"/>
          <w:b/>
          <w:color w:val="auto"/>
          <w:kern w:val="0"/>
          <w:sz w:val="32"/>
          <w:szCs w:val="32"/>
          <w:highlight w:val="none"/>
        </w:rPr>
      </w:pPr>
      <w:r>
        <w:rPr>
          <w:rFonts w:hint="eastAsia" w:ascii="仿宋" w:hAnsi="仿宋" w:eastAsia="仿宋" w:cs="仿宋"/>
          <w:color w:val="auto"/>
          <w:sz w:val="32"/>
          <w:szCs w:val="32"/>
          <w:highlight w:val="none"/>
          <w:lang w:val="en-US" w:eastAsia="zh-CN"/>
        </w:rPr>
        <w:t>一、</w:t>
      </w:r>
      <w:r>
        <w:rPr>
          <w:rFonts w:hint="eastAsia" w:ascii="仿宋" w:hAnsi="仿宋" w:eastAsia="仿宋" w:cs="仿宋"/>
          <w:color w:val="auto"/>
          <w:sz w:val="32"/>
          <w:szCs w:val="32"/>
          <w:highlight w:val="none"/>
          <w:lang w:eastAsia="zh-CN"/>
        </w:rPr>
        <w:t>补偿</w:t>
      </w:r>
      <w:r>
        <w:rPr>
          <w:rFonts w:hint="eastAsia" w:ascii="仿宋" w:hAnsi="仿宋" w:eastAsia="仿宋" w:cs="仿宋"/>
          <w:color w:val="auto"/>
          <w:sz w:val="32"/>
          <w:szCs w:val="32"/>
          <w:highlight w:val="none"/>
        </w:rPr>
        <w:t>对象</w:t>
      </w:r>
    </w:p>
    <w:p w14:paraId="5BAD0A54">
      <w:pPr>
        <w:keepNext w:val="0"/>
        <w:keepLines w:val="0"/>
        <w:pageBreakBefore w:val="0"/>
        <w:kinsoku/>
        <w:wordWrap/>
        <w:overflowPunct/>
        <w:topLinePunct w:val="0"/>
        <w:autoSpaceDE/>
        <w:autoSpaceDN/>
        <w:bidi w:val="0"/>
        <w:adjustRightInd w:val="0"/>
        <w:snapToGrid w:val="0"/>
        <w:spacing w:line="500" w:lineRule="exact"/>
        <w:ind w:left="0" w:leftChars="0" w:right="0" w:rightChars="0" w:firstLine="616" w:firstLineChars="200"/>
        <w:jc w:val="both"/>
        <w:textAlignment w:val="auto"/>
        <w:outlineLvl w:val="9"/>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lang w:eastAsia="zh-CN"/>
        </w:rPr>
        <w:t>（一）凡被纳入项目用地红线范围</w:t>
      </w:r>
      <w:r>
        <w:rPr>
          <w:rFonts w:hint="eastAsia" w:ascii="仿宋" w:hAnsi="仿宋" w:eastAsia="仿宋" w:cs="仿宋"/>
          <w:color w:val="auto"/>
          <w:kern w:val="0"/>
          <w:sz w:val="32"/>
          <w:szCs w:val="32"/>
          <w:highlight w:val="none"/>
          <w:lang w:val="en-US" w:eastAsia="zh-CN"/>
        </w:rPr>
        <w:t>内的</w:t>
      </w:r>
      <w:r>
        <w:rPr>
          <w:rFonts w:hint="eastAsia" w:ascii="仿宋" w:hAnsi="仿宋" w:eastAsia="仿宋" w:cs="仿宋"/>
          <w:snapToGrid/>
          <w:color w:val="auto"/>
          <w:spacing w:val="0"/>
          <w:kern w:val="0"/>
          <w:sz w:val="32"/>
          <w:szCs w:val="32"/>
          <w:lang w:val="en-US" w:eastAsia="zh-CN"/>
        </w:rPr>
        <w:t>集体建设用地使用权人</w:t>
      </w:r>
      <w:r>
        <w:rPr>
          <w:rFonts w:hint="eastAsia" w:ascii="仿宋" w:hAnsi="仿宋" w:eastAsia="仿宋" w:cs="仿宋"/>
          <w:color w:val="auto"/>
          <w:kern w:val="0"/>
          <w:sz w:val="32"/>
          <w:szCs w:val="32"/>
          <w:highlight w:val="none"/>
          <w:lang w:eastAsia="zh-CN"/>
        </w:rPr>
        <w:t>为补偿对象。</w:t>
      </w:r>
    </w:p>
    <w:p w14:paraId="4C5F3221">
      <w:pPr>
        <w:keepNext w:val="0"/>
        <w:keepLines w:val="0"/>
        <w:pageBreakBefore w:val="0"/>
        <w:kinsoku/>
        <w:wordWrap/>
        <w:overflowPunct/>
        <w:topLinePunct w:val="0"/>
        <w:autoSpaceDE/>
        <w:autoSpaceDN/>
        <w:bidi w:val="0"/>
        <w:adjustRightInd w:val="0"/>
        <w:snapToGrid w:val="0"/>
        <w:spacing w:line="500" w:lineRule="exact"/>
        <w:ind w:left="0" w:leftChars="0" w:right="0" w:rightChars="0" w:firstLine="616" w:firstLineChars="200"/>
        <w:jc w:val="both"/>
        <w:textAlignment w:val="auto"/>
        <w:outlineLvl w:val="9"/>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lang w:eastAsia="zh-CN"/>
        </w:rPr>
        <w:t>（二）</w:t>
      </w:r>
      <w:r>
        <w:rPr>
          <w:rFonts w:hint="eastAsia" w:ascii="仿宋" w:hAnsi="仿宋" w:eastAsia="仿宋" w:cs="仿宋"/>
          <w:color w:val="auto"/>
          <w:kern w:val="0"/>
          <w:sz w:val="32"/>
          <w:szCs w:val="32"/>
          <w:highlight w:val="none"/>
          <w:lang w:val="en-US" w:eastAsia="zh-CN"/>
        </w:rPr>
        <w:t>集体建设用地使用权人合法持有的《集体土地使用证》《房屋所有权证》《不动产权证书》或经有关部门调查认定出具的权属证明材料为补偿对象的认定依据。若同一处房地产同时核发一本以上的共有权属证书的仍作一户计算。</w:t>
      </w:r>
    </w:p>
    <w:p w14:paraId="2B21051E">
      <w:pPr>
        <w:keepNext w:val="0"/>
        <w:keepLines w:val="0"/>
        <w:pageBreakBefore w:val="0"/>
        <w:kinsoku/>
        <w:wordWrap/>
        <w:overflowPunct/>
        <w:topLinePunct w:val="0"/>
        <w:autoSpaceDE/>
        <w:autoSpaceDN/>
        <w:bidi w:val="0"/>
        <w:adjustRightInd w:val="0"/>
        <w:snapToGrid w:val="0"/>
        <w:spacing w:line="500" w:lineRule="exact"/>
        <w:ind w:left="0" w:leftChars="0" w:right="0" w:rightChars="0" w:firstLine="616"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color w:val="auto"/>
          <w:kern w:val="0"/>
          <w:sz w:val="32"/>
          <w:szCs w:val="32"/>
          <w:highlight w:val="none"/>
          <w:lang w:val="en-US" w:eastAsia="zh-CN"/>
        </w:rPr>
        <w:t>（三）若土地和房屋被相关职能部门认定为违法用地、违法建筑和超过批准期限的临时建筑，不予补偿，</w:t>
      </w:r>
      <w:r>
        <w:rPr>
          <w:rFonts w:hint="eastAsia" w:ascii="仿宋" w:hAnsi="仿宋" w:eastAsia="仿宋" w:cs="仿宋"/>
          <w:color w:val="000000"/>
          <w:sz w:val="32"/>
          <w:szCs w:val="32"/>
          <w:lang w:val="en-US" w:eastAsia="zh-CN"/>
        </w:rPr>
        <w:t>并按规定处理</w:t>
      </w:r>
      <w:r>
        <w:rPr>
          <w:rFonts w:hint="eastAsia" w:ascii="仿宋" w:hAnsi="仿宋" w:eastAsia="仿宋" w:cs="仿宋"/>
          <w:color w:val="auto"/>
          <w:kern w:val="0"/>
          <w:sz w:val="32"/>
          <w:szCs w:val="32"/>
          <w:highlight w:val="none"/>
          <w:lang w:val="en-US" w:eastAsia="zh-CN"/>
        </w:rPr>
        <w:t>。对因历史原因未办理不动产登记且未认定为违法用地和违法建筑的土地和房屋，由我镇成立的历史土地和房屋联审小组根据有关权属的历史资料（包括房地产买卖协议、收付款证明、村民会议表决、公证文书、职能部门原始审批资料等），对被征收土地和房屋的面积和相关权利人进行认定并予以公示。经公示后无异议的，可实施补偿。</w:t>
      </w:r>
    </w:p>
    <w:p w14:paraId="0DDFAF74">
      <w:pPr>
        <w:keepNext w:val="0"/>
        <w:keepLines w:val="0"/>
        <w:pageBreakBefore w:val="0"/>
        <w:kinsoku/>
        <w:wordWrap/>
        <w:overflowPunct/>
        <w:topLinePunct w:val="0"/>
        <w:autoSpaceDE/>
        <w:autoSpaceDN/>
        <w:bidi w:val="0"/>
        <w:adjustRightInd w:val="0"/>
        <w:snapToGrid w:val="0"/>
        <w:spacing w:line="500" w:lineRule="exact"/>
        <w:ind w:left="0" w:leftChars="0" w:right="0" w:rightChars="0" w:firstLine="616" w:firstLineChars="2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lang w:val="en-US" w:eastAsia="zh-CN"/>
        </w:rPr>
        <w:t>二</w:t>
      </w:r>
      <w:r>
        <w:rPr>
          <w:rFonts w:hint="eastAsia" w:ascii="仿宋" w:hAnsi="仿宋" w:eastAsia="仿宋" w:cs="仿宋"/>
          <w:color w:val="auto"/>
          <w:kern w:val="0"/>
          <w:sz w:val="32"/>
          <w:szCs w:val="32"/>
          <w:highlight w:val="none"/>
        </w:rPr>
        <w:t>、</w:t>
      </w:r>
      <w:r>
        <w:rPr>
          <w:rFonts w:hint="eastAsia" w:ascii="仿宋" w:hAnsi="仿宋" w:eastAsia="仿宋" w:cs="仿宋"/>
          <w:color w:val="auto"/>
          <w:sz w:val="32"/>
          <w:szCs w:val="32"/>
          <w:highlight w:val="none"/>
        </w:rPr>
        <w:t>补偿标准</w:t>
      </w:r>
    </w:p>
    <w:p w14:paraId="6F9B18A9">
      <w:pPr>
        <w:pageBreakBefore w:val="0"/>
        <w:kinsoku/>
        <w:wordWrap/>
        <w:overflowPunct/>
        <w:topLinePunct w:val="0"/>
        <w:autoSpaceDE/>
        <w:autoSpaceDN/>
        <w:bidi w:val="0"/>
        <w:adjustRightInd w:val="0"/>
        <w:snapToGrid w:val="0"/>
        <w:spacing w:line="500" w:lineRule="exact"/>
        <w:ind w:firstLine="616"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一</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住宅</w:t>
      </w:r>
      <w:r>
        <w:rPr>
          <w:rFonts w:hint="eastAsia" w:ascii="仿宋" w:hAnsi="仿宋" w:eastAsia="仿宋" w:cs="仿宋"/>
          <w:color w:val="000000"/>
          <w:kern w:val="0"/>
          <w:sz w:val="32"/>
          <w:szCs w:val="32"/>
          <w:lang w:val="en-US" w:eastAsia="zh-CN"/>
        </w:rPr>
        <w:t>性土地房屋及地上附着物</w:t>
      </w:r>
      <w:r>
        <w:rPr>
          <w:rFonts w:hint="eastAsia" w:ascii="仿宋" w:hAnsi="仿宋" w:eastAsia="仿宋" w:cs="仿宋"/>
          <w:color w:val="000000"/>
          <w:kern w:val="0"/>
          <w:sz w:val="32"/>
          <w:szCs w:val="32"/>
        </w:rPr>
        <w:t>补偿</w:t>
      </w:r>
    </w:p>
    <w:p w14:paraId="4A10EC83">
      <w:pPr>
        <w:pageBreakBefore w:val="0"/>
        <w:kinsoku/>
        <w:wordWrap/>
        <w:overflowPunct/>
        <w:topLinePunct w:val="0"/>
        <w:autoSpaceDE/>
        <w:autoSpaceDN/>
        <w:bidi w:val="0"/>
        <w:adjustRightInd w:val="0"/>
        <w:snapToGrid w:val="0"/>
        <w:spacing w:line="500" w:lineRule="exact"/>
        <w:ind w:firstLine="616" w:firstLineChars="200"/>
        <w:jc w:val="both"/>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rPr>
        <w:t>被纳入本次拟征收范围的住宅性土地房屋及地上附着物均采用货币补偿方式</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rPr>
        <w:t>由具备相应资质的评估机构出具的评估结果作为补偿依据</w:t>
      </w:r>
      <w:r>
        <w:rPr>
          <w:rFonts w:hint="eastAsia" w:ascii="仿宋" w:hAnsi="仿宋" w:eastAsia="仿宋" w:cs="仿宋"/>
          <w:color w:val="000000"/>
          <w:kern w:val="0"/>
          <w:sz w:val="32"/>
          <w:szCs w:val="32"/>
          <w:lang w:eastAsia="zh-CN"/>
        </w:rPr>
        <w:t>。</w:t>
      </w:r>
    </w:p>
    <w:p w14:paraId="222B7441">
      <w:pPr>
        <w:pageBreakBefore w:val="0"/>
        <w:kinsoku/>
        <w:wordWrap/>
        <w:overflowPunct/>
        <w:topLinePunct w:val="0"/>
        <w:autoSpaceDE/>
        <w:autoSpaceDN/>
        <w:bidi w:val="0"/>
        <w:adjustRightInd w:val="0"/>
        <w:snapToGrid w:val="0"/>
        <w:spacing w:line="500" w:lineRule="exact"/>
        <w:ind w:firstLine="616" w:firstLineChars="200"/>
        <w:jc w:val="both"/>
        <w:textAlignment w:val="auto"/>
        <w:rPr>
          <w:rFonts w:hint="eastAsia" w:ascii="仿宋" w:hAnsi="仿宋" w:eastAsia="仿宋" w:cs="仿宋"/>
          <w:color w:val="000000"/>
          <w:kern w:val="0"/>
          <w:sz w:val="32"/>
          <w:szCs w:val="32"/>
          <w:lang w:eastAsia="zh-CN"/>
        </w:rPr>
      </w:pP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二</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住宅性以外的集体用地使用权补偿</w:t>
      </w:r>
    </w:p>
    <w:p w14:paraId="72D07236">
      <w:pPr>
        <w:pageBreakBefore w:val="0"/>
        <w:kinsoku/>
        <w:wordWrap/>
        <w:overflowPunct/>
        <w:topLinePunct w:val="0"/>
        <w:autoSpaceDE/>
        <w:autoSpaceDN/>
        <w:bidi w:val="0"/>
        <w:adjustRightInd w:val="0"/>
        <w:snapToGrid w:val="0"/>
        <w:spacing w:line="500" w:lineRule="exact"/>
        <w:ind w:firstLine="616"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采用货币补偿方式，</w:t>
      </w:r>
      <w:r>
        <w:rPr>
          <w:rFonts w:hint="eastAsia" w:ascii="仿宋" w:hAnsi="仿宋" w:eastAsia="仿宋" w:cs="仿宋"/>
          <w:color w:val="000000"/>
          <w:kern w:val="0"/>
          <w:sz w:val="32"/>
          <w:szCs w:val="32"/>
          <w:lang w:val="en-US" w:eastAsia="zh-CN"/>
        </w:rPr>
        <w:t>补偿</w:t>
      </w:r>
      <w:r>
        <w:rPr>
          <w:rFonts w:hint="eastAsia" w:ascii="仿宋" w:hAnsi="仿宋" w:eastAsia="仿宋" w:cs="仿宋"/>
          <w:color w:val="000000"/>
          <w:kern w:val="0"/>
          <w:sz w:val="32"/>
          <w:szCs w:val="32"/>
        </w:rPr>
        <w:t>标准参</w:t>
      </w:r>
      <w:r>
        <w:rPr>
          <w:rFonts w:hint="eastAsia" w:ascii="仿宋" w:hAnsi="仿宋" w:eastAsia="仿宋" w:cs="仿宋"/>
          <w:color w:val="000000"/>
          <w:kern w:val="0"/>
          <w:sz w:val="32"/>
          <w:szCs w:val="32"/>
          <w:lang w:val="en-US" w:eastAsia="zh-CN"/>
        </w:rPr>
        <w:t>照本项目</w:t>
      </w:r>
      <w:r>
        <w:rPr>
          <w:rFonts w:hint="eastAsia" w:ascii="仿宋" w:hAnsi="仿宋" w:eastAsia="仿宋" w:cs="仿宋"/>
          <w:color w:val="000000"/>
          <w:kern w:val="0"/>
          <w:sz w:val="32"/>
          <w:szCs w:val="32"/>
        </w:rPr>
        <w:t>《集体土地所有权、青苗及其他地上附着物征收补偿标准（不含房屋及建设用地使用权）》</w:t>
      </w:r>
      <w:r>
        <w:rPr>
          <w:rFonts w:hint="eastAsia" w:ascii="仿宋" w:hAnsi="仿宋" w:eastAsia="仿宋" w:cs="仿宋"/>
          <w:color w:val="000000"/>
          <w:kern w:val="0"/>
          <w:sz w:val="32"/>
          <w:szCs w:val="32"/>
          <w:lang w:val="en-US" w:eastAsia="zh-CN"/>
        </w:rPr>
        <w:t>集体土地所有权征收补偿综合单价16.63万元/亩补偿</w:t>
      </w:r>
      <w:r>
        <w:rPr>
          <w:rFonts w:hint="eastAsia" w:ascii="仿宋" w:hAnsi="仿宋" w:eastAsia="仿宋" w:cs="仿宋"/>
          <w:color w:val="000000"/>
          <w:kern w:val="0"/>
          <w:sz w:val="32"/>
          <w:szCs w:val="32"/>
        </w:rPr>
        <w:t>；地上房屋或</w:t>
      </w:r>
      <w:r>
        <w:rPr>
          <w:rFonts w:hint="eastAsia" w:ascii="仿宋" w:hAnsi="仿宋" w:eastAsia="仿宋" w:cs="仿宋"/>
          <w:color w:val="000000"/>
          <w:kern w:val="0"/>
          <w:sz w:val="32"/>
          <w:szCs w:val="32"/>
          <w:lang w:val="en-US" w:eastAsia="zh-CN"/>
        </w:rPr>
        <w:t>其他建筑物、</w:t>
      </w:r>
      <w:r>
        <w:rPr>
          <w:rFonts w:hint="eastAsia" w:ascii="仿宋" w:hAnsi="仿宋" w:eastAsia="仿宋" w:cs="仿宋"/>
          <w:color w:val="000000"/>
          <w:kern w:val="0"/>
          <w:sz w:val="32"/>
          <w:szCs w:val="32"/>
        </w:rPr>
        <w:t>附着物价值按</w:t>
      </w:r>
      <w:r>
        <w:rPr>
          <w:rFonts w:hint="eastAsia" w:ascii="仿宋" w:hAnsi="仿宋" w:eastAsia="仿宋" w:cs="仿宋"/>
          <w:color w:val="000000"/>
          <w:kern w:val="0"/>
          <w:sz w:val="32"/>
          <w:szCs w:val="32"/>
          <w:lang w:val="en-US" w:eastAsia="zh-CN"/>
        </w:rPr>
        <w:t>107号文中有关补偿标准的内容</w:t>
      </w:r>
      <w:r>
        <w:rPr>
          <w:rFonts w:hint="eastAsia" w:ascii="仿宋" w:hAnsi="仿宋" w:eastAsia="仿宋" w:cs="仿宋"/>
          <w:color w:val="000000"/>
          <w:kern w:val="0"/>
          <w:sz w:val="32"/>
          <w:szCs w:val="32"/>
        </w:rPr>
        <w:t>执行。</w:t>
      </w:r>
    </w:p>
    <w:p w14:paraId="47A7DCEC">
      <w:pPr>
        <w:pStyle w:val="3"/>
        <w:keepNext/>
        <w:keepLines/>
        <w:pageBreakBefore w:val="0"/>
        <w:widowControl w:val="0"/>
        <w:numPr>
          <w:ilvl w:val="0"/>
          <w:numId w:val="1"/>
        </w:numPr>
        <w:kinsoku/>
        <w:wordWrap/>
        <w:overflowPunct/>
        <w:topLinePunct w:val="0"/>
        <w:autoSpaceDE/>
        <w:autoSpaceDN/>
        <w:bidi w:val="0"/>
        <w:adjustRightInd w:val="0"/>
        <w:snapToGrid w:val="0"/>
        <w:spacing w:before="0" w:after="0" w:line="500" w:lineRule="exact"/>
        <w:ind w:leftChars="200"/>
        <w:jc w:val="both"/>
        <w:textAlignment w:val="auto"/>
        <w:rPr>
          <w:rFonts w:hint="eastAsia" w:ascii="仿宋" w:hAnsi="仿宋" w:eastAsia="仿宋" w:cs="仿宋"/>
          <w:b w:val="0"/>
          <w:bCs w:val="0"/>
          <w:snapToGrid w:val="0"/>
          <w:color w:val="000000"/>
          <w:spacing w:val="-6"/>
          <w:kern w:val="0"/>
          <w:sz w:val="32"/>
          <w:szCs w:val="32"/>
          <w:lang w:val="en-US" w:eastAsia="zh-CN" w:bidi="ar"/>
        </w:rPr>
      </w:pPr>
      <w:r>
        <w:rPr>
          <w:rFonts w:hint="eastAsia" w:ascii="仿宋" w:hAnsi="仿宋" w:eastAsia="仿宋" w:cs="仿宋"/>
          <w:b w:val="0"/>
          <w:bCs w:val="0"/>
          <w:snapToGrid w:val="0"/>
          <w:color w:val="000000"/>
          <w:spacing w:val="-6"/>
          <w:kern w:val="0"/>
          <w:sz w:val="32"/>
          <w:szCs w:val="32"/>
          <w:lang w:val="en-US" w:eastAsia="zh-CN" w:bidi="ar"/>
        </w:rPr>
        <w:t>其他补偿标准</w:t>
      </w:r>
    </w:p>
    <w:p w14:paraId="6657FA89">
      <w:pPr>
        <w:pageBreakBefore w:val="0"/>
        <w:numPr>
          <w:ilvl w:val="0"/>
          <w:numId w:val="2"/>
        </w:numPr>
        <w:kinsoku/>
        <w:wordWrap/>
        <w:overflowPunct/>
        <w:topLinePunct w:val="0"/>
        <w:autoSpaceDE/>
        <w:autoSpaceDN/>
        <w:bidi w:val="0"/>
        <w:adjustRightInd w:val="0"/>
        <w:snapToGrid w:val="0"/>
        <w:spacing w:line="500" w:lineRule="exact"/>
        <w:ind w:firstLine="616"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临时安置居住费：临时安置补偿标准按被征收房屋的房产面积，以属地镇区平均租金的标准支付，每户不低于1800元/月，一次性补偿不超过18个月。</w:t>
      </w:r>
    </w:p>
    <w:p w14:paraId="6410A958">
      <w:pPr>
        <w:pageBreakBefore w:val="0"/>
        <w:numPr>
          <w:ilvl w:val="0"/>
          <w:numId w:val="2"/>
        </w:numPr>
        <w:kinsoku/>
        <w:wordWrap/>
        <w:overflowPunct/>
        <w:topLinePunct w:val="0"/>
        <w:autoSpaceDE/>
        <w:autoSpaceDN/>
        <w:bidi w:val="0"/>
        <w:adjustRightInd w:val="0"/>
        <w:snapToGrid w:val="0"/>
        <w:spacing w:line="500" w:lineRule="exact"/>
        <w:ind w:firstLine="616"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住宅搬家费：一次性补偿被征收人10000元/户搬家费（含水电气、电信等迁移）。</w:t>
      </w:r>
      <w:r>
        <w:rPr>
          <w:rFonts w:hint="eastAsia" w:ascii="仿宋" w:hAnsi="仿宋" w:eastAsia="仿宋" w:cs="仿宋"/>
          <w:sz w:val="32"/>
          <w:szCs w:val="32"/>
          <w:highlight w:val="none"/>
          <w:lang w:val="en-US" w:eastAsia="zh-CN"/>
        </w:rPr>
        <w:t xml:space="preserve">经民政部门确认的低保、伤残等贫困家庭的被征收人，临时安置费和搬家费按标准提高30%实施补偿。  </w:t>
      </w:r>
    </w:p>
    <w:p w14:paraId="5FCE1C7C">
      <w:pPr>
        <w:pageBreakBefore w:val="0"/>
        <w:numPr>
          <w:ilvl w:val="0"/>
          <w:numId w:val="0"/>
        </w:numPr>
        <w:kinsoku/>
        <w:wordWrap/>
        <w:overflowPunct/>
        <w:topLinePunct w:val="0"/>
        <w:autoSpaceDE/>
        <w:autoSpaceDN/>
        <w:bidi w:val="0"/>
        <w:adjustRightInd w:val="0"/>
        <w:snapToGrid w:val="0"/>
        <w:spacing w:line="500" w:lineRule="exact"/>
        <w:ind w:firstLine="616" w:firstLineChars="200"/>
        <w:jc w:val="both"/>
        <w:textAlignment w:val="auto"/>
        <w:rPr>
          <w:rFonts w:hint="eastAsia" w:ascii="仿宋" w:hAnsi="仿宋" w:eastAsia="仿宋" w:cs="仿宋"/>
          <w:lang w:val="en-US" w:eastAsia="zh-CN"/>
        </w:rPr>
      </w:pPr>
      <w:r>
        <w:rPr>
          <w:rFonts w:hint="eastAsia" w:ascii="仿宋" w:hAnsi="仿宋" w:eastAsia="仿宋" w:cs="仿宋"/>
          <w:b w:val="0"/>
          <w:snapToGrid w:val="0"/>
          <w:spacing w:val="-6"/>
          <w:kern w:val="32"/>
          <w:sz w:val="32"/>
          <w:szCs w:val="32"/>
          <w:lang w:val="en-US" w:eastAsia="zh-CN" w:bidi="ar-SA"/>
        </w:rPr>
        <w:t>3、征地红线范围外的边角地补偿参照</w:t>
      </w:r>
      <w:r>
        <w:rPr>
          <w:rFonts w:hint="eastAsia" w:ascii="仿宋" w:hAnsi="仿宋" w:eastAsia="仿宋" w:cs="仿宋"/>
          <w:sz w:val="32"/>
          <w:szCs w:val="32"/>
          <w:lang w:val="en-US" w:eastAsia="zh-CN"/>
        </w:rPr>
        <w:t>107号文</w:t>
      </w:r>
      <w:r>
        <w:rPr>
          <w:rFonts w:hint="eastAsia" w:ascii="仿宋" w:hAnsi="仿宋" w:eastAsia="仿宋" w:cs="仿宋"/>
          <w:b w:val="0"/>
          <w:snapToGrid w:val="0"/>
          <w:spacing w:val="-6"/>
          <w:kern w:val="32"/>
          <w:sz w:val="32"/>
          <w:szCs w:val="32"/>
          <w:lang w:val="en-US" w:eastAsia="zh-CN" w:bidi="ar-SA"/>
        </w:rPr>
        <w:t>并结合具备资质评估机构出具的评估报告实施补偿。</w:t>
      </w:r>
    </w:p>
    <w:p w14:paraId="6282BDB1">
      <w:pPr>
        <w:pageBreakBefore w:val="0"/>
        <w:numPr>
          <w:ilvl w:val="0"/>
          <w:numId w:val="0"/>
        </w:numPr>
        <w:kinsoku/>
        <w:wordWrap/>
        <w:overflowPunct/>
        <w:topLinePunct w:val="0"/>
        <w:autoSpaceDE/>
        <w:autoSpaceDN/>
        <w:bidi w:val="0"/>
        <w:adjustRightInd w:val="0"/>
        <w:snapToGrid w:val="0"/>
        <w:spacing w:line="500" w:lineRule="exact"/>
        <w:ind w:leftChars="200"/>
        <w:jc w:val="both"/>
        <w:textAlignment w:val="auto"/>
        <w:rPr>
          <w:rFonts w:hint="eastAsia" w:ascii="仿宋" w:hAnsi="仿宋" w:eastAsia="仿宋" w:cs="仿宋"/>
          <w:b w:val="0"/>
          <w:bCs w:val="0"/>
          <w:snapToGrid w:val="0"/>
          <w:color w:val="auto"/>
          <w:spacing w:val="-6"/>
          <w:kern w:val="0"/>
          <w:sz w:val="32"/>
          <w:szCs w:val="32"/>
          <w:highlight w:val="none"/>
        </w:rPr>
      </w:pPr>
      <w:r>
        <w:rPr>
          <w:rFonts w:hint="eastAsia" w:ascii="仿宋" w:hAnsi="仿宋" w:eastAsia="仿宋" w:cs="仿宋"/>
          <w:b w:val="0"/>
          <w:bCs w:val="0"/>
          <w:color w:val="auto"/>
          <w:sz w:val="32"/>
          <w:szCs w:val="32"/>
          <w:highlight w:val="none"/>
          <w:lang w:val="en-US" w:eastAsia="zh-CN"/>
        </w:rPr>
        <w:t>三</w:t>
      </w:r>
      <w:r>
        <w:rPr>
          <w:rFonts w:hint="eastAsia" w:ascii="仿宋" w:hAnsi="仿宋" w:eastAsia="仿宋" w:cs="仿宋"/>
          <w:b w:val="0"/>
          <w:bCs w:val="0"/>
          <w:color w:val="auto"/>
          <w:sz w:val="32"/>
          <w:szCs w:val="32"/>
          <w:highlight w:val="none"/>
        </w:rPr>
        <w:t>、</w:t>
      </w:r>
      <w:r>
        <w:rPr>
          <w:rFonts w:hint="eastAsia" w:ascii="仿宋" w:hAnsi="仿宋" w:eastAsia="仿宋" w:cs="仿宋"/>
          <w:b w:val="0"/>
          <w:bCs w:val="0"/>
          <w:snapToGrid w:val="0"/>
          <w:color w:val="auto"/>
          <w:spacing w:val="-6"/>
          <w:kern w:val="0"/>
          <w:sz w:val="32"/>
          <w:szCs w:val="32"/>
          <w:highlight w:val="none"/>
        </w:rPr>
        <w:t>激励机制</w:t>
      </w:r>
    </w:p>
    <w:p w14:paraId="589B4DD3">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616" w:firstLineChars="200"/>
        <w:jc w:val="both"/>
        <w:textAlignment w:val="auto"/>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lang w:val="en-US" w:eastAsia="zh-CN"/>
        </w:rPr>
        <w:t>（一）被征收人在收到对应的补偿方案后1个月内完成交地的，给予如下奖励：</w:t>
      </w:r>
    </w:p>
    <w:p w14:paraId="061A3189">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616" w:firstLineChars="200"/>
        <w:jc w:val="both"/>
        <w:textAlignment w:val="auto"/>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lang w:val="en-US" w:eastAsia="zh-CN"/>
        </w:rPr>
        <w:t xml:space="preserve">1、对土地登记用途为住宅的土地使用权或未办理登记但经我镇历史土地和房屋联审小组认定为住宅性的土地使用权，按土地和房屋评估价值的20%奖励。 </w:t>
      </w:r>
    </w:p>
    <w:p w14:paraId="09A5B445">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616" w:firstLineChars="200"/>
        <w:jc w:val="both"/>
        <w:textAlignment w:val="auto"/>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lang w:val="en-US" w:eastAsia="zh-CN"/>
        </w:rPr>
        <w:t xml:space="preserve">2、除上述第1点以外的土地使用权，按土地和房屋评估价值的10%奖励。 </w:t>
      </w:r>
    </w:p>
    <w:p w14:paraId="0DB11D68">
      <w:pPr>
        <w:keepNext w:val="0"/>
        <w:keepLines w:val="0"/>
        <w:pageBreakBefore w:val="0"/>
        <w:widowControl w:val="0"/>
        <w:kinsoku/>
        <w:wordWrap/>
        <w:overflowPunct/>
        <w:topLinePunct w:val="0"/>
        <w:autoSpaceDE/>
        <w:autoSpaceDN/>
        <w:bidi w:val="0"/>
        <w:adjustRightInd w:val="0"/>
        <w:snapToGrid w:val="0"/>
        <w:spacing w:line="500" w:lineRule="exact"/>
        <w:ind w:left="0" w:leftChars="0" w:right="0" w:rightChars="0" w:firstLine="616" w:firstLineChars="200"/>
        <w:jc w:val="both"/>
        <w:textAlignment w:val="auto"/>
        <w:rPr>
          <w:rFonts w:hint="eastAsia" w:ascii="仿宋" w:hAnsi="仿宋" w:eastAsia="仿宋" w:cs="仿宋"/>
          <w:bCs/>
          <w:color w:val="auto"/>
          <w:sz w:val="32"/>
          <w:szCs w:val="32"/>
          <w:highlight w:val="none"/>
          <w:lang w:val="en-US" w:eastAsia="zh-CN"/>
        </w:rPr>
      </w:pPr>
      <w:r>
        <w:rPr>
          <w:rFonts w:hint="eastAsia" w:ascii="仿宋" w:hAnsi="仿宋" w:eastAsia="仿宋" w:cs="仿宋"/>
          <w:bCs/>
          <w:color w:val="auto"/>
          <w:sz w:val="32"/>
          <w:szCs w:val="32"/>
          <w:highlight w:val="none"/>
          <w:lang w:val="en-US" w:eastAsia="zh-CN"/>
        </w:rPr>
        <w:t>3、对土地为空地状态的，土地登记为个人住宅的土地使用权或未办理登记但经我镇历史土地和房屋联审小组认定为住宅性质的土地使用权，按土地评估价值的20%予以奖励。</w:t>
      </w:r>
    </w:p>
    <w:p w14:paraId="1F8DD97A">
      <w:pPr>
        <w:pStyle w:val="2"/>
        <w:jc w:val="both"/>
        <w:rPr>
          <w:rFonts w:hint="eastAsia" w:ascii="仿宋" w:hAnsi="仿宋" w:eastAsia="仿宋" w:cs="仿宋"/>
          <w:b w:val="0"/>
          <w:bCs/>
          <w:snapToGrid w:val="0"/>
          <w:color w:val="auto"/>
          <w:spacing w:val="-6"/>
          <w:kern w:val="32"/>
          <w:sz w:val="32"/>
          <w:szCs w:val="32"/>
          <w:highlight w:val="none"/>
          <w:lang w:val="en-US" w:eastAsia="zh-CN" w:bidi="ar-SA"/>
        </w:rPr>
      </w:pPr>
      <w:r>
        <w:rPr>
          <w:rFonts w:hint="eastAsia" w:ascii="仿宋" w:hAnsi="仿宋" w:eastAsia="仿宋" w:cs="仿宋"/>
          <w:b w:val="0"/>
          <w:bCs/>
          <w:snapToGrid w:val="0"/>
          <w:color w:val="auto"/>
          <w:spacing w:val="-6"/>
          <w:kern w:val="32"/>
          <w:sz w:val="32"/>
          <w:szCs w:val="32"/>
          <w:highlight w:val="none"/>
          <w:lang w:val="en-US" w:eastAsia="zh-CN" w:bidi="ar-SA"/>
        </w:rPr>
        <w:t>4、用地红线范围外的土地，以及上述1、2、3点以外的情形，均不设奖励。</w:t>
      </w:r>
    </w:p>
    <w:p w14:paraId="2CB86E70">
      <w:pPr>
        <w:ind w:firstLine="616" w:firstLineChars="200"/>
        <w:jc w:val="both"/>
        <w:rPr>
          <w:rFonts w:hint="eastAsia" w:ascii="仿宋" w:hAnsi="仿宋" w:eastAsia="仿宋" w:cs="仿宋"/>
          <w:lang w:val="en-US" w:eastAsia="zh-CN"/>
        </w:rPr>
      </w:pPr>
      <w:r>
        <w:rPr>
          <w:rFonts w:hint="eastAsia" w:ascii="仿宋" w:hAnsi="仿宋" w:eastAsia="仿宋" w:cs="仿宋"/>
          <w:lang w:val="en-US" w:eastAsia="zh-CN"/>
        </w:rPr>
        <w:t>（二）购房补助</w:t>
      </w:r>
    </w:p>
    <w:p w14:paraId="1FFFFBC8">
      <w:pPr>
        <w:ind w:firstLine="616" w:firstLineChars="200"/>
        <w:jc w:val="both"/>
        <w:rPr>
          <w:rFonts w:hint="eastAsia" w:ascii="仿宋" w:hAnsi="仿宋" w:eastAsia="仿宋" w:cs="仿宋"/>
          <w:lang w:val="en-US" w:eastAsia="zh-CN"/>
        </w:rPr>
      </w:pPr>
      <w:r>
        <w:rPr>
          <w:rFonts w:hint="eastAsia" w:ascii="仿宋" w:hAnsi="仿宋" w:eastAsia="仿宋" w:cs="仿宋"/>
          <w:lang w:val="en-US" w:eastAsia="zh-CN"/>
        </w:rPr>
        <w:t>为保障被征收人的居住条件，对于住宅性土地房屋的被征收人，结合我镇近半年新建商品房市场价格，设定购房补助，补助单价计算方式为：</w:t>
      </w:r>
    </w:p>
    <w:p w14:paraId="43BB5D0D">
      <w:pPr>
        <w:pStyle w:val="3"/>
        <w:keepNext/>
        <w:keepLines/>
        <w:pageBreakBefore w:val="0"/>
        <w:widowControl w:val="0"/>
        <w:kinsoku/>
        <w:wordWrap/>
        <w:overflowPunct/>
        <w:topLinePunct w:val="0"/>
        <w:autoSpaceDE/>
        <w:autoSpaceDN/>
        <w:bidi w:val="0"/>
        <w:adjustRightInd w:val="0"/>
        <w:snapToGrid w:val="0"/>
        <w:spacing w:before="0" w:after="0" w:line="500" w:lineRule="exact"/>
        <w:ind w:firstLine="616" w:firstLineChars="200"/>
        <w:textAlignment w:val="auto"/>
        <w:rPr>
          <w:rFonts w:hint="eastAsia" w:ascii="仿宋" w:hAnsi="仿宋" w:eastAsia="仿宋" w:cs="仿宋"/>
          <w:b w:val="0"/>
          <w:bCs w:val="0"/>
          <w:snapToGrid w:val="0"/>
          <w:spacing w:val="-6"/>
          <w:kern w:val="32"/>
          <w:sz w:val="32"/>
          <w:szCs w:val="24"/>
          <w:lang w:val="en-US" w:eastAsia="zh-CN" w:bidi="ar-SA"/>
        </w:rPr>
      </w:pPr>
      <w:r>
        <w:rPr>
          <w:rFonts w:hint="eastAsia" w:ascii="仿宋" w:hAnsi="仿宋" w:eastAsia="仿宋" w:cs="仿宋"/>
          <w:b w:val="0"/>
          <w:bCs w:val="0"/>
          <w:snapToGrid w:val="0"/>
          <w:spacing w:val="-6"/>
          <w:kern w:val="32"/>
          <w:sz w:val="32"/>
          <w:szCs w:val="24"/>
          <w:lang w:val="en-US" w:eastAsia="zh-CN" w:bidi="ar-SA"/>
        </w:rPr>
        <w:t>首先按以下方式计算项目征收补偿及奖励的每平方米单价：项目征收补偿及奖励的每平方米单价=所有被征收人的土地房屋价值补偿及奖励总价÷所有被征收人协议征收的房屋主体建筑总面积；</w:t>
      </w:r>
    </w:p>
    <w:p w14:paraId="7F22114D">
      <w:pPr>
        <w:pStyle w:val="3"/>
        <w:keepNext/>
        <w:keepLines/>
        <w:pageBreakBefore w:val="0"/>
        <w:widowControl w:val="0"/>
        <w:kinsoku/>
        <w:wordWrap/>
        <w:overflowPunct/>
        <w:topLinePunct w:val="0"/>
        <w:autoSpaceDE/>
        <w:autoSpaceDN/>
        <w:bidi w:val="0"/>
        <w:adjustRightInd w:val="0"/>
        <w:snapToGrid w:val="0"/>
        <w:spacing w:before="0" w:after="0" w:line="500" w:lineRule="exact"/>
        <w:ind w:firstLine="616" w:firstLineChars="200"/>
        <w:textAlignment w:val="auto"/>
        <w:rPr>
          <w:rFonts w:hint="eastAsia" w:ascii="仿宋" w:hAnsi="仿宋" w:eastAsia="仿宋" w:cs="仿宋"/>
          <w:b w:val="0"/>
          <w:bCs w:val="0"/>
          <w:snapToGrid w:val="0"/>
          <w:spacing w:val="-6"/>
          <w:kern w:val="32"/>
          <w:sz w:val="32"/>
          <w:szCs w:val="24"/>
          <w:lang w:val="en-US" w:eastAsia="zh-CN" w:bidi="ar-SA"/>
        </w:rPr>
      </w:pPr>
      <w:r>
        <w:rPr>
          <w:rFonts w:hint="eastAsia" w:ascii="仿宋" w:hAnsi="仿宋" w:eastAsia="仿宋" w:cs="仿宋"/>
          <w:b w:val="0"/>
          <w:bCs w:val="0"/>
          <w:snapToGrid w:val="0"/>
          <w:spacing w:val="-6"/>
          <w:kern w:val="32"/>
          <w:sz w:val="32"/>
          <w:szCs w:val="24"/>
          <w:lang w:val="en-US" w:eastAsia="zh-CN" w:bidi="ar-SA"/>
        </w:rPr>
        <w:t>（其中，协议征收的房屋主体建筑面积，包括已办理房屋所有权登记的房屋建筑面积，及经镇街历史土地和房屋联审小组认定的符合对应规划条件的房屋面积。）</w:t>
      </w:r>
    </w:p>
    <w:p w14:paraId="715DDC92">
      <w:pPr>
        <w:spacing w:beforeLines="0" w:afterLines="0"/>
        <w:ind w:firstLine="616" w:firstLineChars="200"/>
        <w:jc w:val="left"/>
        <w:rPr>
          <w:rFonts w:hint="eastAsia" w:ascii="仿宋" w:hAnsi="仿宋" w:eastAsia="仿宋" w:cs="仿宋"/>
          <w:sz w:val="32"/>
          <w:szCs w:val="24"/>
          <w:lang w:eastAsia="zh-CN"/>
        </w:rPr>
      </w:pPr>
      <w:r>
        <w:rPr>
          <w:rFonts w:hint="eastAsia" w:ascii="仿宋" w:hAnsi="仿宋" w:eastAsia="仿宋" w:cs="仿宋"/>
          <w:lang w:val="en-US" w:eastAsia="zh-CN"/>
        </w:rPr>
        <w:t>项目每平方米补助最高限额=近半年所处镇街新建商品房市场每平方米单价-项目征收补偿及奖励的每平方米单价。（补助单价</w:t>
      </w:r>
      <w:r>
        <w:rPr>
          <w:rFonts w:hint="eastAsia" w:ascii="仿宋" w:hAnsi="仿宋" w:eastAsia="仿宋" w:cs="仿宋"/>
          <w:sz w:val="32"/>
          <w:szCs w:val="24"/>
        </w:rPr>
        <w:t>不得超过项目每平方米补助最高限额</w:t>
      </w:r>
      <w:r>
        <w:rPr>
          <w:rFonts w:hint="eastAsia" w:ascii="仿宋" w:hAnsi="仿宋" w:eastAsia="仿宋" w:cs="仿宋"/>
          <w:sz w:val="32"/>
          <w:szCs w:val="24"/>
          <w:lang w:eastAsia="zh-CN"/>
        </w:rPr>
        <w:t>。）</w:t>
      </w:r>
    </w:p>
    <w:p w14:paraId="6CB1E052">
      <w:pPr>
        <w:spacing w:beforeLines="0" w:afterLines="0"/>
        <w:ind w:firstLine="616" w:firstLineChars="200"/>
        <w:jc w:val="left"/>
        <w:rPr>
          <w:rFonts w:hint="default" w:ascii="仿宋" w:hAnsi="仿宋" w:eastAsia="仿宋" w:cs="仿宋"/>
          <w:lang w:val="en-US" w:eastAsia="zh-CN"/>
        </w:rPr>
      </w:pPr>
      <w:r>
        <w:rPr>
          <w:rFonts w:hint="eastAsia" w:ascii="仿宋" w:hAnsi="仿宋" w:eastAsia="仿宋" w:cs="仿宋"/>
          <w:sz w:val="32"/>
          <w:szCs w:val="24"/>
          <w:lang w:val="en-US" w:eastAsia="zh-CN"/>
        </w:rPr>
        <w:t>经核算，</w:t>
      </w:r>
      <w:bookmarkStart w:id="0" w:name="_GoBack"/>
      <w:bookmarkEnd w:id="0"/>
      <w:r>
        <w:rPr>
          <w:rFonts w:hint="eastAsia" w:ascii="仿宋" w:hAnsi="仿宋" w:eastAsia="仿宋" w:cs="仿宋"/>
          <w:strike w:val="0"/>
          <w:dstrike w:val="0"/>
          <w:lang w:val="en-US" w:eastAsia="zh-CN"/>
        </w:rPr>
        <w:t>我镇设定</w:t>
      </w:r>
      <w:r>
        <w:rPr>
          <w:rFonts w:hint="eastAsia" w:ascii="仿宋" w:hAnsi="仿宋" w:eastAsia="仿宋" w:cs="仿宋"/>
          <w:strike w:val="0"/>
          <w:lang w:val="en-US" w:eastAsia="zh-CN"/>
        </w:rPr>
        <w:t>补助单价为</w:t>
      </w:r>
      <w:r>
        <w:rPr>
          <w:rFonts w:hint="eastAsia" w:ascii="仿宋" w:hAnsi="仿宋" w:eastAsia="仿宋" w:cs="仿宋"/>
          <w:lang w:val="en-US" w:eastAsia="zh-CN"/>
        </w:rPr>
        <w:t>4000元/平方米。</w:t>
      </w:r>
    </w:p>
    <w:p w14:paraId="04C44035">
      <w:pPr>
        <w:pStyle w:val="2"/>
        <w:numPr>
          <w:ilvl w:val="0"/>
          <w:numId w:val="3"/>
        </w:numPr>
        <w:jc w:val="both"/>
        <w:rPr>
          <w:rFonts w:hint="eastAsia" w:ascii="仿宋" w:hAnsi="仿宋" w:eastAsia="仿宋" w:cs="仿宋"/>
          <w:b w:val="0"/>
          <w:snapToGrid w:val="0"/>
          <w:spacing w:val="-6"/>
          <w:kern w:val="32"/>
          <w:sz w:val="32"/>
          <w:szCs w:val="24"/>
          <w:lang w:val="en-US" w:eastAsia="zh-CN" w:bidi="ar-SA"/>
        </w:rPr>
      </w:pPr>
      <w:r>
        <w:rPr>
          <w:rFonts w:hint="eastAsia" w:ascii="仿宋" w:hAnsi="仿宋" w:eastAsia="仿宋" w:cs="仿宋"/>
          <w:b w:val="0"/>
          <w:snapToGrid w:val="0"/>
          <w:spacing w:val="-6"/>
          <w:kern w:val="32"/>
          <w:sz w:val="32"/>
          <w:szCs w:val="24"/>
          <w:lang w:val="en-US" w:eastAsia="zh-CN" w:bidi="ar-SA"/>
        </w:rPr>
        <w:t>征收个人自建自住类房屋容积率大于1的</w:t>
      </w:r>
    </w:p>
    <w:p w14:paraId="10791C3E">
      <w:pPr>
        <w:pStyle w:val="2"/>
        <w:numPr>
          <w:ilvl w:val="0"/>
          <w:numId w:val="4"/>
        </w:numPr>
        <w:ind w:firstLine="616" w:firstLineChars="200"/>
        <w:jc w:val="both"/>
        <w:rPr>
          <w:rFonts w:hint="eastAsia" w:ascii="仿宋" w:hAnsi="仿宋" w:eastAsia="仿宋" w:cs="仿宋"/>
          <w:b w:val="0"/>
          <w:snapToGrid w:val="0"/>
          <w:spacing w:val="-6"/>
          <w:kern w:val="32"/>
          <w:sz w:val="32"/>
          <w:szCs w:val="24"/>
          <w:lang w:val="en-US" w:eastAsia="zh-CN" w:bidi="ar-SA"/>
        </w:rPr>
      </w:pPr>
      <w:r>
        <w:rPr>
          <w:rFonts w:hint="eastAsia" w:ascii="仿宋" w:hAnsi="仿宋" w:eastAsia="仿宋" w:cs="仿宋"/>
          <w:b w:val="0"/>
          <w:snapToGrid w:val="0"/>
          <w:spacing w:val="-6"/>
          <w:kern w:val="32"/>
          <w:sz w:val="32"/>
          <w:szCs w:val="24"/>
          <w:lang w:val="en-US" w:eastAsia="zh-CN" w:bidi="ar-SA"/>
        </w:rPr>
        <w:t>房屋登记为个人，土地登记为住宅、商业住宅的，按协议征收房屋主体建筑面积，补助单价*100％计算购房补助。</w:t>
      </w:r>
    </w:p>
    <w:p w14:paraId="350B8562">
      <w:pPr>
        <w:numPr>
          <w:ilvl w:val="0"/>
          <w:numId w:val="0"/>
        </w:numPr>
        <w:ind w:firstLine="616" w:firstLineChars="200"/>
        <w:jc w:val="both"/>
        <w:rPr>
          <w:rFonts w:hint="eastAsia" w:ascii="仿宋" w:hAnsi="仿宋" w:eastAsia="仿宋" w:cs="仿宋"/>
          <w:highlight w:val="yellow"/>
          <w:lang w:val="en-US" w:eastAsia="zh-CN"/>
        </w:rPr>
      </w:pPr>
      <w:r>
        <w:rPr>
          <w:rFonts w:hint="eastAsia" w:ascii="仿宋" w:hAnsi="仿宋" w:eastAsia="仿宋" w:cs="仿宋"/>
          <w:lang w:val="en-US" w:eastAsia="zh-CN"/>
        </w:rPr>
        <w:t>（2）对虽未办理登记但经板芙镇历史土地和房屋联审小组认定为个人自住住宅类房屋，对经认定征收房屋</w:t>
      </w:r>
      <w:r>
        <w:rPr>
          <w:rFonts w:hint="eastAsia" w:ascii="仿宋" w:hAnsi="仿宋" w:eastAsia="仿宋" w:cs="仿宋"/>
          <w:b w:val="0"/>
          <w:snapToGrid w:val="0"/>
          <w:spacing w:val="-6"/>
          <w:kern w:val="32"/>
          <w:sz w:val="32"/>
          <w:szCs w:val="24"/>
          <w:lang w:val="en-US" w:eastAsia="zh-CN" w:bidi="ar-SA"/>
        </w:rPr>
        <w:t>主体建筑</w:t>
      </w:r>
      <w:r>
        <w:rPr>
          <w:rFonts w:hint="eastAsia" w:ascii="仿宋" w:hAnsi="仿宋" w:eastAsia="仿宋" w:cs="仿宋"/>
          <w:lang w:val="en-US" w:eastAsia="zh-CN"/>
        </w:rPr>
        <w:t>面积符合规划条件的部分（且不超过350平方米）*补助单价*85％计算</w:t>
      </w:r>
      <w:r>
        <w:rPr>
          <w:rFonts w:hint="eastAsia" w:ascii="仿宋" w:hAnsi="仿宋" w:eastAsia="仿宋" w:cs="仿宋"/>
          <w:b w:val="0"/>
          <w:snapToGrid w:val="0"/>
          <w:spacing w:val="-6"/>
          <w:kern w:val="32"/>
          <w:sz w:val="32"/>
          <w:szCs w:val="24"/>
          <w:lang w:val="en-US" w:eastAsia="zh-CN" w:bidi="ar-SA"/>
        </w:rPr>
        <w:t>购房补助，</w:t>
      </w:r>
      <w:r>
        <w:rPr>
          <w:rFonts w:hint="eastAsia" w:ascii="仿宋" w:hAnsi="仿宋" w:eastAsia="仿宋" w:cs="仿宋"/>
          <w:b w:val="0"/>
          <w:snapToGrid w:val="0"/>
          <w:spacing w:val="-6"/>
          <w:kern w:val="32"/>
          <w:sz w:val="32"/>
          <w:szCs w:val="24"/>
          <w:highlight w:val="none"/>
          <w:lang w:val="en-US" w:eastAsia="zh-CN" w:bidi="ar-SA"/>
        </w:rPr>
        <w:t>对超出规划条件部分不予补助。</w:t>
      </w:r>
    </w:p>
    <w:p w14:paraId="12429E15">
      <w:pPr>
        <w:pStyle w:val="2"/>
        <w:numPr>
          <w:ilvl w:val="0"/>
          <w:numId w:val="3"/>
        </w:numPr>
        <w:jc w:val="both"/>
        <w:rPr>
          <w:rFonts w:hint="eastAsia" w:ascii="仿宋" w:hAnsi="仿宋" w:eastAsia="仿宋" w:cs="仿宋"/>
          <w:b w:val="0"/>
          <w:snapToGrid w:val="0"/>
          <w:spacing w:val="-6"/>
          <w:kern w:val="32"/>
          <w:sz w:val="32"/>
          <w:szCs w:val="24"/>
          <w:lang w:val="en-US" w:eastAsia="zh-CN" w:bidi="ar-SA"/>
        </w:rPr>
      </w:pPr>
      <w:r>
        <w:rPr>
          <w:rFonts w:hint="eastAsia" w:ascii="仿宋" w:hAnsi="仿宋" w:eastAsia="仿宋" w:cs="仿宋"/>
          <w:b w:val="0"/>
          <w:snapToGrid w:val="0"/>
          <w:spacing w:val="-6"/>
          <w:kern w:val="32"/>
          <w:sz w:val="32"/>
          <w:szCs w:val="24"/>
          <w:lang w:val="en-US" w:eastAsia="zh-CN" w:bidi="ar-SA"/>
        </w:rPr>
        <w:t>征收个人自建自住类房屋容积率小于等于1的</w:t>
      </w:r>
    </w:p>
    <w:p w14:paraId="52E92AB2">
      <w:pPr>
        <w:pStyle w:val="2"/>
        <w:numPr>
          <w:ilvl w:val="0"/>
          <w:numId w:val="5"/>
        </w:numPr>
        <w:ind w:firstLine="616" w:firstLineChars="200"/>
        <w:jc w:val="both"/>
        <w:rPr>
          <w:rFonts w:hint="eastAsia" w:ascii="仿宋" w:hAnsi="仿宋" w:eastAsia="仿宋" w:cs="仿宋"/>
          <w:b w:val="0"/>
          <w:snapToGrid w:val="0"/>
          <w:spacing w:val="-6"/>
          <w:kern w:val="32"/>
          <w:sz w:val="32"/>
          <w:szCs w:val="24"/>
          <w:lang w:val="en-US" w:eastAsia="zh-CN" w:bidi="ar-SA"/>
        </w:rPr>
      </w:pPr>
      <w:r>
        <w:rPr>
          <w:rFonts w:hint="eastAsia" w:ascii="仿宋" w:hAnsi="仿宋" w:eastAsia="仿宋" w:cs="仿宋"/>
          <w:b w:val="0"/>
          <w:snapToGrid w:val="0"/>
          <w:spacing w:val="-6"/>
          <w:kern w:val="32"/>
          <w:sz w:val="32"/>
          <w:szCs w:val="24"/>
          <w:lang w:val="en-US" w:eastAsia="zh-CN" w:bidi="ar-SA"/>
        </w:rPr>
        <w:t>房屋登记为个人，土地登记为住宅、商业住宅的，按协议征收土地面积*补助单价*60％计算购房补助；按协议征收房屋主体建筑面积*补助单价*40％计算购房补助。</w:t>
      </w:r>
    </w:p>
    <w:p w14:paraId="58E45374">
      <w:pPr>
        <w:numPr>
          <w:ilvl w:val="0"/>
          <w:numId w:val="5"/>
        </w:numPr>
        <w:ind w:left="0" w:leftChars="0" w:firstLine="616" w:firstLineChars="200"/>
        <w:rPr>
          <w:rFonts w:hint="eastAsia" w:ascii="仿宋" w:hAnsi="仿宋" w:eastAsia="仿宋" w:cs="仿宋"/>
          <w:b w:val="0"/>
          <w:snapToGrid w:val="0"/>
          <w:spacing w:val="-6"/>
          <w:kern w:val="32"/>
          <w:sz w:val="32"/>
          <w:szCs w:val="24"/>
          <w:highlight w:val="none"/>
          <w:lang w:val="en-US" w:eastAsia="zh-CN" w:bidi="ar-SA"/>
        </w:rPr>
      </w:pPr>
      <w:r>
        <w:rPr>
          <w:rFonts w:hint="eastAsia" w:ascii="仿宋" w:hAnsi="仿宋" w:eastAsia="仿宋" w:cs="仿宋"/>
          <w:lang w:val="en-US" w:eastAsia="zh-CN"/>
        </w:rPr>
        <w:t>对</w:t>
      </w:r>
      <w:r>
        <w:rPr>
          <w:rFonts w:hint="eastAsia" w:ascii="仿宋" w:hAnsi="仿宋" w:eastAsia="仿宋" w:cs="仿宋"/>
          <w:b w:val="0"/>
          <w:snapToGrid w:val="0"/>
          <w:spacing w:val="-6"/>
          <w:kern w:val="32"/>
          <w:sz w:val="32"/>
          <w:szCs w:val="24"/>
          <w:lang w:val="en-US" w:eastAsia="zh-CN" w:bidi="ar-SA"/>
        </w:rPr>
        <w:t>土地登记为住宅、商业住宅，房屋</w:t>
      </w:r>
      <w:r>
        <w:rPr>
          <w:rFonts w:hint="eastAsia" w:ascii="仿宋" w:hAnsi="仿宋" w:eastAsia="仿宋" w:cs="仿宋"/>
          <w:lang w:val="en-US" w:eastAsia="zh-CN"/>
        </w:rPr>
        <w:t>未办理登记但经板芙镇历史土地和房屋联审小组认定为个人自住住宅类房屋，对征收土地面积*</w:t>
      </w:r>
      <w:r>
        <w:rPr>
          <w:rFonts w:hint="eastAsia" w:ascii="仿宋" w:hAnsi="仿宋" w:eastAsia="仿宋" w:cs="仿宋"/>
          <w:b w:val="0"/>
          <w:snapToGrid w:val="0"/>
          <w:spacing w:val="-6"/>
          <w:kern w:val="32"/>
          <w:sz w:val="32"/>
          <w:szCs w:val="24"/>
          <w:lang w:val="en-US" w:eastAsia="zh-CN" w:bidi="ar-SA"/>
        </w:rPr>
        <w:t>补助单价*60％计算购房补助；对经认定征收房屋主体建筑面积符合规划条件的部分（</w:t>
      </w:r>
      <w:r>
        <w:rPr>
          <w:rFonts w:hint="eastAsia" w:ascii="仿宋" w:hAnsi="仿宋" w:eastAsia="仿宋" w:cs="仿宋"/>
          <w:lang w:val="en-US" w:eastAsia="zh-CN"/>
        </w:rPr>
        <w:t>且不超过350平方米</w:t>
      </w:r>
      <w:r>
        <w:rPr>
          <w:rFonts w:hint="eastAsia" w:ascii="仿宋" w:hAnsi="仿宋" w:eastAsia="仿宋" w:cs="仿宋"/>
          <w:b w:val="0"/>
          <w:snapToGrid w:val="0"/>
          <w:spacing w:val="-6"/>
          <w:kern w:val="32"/>
          <w:sz w:val="32"/>
          <w:szCs w:val="24"/>
          <w:lang w:val="en-US" w:eastAsia="zh-CN" w:bidi="ar-SA"/>
        </w:rPr>
        <w:t>）*补助单价*40%*85%计算购房补助，</w:t>
      </w:r>
      <w:r>
        <w:rPr>
          <w:rFonts w:hint="eastAsia" w:ascii="仿宋" w:hAnsi="仿宋" w:eastAsia="仿宋" w:cs="仿宋"/>
          <w:b w:val="0"/>
          <w:snapToGrid w:val="0"/>
          <w:spacing w:val="-6"/>
          <w:kern w:val="32"/>
          <w:sz w:val="32"/>
          <w:szCs w:val="24"/>
          <w:highlight w:val="none"/>
          <w:lang w:val="en-US" w:eastAsia="zh-CN" w:bidi="ar-SA"/>
        </w:rPr>
        <w:t>对超出规划条件部分不予补助。</w:t>
      </w:r>
    </w:p>
    <w:p w14:paraId="2EE85556">
      <w:pPr>
        <w:numPr>
          <w:ilvl w:val="0"/>
          <w:numId w:val="0"/>
        </w:numPr>
        <w:ind w:firstLine="616" w:firstLineChars="200"/>
        <w:rPr>
          <w:rFonts w:hint="eastAsia" w:ascii="仿宋" w:hAnsi="仿宋" w:eastAsia="仿宋" w:cs="仿宋"/>
          <w:b w:val="0"/>
          <w:snapToGrid w:val="0"/>
          <w:spacing w:val="-6"/>
          <w:kern w:val="32"/>
          <w:sz w:val="32"/>
          <w:szCs w:val="24"/>
          <w:highlight w:val="none"/>
          <w:lang w:val="en-US" w:eastAsia="zh-CN" w:bidi="ar-SA"/>
        </w:rPr>
      </w:pPr>
      <w:r>
        <w:rPr>
          <w:rFonts w:hint="eastAsia" w:ascii="仿宋" w:hAnsi="仿宋" w:eastAsia="仿宋" w:cs="仿宋"/>
          <w:highlight w:val="none"/>
          <w:lang w:val="en-US" w:eastAsia="zh-CN"/>
        </w:rPr>
        <w:t>（3）对</w:t>
      </w:r>
      <w:r>
        <w:rPr>
          <w:rFonts w:hint="eastAsia" w:ascii="仿宋" w:hAnsi="仿宋" w:eastAsia="仿宋" w:cs="仿宋"/>
          <w:b w:val="0"/>
          <w:snapToGrid w:val="0"/>
          <w:spacing w:val="-6"/>
          <w:kern w:val="32"/>
          <w:sz w:val="32"/>
          <w:szCs w:val="24"/>
          <w:highlight w:val="none"/>
          <w:lang w:val="en-US" w:eastAsia="zh-CN" w:bidi="ar-SA"/>
        </w:rPr>
        <w:t>房屋已办理登记，土地</w:t>
      </w:r>
      <w:r>
        <w:rPr>
          <w:rFonts w:hint="eastAsia" w:ascii="仿宋" w:hAnsi="仿宋" w:eastAsia="仿宋" w:cs="仿宋"/>
          <w:highlight w:val="none"/>
          <w:lang w:val="en-US" w:eastAsia="zh-CN"/>
        </w:rPr>
        <w:t>未办理登记但经板芙镇历史土地和房屋联审小组认定为住宅性土地的，对经认定土地面积（不超120平方米）*</w:t>
      </w:r>
      <w:r>
        <w:rPr>
          <w:rFonts w:hint="eastAsia" w:ascii="仿宋" w:hAnsi="仿宋" w:eastAsia="仿宋" w:cs="仿宋"/>
          <w:b w:val="0"/>
          <w:snapToGrid w:val="0"/>
          <w:spacing w:val="-6"/>
          <w:kern w:val="32"/>
          <w:sz w:val="32"/>
          <w:szCs w:val="24"/>
          <w:highlight w:val="none"/>
          <w:lang w:val="en-US" w:eastAsia="zh-CN" w:bidi="ar-SA"/>
        </w:rPr>
        <w:t>补助单价*60％*85%计算购房补助；对征收房屋主体建筑面积符合规划条件的部分*补助单价*40%计算购房补助。</w:t>
      </w:r>
    </w:p>
    <w:p w14:paraId="0DA49968">
      <w:pPr>
        <w:numPr>
          <w:ilvl w:val="0"/>
          <w:numId w:val="0"/>
        </w:numPr>
        <w:ind w:firstLine="616" w:firstLineChars="200"/>
        <w:rPr>
          <w:rFonts w:hint="eastAsia" w:ascii="仿宋" w:hAnsi="仿宋" w:eastAsia="仿宋" w:cs="仿宋"/>
          <w:lang w:val="en-US" w:eastAsia="zh-CN"/>
        </w:rPr>
      </w:pPr>
      <w:r>
        <w:rPr>
          <w:rFonts w:hint="eastAsia" w:ascii="仿宋" w:hAnsi="仿宋" w:eastAsia="仿宋" w:cs="仿宋"/>
          <w:highlight w:val="none"/>
          <w:lang w:val="en-US" w:eastAsia="zh-CN"/>
        </w:rPr>
        <w:t>（4）对土地和房屋均未办理登记但经板芙镇历史土地和房屋联审小组认定为个人自住住宅类房屋，对经认定土地面积</w:t>
      </w:r>
      <w:r>
        <w:rPr>
          <w:rFonts w:hint="eastAsia" w:ascii="仿宋" w:hAnsi="仿宋" w:eastAsia="仿宋" w:cs="仿宋"/>
          <w:lang w:val="en-US" w:eastAsia="zh-CN"/>
        </w:rPr>
        <w:t>（不超120平方米）*</w:t>
      </w:r>
      <w:r>
        <w:rPr>
          <w:rFonts w:hint="eastAsia" w:ascii="仿宋" w:hAnsi="仿宋" w:eastAsia="仿宋" w:cs="仿宋"/>
          <w:b w:val="0"/>
          <w:snapToGrid w:val="0"/>
          <w:spacing w:val="-6"/>
          <w:kern w:val="32"/>
          <w:sz w:val="32"/>
          <w:szCs w:val="24"/>
          <w:lang w:val="en-US" w:eastAsia="zh-CN" w:bidi="ar-SA"/>
        </w:rPr>
        <w:t>补助单价*60%*85%计算</w:t>
      </w:r>
      <w:r>
        <w:rPr>
          <w:rFonts w:hint="eastAsia" w:ascii="仿宋" w:hAnsi="仿宋" w:eastAsia="仿宋" w:cs="仿宋"/>
          <w:lang w:val="en-US" w:eastAsia="zh-CN"/>
        </w:rPr>
        <w:t>购房补助；对经认定征收房屋主体建筑面积符合规划条件的部分</w:t>
      </w:r>
      <w:r>
        <w:rPr>
          <w:rFonts w:hint="eastAsia" w:ascii="仿宋" w:hAnsi="仿宋" w:eastAsia="仿宋" w:cs="仿宋"/>
          <w:b w:val="0"/>
          <w:snapToGrid w:val="0"/>
          <w:spacing w:val="-6"/>
          <w:kern w:val="32"/>
          <w:sz w:val="32"/>
          <w:szCs w:val="24"/>
          <w:lang w:val="en-US" w:eastAsia="zh-CN" w:bidi="ar-SA"/>
        </w:rPr>
        <w:t>（</w:t>
      </w:r>
      <w:r>
        <w:rPr>
          <w:rFonts w:hint="eastAsia" w:ascii="仿宋" w:hAnsi="仿宋" w:eastAsia="仿宋" w:cs="仿宋"/>
          <w:lang w:val="en-US" w:eastAsia="zh-CN"/>
        </w:rPr>
        <w:t>且不超过350平方米</w:t>
      </w:r>
      <w:r>
        <w:rPr>
          <w:rFonts w:hint="eastAsia" w:ascii="仿宋" w:hAnsi="仿宋" w:eastAsia="仿宋" w:cs="仿宋"/>
          <w:b w:val="0"/>
          <w:snapToGrid w:val="0"/>
          <w:spacing w:val="-6"/>
          <w:kern w:val="32"/>
          <w:sz w:val="32"/>
          <w:szCs w:val="24"/>
          <w:lang w:val="en-US" w:eastAsia="zh-CN" w:bidi="ar-SA"/>
        </w:rPr>
        <w:t>）</w:t>
      </w:r>
      <w:r>
        <w:rPr>
          <w:rFonts w:hint="eastAsia" w:ascii="仿宋" w:hAnsi="仿宋" w:eastAsia="仿宋" w:cs="仿宋"/>
          <w:lang w:val="en-US" w:eastAsia="zh-CN"/>
        </w:rPr>
        <w:t>*</w:t>
      </w:r>
      <w:r>
        <w:rPr>
          <w:rFonts w:hint="eastAsia" w:ascii="仿宋" w:hAnsi="仿宋" w:eastAsia="仿宋" w:cs="仿宋"/>
          <w:b w:val="0"/>
          <w:snapToGrid w:val="0"/>
          <w:spacing w:val="-6"/>
          <w:kern w:val="32"/>
          <w:sz w:val="32"/>
          <w:szCs w:val="24"/>
          <w:lang w:val="en-US" w:eastAsia="zh-CN" w:bidi="ar-SA"/>
        </w:rPr>
        <w:t>补助单价*40%*85%计算</w:t>
      </w:r>
      <w:r>
        <w:rPr>
          <w:rFonts w:hint="eastAsia" w:ascii="仿宋" w:hAnsi="仿宋" w:eastAsia="仿宋" w:cs="仿宋"/>
          <w:lang w:val="en-US" w:eastAsia="zh-CN"/>
        </w:rPr>
        <w:t>购房补助，对超出规划条件部分不予补助。</w:t>
      </w:r>
    </w:p>
    <w:p w14:paraId="4B121C56">
      <w:pPr>
        <w:numPr>
          <w:ilvl w:val="0"/>
          <w:numId w:val="0"/>
        </w:numPr>
        <w:ind w:leftChars="200"/>
        <w:jc w:val="both"/>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lang w:val="en-US" w:eastAsia="zh-CN"/>
        </w:rPr>
        <w:t>3、土地为空地状态的，不设补助。</w:t>
      </w:r>
    </w:p>
    <w:p w14:paraId="7D44BFDA">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四、其他事项</w:t>
      </w:r>
    </w:p>
    <w:p w14:paraId="495FBC39">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（一）本方案中如遇特殊情况或107号文有关补偿标准未提及的补偿项目，可由具有资质的评估机构出具的评估报告作为补偿依据。</w:t>
      </w:r>
    </w:p>
    <w:p w14:paraId="4957A58D">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（二）本方案由中山市板芙镇人民政府组织实施。</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roman"/>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CD93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F73C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0F73C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0D386D"/>
    <w:multiLevelType w:val="singleLevel"/>
    <w:tmpl w:val="920D386D"/>
    <w:lvl w:ilvl="0" w:tentative="0">
      <w:start w:val="1"/>
      <w:numFmt w:val="decimal"/>
      <w:suff w:val="nothing"/>
      <w:lvlText w:val="（%1）"/>
      <w:lvlJc w:val="left"/>
    </w:lvl>
  </w:abstractNum>
  <w:abstractNum w:abstractNumId="1">
    <w:nsid w:val="9E8AFEFE"/>
    <w:multiLevelType w:val="singleLevel"/>
    <w:tmpl w:val="9E8AFEFE"/>
    <w:lvl w:ilvl="0" w:tentative="0">
      <w:start w:val="3"/>
      <w:numFmt w:val="chineseCounting"/>
      <w:suff w:val="nothing"/>
      <w:lvlText w:val="（%1）"/>
      <w:lvlJc w:val="left"/>
      <w:rPr>
        <w:rFonts w:hint="eastAsia"/>
      </w:rPr>
    </w:lvl>
  </w:abstractNum>
  <w:abstractNum w:abstractNumId="2">
    <w:nsid w:val="0D938A67"/>
    <w:multiLevelType w:val="singleLevel"/>
    <w:tmpl w:val="0D938A67"/>
    <w:lvl w:ilvl="0" w:tentative="0">
      <w:start w:val="1"/>
      <w:numFmt w:val="decimal"/>
      <w:suff w:val="nothing"/>
      <w:lvlText w:val="%1、"/>
      <w:lvlJc w:val="left"/>
    </w:lvl>
  </w:abstractNum>
  <w:abstractNum w:abstractNumId="3">
    <w:nsid w:val="4D072DFF"/>
    <w:multiLevelType w:val="singleLevel"/>
    <w:tmpl w:val="4D072DFF"/>
    <w:lvl w:ilvl="0" w:tentative="0">
      <w:start w:val="1"/>
      <w:numFmt w:val="decimal"/>
      <w:suff w:val="nothing"/>
      <w:lvlText w:val="%1、"/>
      <w:lvlJc w:val="left"/>
    </w:lvl>
  </w:abstractNum>
  <w:abstractNum w:abstractNumId="4">
    <w:nsid w:val="6652643D"/>
    <w:multiLevelType w:val="singleLevel"/>
    <w:tmpl w:val="6652643D"/>
    <w:lvl w:ilvl="0" w:tentative="0">
      <w:start w:val="1"/>
      <w:numFmt w:val="decimal"/>
      <w:suff w:val="nothing"/>
      <w:lvlText w:val="（%1）"/>
      <w:lvlJc w:val="lef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F2EDF"/>
    <w:rsid w:val="010B6346"/>
    <w:rsid w:val="01256EF0"/>
    <w:rsid w:val="012B0799"/>
    <w:rsid w:val="0171156E"/>
    <w:rsid w:val="01AF70E0"/>
    <w:rsid w:val="021F723B"/>
    <w:rsid w:val="02264514"/>
    <w:rsid w:val="02541B61"/>
    <w:rsid w:val="027F0426"/>
    <w:rsid w:val="02CF1952"/>
    <w:rsid w:val="02E14D5B"/>
    <w:rsid w:val="03056101"/>
    <w:rsid w:val="033D1ADE"/>
    <w:rsid w:val="034A0DF4"/>
    <w:rsid w:val="03F0273E"/>
    <w:rsid w:val="043C1696"/>
    <w:rsid w:val="04510922"/>
    <w:rsid w:val="04C01196"/>
    <w:rsid w:val="0508204E"/>
    <w:rsid w:val="053648B0"/>
    <w:rsid w:val="05B74771"/>
    <w:rsid w:val="06567772"/>
    <w:rsid w:val="065A3F7A"/>
    <w:rsid w:val="065B72F3"/>
    <w:rsid w:val="0665125D"/>
    <w:rsid w:val="06700D4C"/>
    <w:rsid w:val="06BD229F"/>
    <w:rsid w:val="06F01EEF"/>
    <w:rsid w:val="078E5270"/>
    <w:rsid w:val="07BA29FE"/>
    <w:rsid w:val="0839318B"/>
    <w:rsid w:val="084B6928"/>
    <w:rsid w:val="08807182"/>
    <w:rsid w:val="08AB1F1B"/>
    <w:rsid w:val="08F203BB"/>
    <w:rsid w:val="09396436"/>
    <w:rsid w:val="096C2283"/>
    <w:rsid w:val="0A403DCE"/>
    <w:rsid w:val="0A4D508A"/>
    <w:rsid w:val="0A5A6688"/>
    <w:rsid w:val="0AD804D2"/>
    <w:rsid w:val="0B227B45"/>
    <w:rsid w:val="0B370759"/>
    <w:rsid w:val="0B9E129E"/>
    <w:rsid w:val="0BA27F74"/>
    <w:rsid w:val="0BC14CD6"/>
    <w:rsid w:val="0C3D6C7D"/>
    <w:rsid w:val="0C821421"/>
    <w:rsid w:val="0CCA7546"/>
    <w:rsid w:val="0D223618"/>
    <w:rsid w:val="0D3E26CF"/>
    <w:rsid w:val="0D650C0A"/>
    <w:rsid w:val="0D755621"/>
    <w:rsid w:val="0DA306EE"/>
    <w:rsid w:val="0DCF6FB4"/>
    <w:rsid w:val="0E1C2936"/>
    <w:rsid w:val="0E2963C9"/>
    <w:rsid w:val="0E7C7309"/>
    <w:rsid w:val="0EC407C6"/>
    <w:rsid w:val="0F1108C5"/>
    <w:rsid w:val="0FC84B70"/>
    <w:rsid w:val="1047710D"/>
    <w:rsid w:val="10BB784F"/>
    <w:rsid w:val="10DF343F"/>
    <w:rsid w:val="112A6E39"/>
    <w:rsid w:val="11CB4341"/>
    <w:rsid w:val="11E95143"/>
    <w:rsid w:val="11FA0B8F"/>
    <w:rsid w:val="12812FB7"/>
    <w:rsid w:val="12847D26"/>
    <w:rsid w:val="13641446"/>
    <w:rsid w:val="138D071E"/>
    <w:rsid w:val="13FA2129"/>
    <w:rsid w:val="14126E9E"/>
    <w:rsid w:val="14E0178F"/>
    <w:rsid w:val="14F90C75"/>
    <w:rsid w:val="15377BDA"/>
    <w:rsid w:val="156C31B3"/>
    <w:rsid w:val="15892AE3"/>
    <w:rsid w:val="15A66043"/>
    <w:rsid w:val="15E73EC1"/>
    <w:rsid w:val="161E6859"/>
    <w:rsid w:val="168C6E8D"/>
    <w:rsid w:val="178D025C"/>
    <w:rsid w:val="17A51B58"/>
    <w:rsid w:val="17B730F8"/>
    <w:rsid w:val="17DD5536"/>
    <w:rsid w:val="18913732"/>
    <w:rsid w:val="18BD0439"/>
    <w:rsid w:val="19E24986"/>
    <w:rsid w:val="19FA7E71"/>
    <w:rsid w:val="1A003F36"/>
    <w:rsid w:val="1A325A0A"/>
    <w:rsid w:val="1A4C2D31"/>
    <w:rsid w:val="1A8F273C"/>
    <w:rsid w:val="1AD4733A"/>
    <w:rsid w:val="1AE12A34"/>
    <w:rsid w:val="1B2E1125"/>
    <w:rsid w:val="1B6F54BE"/>
    <w:rsid w:val="1BEE3761"/>
    <w:rsid w:val="1C1823A7"/>
    <w:rsid w:val="1C74143C"/>
    <w:rsid w:val="1C820752"/>
    <w:rsid w:val="1C893960"/>
    <w:rsid w:val="1D047337"/>
    <w:rsid w:val="1E0B605A"/>
    <w:rsid w:val="1E117F64"/>
    <w:rsid w:val="1E1B2A71"/>
    <w:rsid w:val="1E21054D"/>
    <w:rsid w:val="1E276D62"/>
    <w:rsid w:val="1ECD5D69"/>
    <w:rsid w:val="1ED82CE2"/>
    <w:rsid w:val="1F050471"/>
    <w:rsid w:val="1FBF69A5"/>
    <w:rsid w:val="201828B7"/>
    <w:rsid w:val="203B1745"/>
    <w:rsid w:val="203D39F0"/>
    <w:rsid w:val="20490E7D"/>
    <w:rsid w:val="206F54C4"/>
    <w:rsid w:val="20A11517"/>
    <w:rsid w:val="21582CD5"/>
    <w:rsid w:val="227C064A"/>
    <w:rsid w:val="22A27603"/>
    <w:rsid w:val="22E713D0"/>
    <w:rsid w:val="233C215F"/>
    <w:rsid w:val="23582989"/>
    <w:rsid w:val="236B742B"/>
    <w:rsid w:val="23734838"/>
    <w:rsid w:val="23E612F3"/>
    <w:rsid w:val="244A5795"/>
    <w:rsid w:val="25275183"/>
    <w:rsid w:val="25652CCF"/>
    <w:rsid w:val="25801095"/>
    <w:rsid w:val="25A76D56"/>
    <w:rsid w:val="25BF7E49"/>
    <w:rsid w:val="25E54630"/>
    <w:rsid w:val="25F954DB"/>
    <w:rsid w:val="262C11AD"/>
    <w:rsid w:val="26CB5833"/>
    <w:rsid w:val="26D84A3D"/>
    <w:rsid w:val="26E76E1D"/>
    <w:rsid w:val="273C0B0A"/>
    <w:rsid w:val="278065DC"/>
    <w:rsid w:val="27976201"/>
    <w:rsid w:val="28061D38"/>
    <w:rsid w:val="281954D5"/>
    <w:rsid w:val="28956CD9"/>
    <w:rsid w:val="28DF1501"/>
    <w:rsid w:val="28E02D20"/>
    <w:rsid w:val="29263F95"/>
    <w:rsid w:val="29AD68DC"/>
    <w:rsid w:val="2A571F3F"/>
    <w:rsid w:val="2A8F5EDF"/>
    <w:rsid w:val="2AA96A88"/>
    <w:rsid w:val="2AED38D4"/>
    <w:rsid w:val="2AF4239D"/>
    <w:rsid w:val="2B5214EA"/>
    <w:rsid w:val="2B6B025C"/>
    <w:rsid w:val="2BB66FC6"/>
    <w:rsid w:val="2BCB36E8"/>
    <w:rsid w:val="2C061E34"/>
    <w:rsid w:val="2C0F4F1B"/>
    <w:rsid w:val="2C1F3172"/>
    <w:rsid w:val="2C2C2488"/>
    <w:rsid w:val="2C3B74EA"/>
    <w:rsid w:val="2C463031"/>
    <w:rsid w:val="2C6C79EE"/>
    <w:rsid w:val="2C9D01BD"/>
    <w:rsid w:val="2CCB328B"/>
    <w:rsid w:val="2D014E17"/>
    <w:rsid w:val="2D9F4C51"/>
    <w:rsid w:val="2DA63304"/>
    <w:rsid w:val="2E1B7734"/>
    <w:rsid w:val="2E20670F"/>
    <w:rsid w:val="2E604F7C"/>
    <w:rsid w:val="2E650E2E"/>
    <w:rsid w:val="2E7D69CE"/>
    <w:rsid w:val="2F5A263F"/>
    <w:rsid w:val="2FA64CBD"/>
    <w:rsid w:val="2FD82F0E"/>
    <w:rsid w:val="2FE0031A"/>
    <w:rsid w:val="2FE01344"/>
    <w:rsid w:val="2FF624BE"/>
    <w:rsid w:val="2FF93442"/>
    <w:rsid w:val="30C07BED"/>
    <w:rsid w:val="3156162F"/>
    <w:rsid w:val="31885988"/>
    <w:rsid w:val="31CF55C7"/>
    <w:rsid w:val="32121533"/>
    <w:rsid w:val="32B026B6"/>
    <w:rsid w:val="32CC46E1"/>
    <w:rsid w:val="33B90670"/>
    <w:rsid w:val="34D92706"/>
    <w:rsid w:val="34FF1BF9"/>
    <w:rsid w:val="356928AF"/>
    <w:rsid w:val="359C7D8C"/>
    <w:rsid w:val="3624775F"/>
    <w:rsid w:val="363D319F"/>
    <w:rsid w:val="366B11D8"/>
    <w:rsid w:val="36D131EC"/>
    <w:rsid w:val="372D1296"/>
    <w:rsid w:val="379815B1"/>
    <w:rsid w:val="37AF4CE7"/>
    <w:rsid w:val="38280AAF"/>
    <w:rsid w:val="38B46960"/>
    <w:rsid w:val="38DF66DE"/>
    <w:rsid w:val="390B0AC4"/>
    <w:rsid w:val="392E00AE"/>
    <w:rsid w:val="393328E5"/>
    <w:rsid w:val="3938417A"/>
    <w:rsid w:val="39613BCC"/>
    <w:rsid w:val="3A6423E7"/>
    <w:rsid w:val="3AD76819"/>
    <w:rsid w:val="3B29751D"/>
    <w:rsid w:val="3B965952"/>
    <w:rsid w:val="3BA47E98"/>
    <w:rsid w:val="3C277440"/>
    <w:rsid w:val="3CC60243"/>
    <w:rsid w:val="3CFF16A1"/>
    <w:rsid w:val="3D3056F4"/>
    <w:rsid w:val="3D3B2D68"/>
    <w:rsid w:val="3D3D290E"/>
    <w:rsid w:val="3D802EF4"/>
    <w:rsid w:val="3DD96E06"/>
    <w:rsid w:val="3ECD0998"/>
    <w:rsid w:val="3F512FA9"/>
    <w:rsid w:val="3FA41114"/>
    <w:rsid w:val="3FAD35AC"/>
    <w:rsid w:val="3FE710E5"/>
    <w:rsid w:val="3FFD3288"/>
    <w:rsid w:val="403E20C8"/>
    <w:rsid w:val="404339FD"/>
    <w:rsid w:val="405D26E7"/>
    <w:rsid w:val="40655236"/>
    <w:rsid w:val="40DE2154"/>
    <w:rsid w:val="410A340F"/>
    <w:rsid w:val="419538CB"/>
    <w:rsid w:val="41E14722"/>
    <w:rsid w:val="423676B0"/>
    <w:rsid w:val="42585666"/>
    <w:rsid w:val="428D00BE"/>
    <w:rsid w:val="429C4E56"/>
    <w:rsid w:val="431D412A"/>
    <w:rsid w:val="432418B7"/>
    <w:rsid w:val="432D3D38"/>
    <w:rsid w:val="435A070C"/>
    <w:rsid w:val="44026E2A"/>
    <w:rsid w:val="442D1D69"/>
    <w:rsid w:val="448F577F"/>
    <w:rsid w:val="451C7473"/>
    <w:rsid w:val="45C27C01"/>
    <w:rsid w:val="467960AA"/>
    <w:rsid w:val="472F38FB"/>
    <w:rsid w:val="47775FCD"/>
    <w:rsid w:val="48174852"/>
    <w:rsid w:val="48804281"/>
    <w:rsid w:val="489354A0"/>
    <w:rsid w:val="48BF0F83"/>
    <w:rsid w:val="48D92391"/>
    <w:rsid w:val="49563036"/>
    <w:rsid w:val="49A76262"/>
    <w:rsid w:val="49E824DE"/>
    <w:rsid w:val="4A114F59"/>
    <w:rsid w:val="4A3416AD"/>
    <w:rsid w:val="4A606D15"/>
    <w:rsid w:val="4A65319D"/>
    <w:rsid w:val="4A736830"/>
    <w:rsid w:val="4B2C55D8"/>
    <w:rsid w:val="4B426E35"/>
    <w:rsid w:val="4B493410"/>
    <w:rsid w:val="4B6452BE"/>
    <w:rsid w:val="4BA30710"/>
    <w:rsid w:val="4BC97338"/>
    <w:rsid w:val="4C041185"/>
    <w:rsid w:val="4C6870EB"/>
    <w:rsid w:val="4C781903"/>
    <w:rsid w:val="4D221D9C"/>
    <w:rsid w:val="4D547FED"/>
    <w:rsid w:val="4E19322E"/>
    <w:rsid w:val="4E8406DF"/>
    <w:rsid w:val="4EC63F3C"/>
    <w:rsid w:val="4EE5747E"/>
    <w:rsid w:val="4F7A44DC"/>
    <w:rsid w:val="4FB27ACC"/>
    <w:rsid w:val="4FC1444E"/>
    <w:rsid w:val="50076B69"/>
    <w:rsid w:val="502F4436"/>
    <w:rsid w:val="509E1B26"/>
    <w:rsid w:val="50AD3BFC"/>
    <w:rsid w:val="51054EFA"/>
    <w:rsid w:val="515D338B"/>
    <w:rsid w:val="51870E73"/>
    <w:rsid w:val="519F42C1"/>
    <w:rsid w:val="51BA3724"/>
    <w:rsid w:val="525E193C"/>
    <w:rsid w:val="52653BBD"/>
    <w:rsid w:val="52D0546B"/>
    <w:rsid w:val="535844AE"/>
    <w:rsid w:val="5381780D"/>
    <w:rsid w:val="53964352"/>
    <w:rsid w:val="53C557B9"/>
    <w:rsid w:val="53F70AD0"/>
    <w:rsid w:val="54AC5B1C"/>
    <w:rsid w:val="54C54621"/>
    <w:rsid w:val="54F20968"/>
    <w:rsid w:val="553D07A0"/>
    <w:rsid w:val="56327A01"/>
    <w:rsid w:val="56436117"/>
    <w:rsid w:val="564C5721"/>
    <w:rsid w:val="56A01B10"/>
    <w:rsid w:val="56B241CC"/>
    <w:rsid w:val="56F271B4"/>
    <w:rsid w:val="57004C5E"/>
    <w:rsid w:val="57AC7A66"/>
    <w:rsid w:val="58214023"/>
    <w:rsid w:val="58F05975"/>
    <w:rsid w:val="598558D1"/>
    <w:rsid w:val="598B0C1B"/>
    <w:rsid w:val="5B076365"/>
    <w:rsid w:val="5B5E287E"/>
    <w:rsid w:val="5BD60A10"/>
    <w:rsid w:val="5CA37ECD"/>
    <w:rsid w:val="5D595B2D"/>
    <w:rsid w:val="5D9F27A5"/>
    <w:rsid w:val="5E5025C9"/>
    <w:rsid w:val="5E521976"/>
    <w:rsid w:val="5E873309"/>
    <w:rsid w:val="5EA16ED0"/>
    <w:rsid w:val="5EB17D21"/>
    <w:rsid w:val="5EC6388D"/>
    <w:rsid w:val="5ED864A3"/>
    <w:rsid w:val="5F1E649A"/>
    <w:rsid w:val="5F25198F"/>
    <w:rsid w:val="5F3A5DCA"/>
    <w:rsid w:val="5FBF6023"/>
    <w:rsid w:val="60156A32"/>
    <w:rsid w:val="601E07F9"/>
    <w:rsid w:val="60AB27A8"/>
    <w:rsid w:val="60DD5FF3"/>
    <w:rsid w:val="62184EFE"/>
    <w:rsid w:val="622B7232"/>
    <w:rsid w:val="623441E0"/>
    <w:rsid w:val="625C57CE"/>
    <w:rsid w:val="62BC5A0C"/>
    <w:rsid w:val="62BF6990"/>
    <w:rsid w:val="62EB64CD"/>
    <w:rsid w:val="638650D4"/>
    <w:rsid w:val="64451C8F"/>
    <w:rsid w:val="644E4B1D"/>
    <w:rsid w:val="64613B3E"/>
    <w:rsid w:val="64B941CC"/>
    <w:rsid w:val="64CA69C3"/>
    <w:rsid w:val="64FE714D"/>
    <w:rsid w:val="65223BFC"/>
    <w:rsid w:val="65571B3A"/>
    <w:rsid w:val="656D2D76"/>
    <w:rsid w:val="65DA7B27"/>
    <w:rsid w:val="65DD0AAC"/>
    <w:rsid w:val="66044FCB"/>
    <w:rsid w:val="66084AF3"/>
    <w:rsid w:val="66161F0A"/>
    <w:rsid w:val="663752FA"/>
    <w:rsid w:val="6665550D"/>
    <w:rsid w:val="66D0464C"/>
    <w:rsid w:val="66EE1D9A"/>
    <w:rsid w:val="67562897"/>
    <w:rsid w:val="67724F65"/>
    <w:rsid w:val="67A42616"/>
    <w:rsid w:val="67D121E0"/>
    <w:rsid w:val="67FD1DAB"/>
    <w:rsid w:val="688C3F71"/>
    <w:rsid w:val="68AE636F"/>
    <w:rsid w:val="68AF64C7"/>
    <w:rsid w:val="68DB2E28"/>
    <w:rsid w:val="68E3500E"/>
    <w:rsid w:val="68F025D6"/>
    <w:rsid w:val="690524A6"/>
    <w:rsid w:val="691205EE"/>
    <w:rsid w:val="6A051778"/>
    <w:rsid w:val="6A310A46"/>
    <w:rsid w:val="6A3A0B0D"/>
    <w:rsid w:val="6A3C6EF8"/>
    <w:rsid w:val="6A794CDF"/>
    <w:rsid w:val="6AF42478"/>
    <w:rsid w:val="6B977093"/>
    <w:rsid w:val="6BA21BA1"/>
    <w:rsid w:val="6C944351"/>
    <w:rsid w:val="6CD7419C"/>
    <w:rsid w:val="6CD86F61"/>
    <w:rsid w:val="6D7D01AD"/>
    <w:rsid w:val="6DCA4BF7"/>
    <w:rsid w:val="6E3F5CED"/>
    <w:rsid w:val="6E557E91"/>
    <w:rsid w:val="6E7D5E20"/>
    <w:rsid w:val="6F7D3176"/>
    <w:rsid w:val="6FDD774B"/>
    <w:rsid w:val="6FE12E9B"/>
    <w:rsid w:val="6FFC14C6"/>
    <w:rsid w:val="71255AB0"/>
    <w:rsid w:val="717148AB"/>
    <w:rsid w:val="717C2C3C"/>
    <w:rsid w:val="718C2ED6"/>
    <w:rsid w:val="71CB0A21"/>
    <w:rsid w:val="71CD4FC5"/>
    <w:rsid w:val="71D545CF"/>
    <w:rsid w:val="72434C03"/>
    <w:rsid w:val="727E1565"/>
    <w:rsid w:val="72AD72D0"/>
    <w:rsid w:val="72EB1733"/>
    <w:rsid w:val="730A58E1"/>
    <w:rsid w:val="730A7CD9"/>
    <w:rsid w:val="736A61E4"/>
    <w:rsid w:val="736E46F1"/>
    <w:rsid w:val="738D1AFA"/>
    <w:rsid w:val="73AC6C72"/>
    <w:rsid w:val="73DD68D6"/>
    <w:rsid w:val="740D1C70"/>
    <w:rsid w:val="745F6056"/>
    <w:rsid w:val="74982FD6"/>
    <w:rsid w:val="74BE49B3"/>
    <w:rsid w:val="74D774D1"/>
    <w:rsid w:val="74DD1FC2"/>
    <w:rsid w:val="75504886"/>
    <w:rsid w:val="75F75B56"/>
    <w:rsid w:val="761662D2"/>
    <w:rsid w:val="76411C10"/>
    <w:rsid w:val="76892F4F"/>
    <w:rsid w:val="76F42BF0"/>
    <w:rsid w:val="770706D4"/>
    <w:rsid w:val="778C41B1"/>
    <w:rsid w:val="77CE5715"/>
    <w:rsid w:val="77D06574"/>
    <w:rsid w:val="77ED76CD"/>
    <w:rsid w:val="780008EC"/>
    <w:rsid w:val="78306EBD"/>
    <w:rsid w:val="785D6A87"/>
    <w:rsid w:val="785E6707"/>
    <w:rsid w:val="78687017"/>
    <w:rsid w:val="78754E4A"/>
    <w:rsid w:val="789E2D74"/>
    <w:rsid w:val="789F4706"/>
    <w:rsid w:val="78DB3E1F"/>
    <w:rsid w:val="79092E3E"/>
    <w:rsid w:val="799646A7"/>
    <w:rsid w:val="7A9C6DC1"/>
    <w:rsid w:val="7A9F7F5B"/>
    <w:rsid w:val="7AA11015"/>
    <w:rsid w:val="7AC313F4"/>
    <w:rsid w:val="7AE70733"/>
    <w:rsid w:val="7B263697"/>
    <w:rsid w:val="7BA248F3"/>
    <w:rsid w:val="7BB26AFF"/>
    <w:rsid w:val="7BBE1217"/>
    <w:rsid w:val="7BCF062D"/>
    <w:rsid w:val="7C7A2FE8"/>
    <w:rsid w:val="7C835612"/>
    <w:rsid w:val="7C9064ED"/>
    <w:rsid w:val="7CFC5F4B"/>
    <w:rsid w:val="7D11426A"/>
    <w:rsid w:val="7D7564C5"/>
    <w:rsid w:val="7DB47549"/>
    <w:rsid w:val="7DC242E0"/>
    <w:rsid w:val="7DFD53BF"/>
    <w:rsid w:val="7DFF08C2"/>
    <w:rsid w:val="7E6E1636"/>
    <w:rsid w:val="7E903A34"/>
    <w:rsid w:val="7ED10C1A"/>
    <w:rsid w:val="7EE57BDF"/>
    <w:rsid w:val="7F3C32F9"/>
    <w:rsid w:val="7F643593"/>
    <w:rsid w:val="7F952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LineNumbers/>
      <w:adjustRightInd w:val="0"/>
      <w:snapToGrid w:val="0"/>
      <w:spacing w:line="574" w:lineRule="exact"/>
      <w:jc w:val="both"/>
    </w:pPr>
    <w:rPr>
      <w:rFonts w:ascii="仿宋_GB2312" w:hAnsi="Times New Roman" w:eastAsia="仿宋_GB2312" w:cs="Times New Roman"/>
      <w:snapToGrid w:val="0"/>
      <w:spacing w:val="-6"/>
      <w:kern w:val="32"/>
      <w:sz w:val="32"/>
      <w:szCs w:val="24"/>
      <w:lang w:val="en-US" w:eastAsia="zh-CN" w:bidi="ar-SA"/>
    </w:rPr>
  </w:style>
  <w:style w:type="paragraph" w:styleId="2">
    <w:name w:val="heading 3"/>
    <w:basedOn w:val="1"/>
    <w:next w:val="1"/>
    <w:unhideWhenUsed/>
    <w:qFormat/>
    <w:uiPriority w:val="0"/>
    <w:pPr>
      <w:keepNext/>
      <w:keepLines/>
      <w:spacing w:line="560" w:lineRule="exact"/>
      <w:ind w:firstLine="420" w:firstLineChars="200"/>
      <w:jc w:val="left"/>
      <w:outlineLvl w:val="2"/>
    </w:pPr>
    <w:rPr>
      <w:rFonts w:ascii="Calibri" w:hAnsi="Calibri" w:eastAsia="楷体"/>
      <w:b/>
    </w:rPr>
  </w:style>
  <w:style w:type="paragraph" w:styleId="3">
    <w:name w:val="heading 4"/>
    <w:basedOn w:val="1"/>
    <w:next w:val="1"/>
    <w:qFormat/>
    <w:uiPriority w:val="0"/>
    <w:pPr>
      <w:keepNext/>
      <w:keepLines/>
      <w:spacing w:before="280" w:after="290" w:line="376" w:lineRule="auto"/>
      <w:outlineLvl w:val="3"/>
    </w:pPr>
    <w:rPr>
      <w:rFonts w:ascii="Calibri Light" w:hAnsi="Calibri Light" w:cs="Calibri Light"/>
      <w:b/>
      <w:bCs/>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中山市自然资源局</Company>
  <Pages>4</Pages>
  <Words>0</Words>
  <Characters>0</Characters>
  <Lines>0</Lines>
  <Paragraphs>0</Paragraphs>
  <TotalTime>5</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2022-10-14T02:29:00Z</dcterms:created>
  <dc:creator>朱秋爽</dc:creator>
  <cp:lastModifiedBy>Administrator</cp:lastModifiedBy>
  <cp:lastPrinted>2026-06-10T08:24:00Z</cp:lastPrinted>
  <dcterms:modified xsi:type="dcterms:W3CDTF">2026-06-26T01:32:50Z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DE54229C4E38479C889AB794E011BBE1</vt:lpwstr>
  </property>
</Properties>
</file>