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both"/>
        <w:rPr>
          <w:rFonts w:hint="eastAsia" w:ascii="仿宋_GB2312" w:hAnsi="仿宋_GB2312" w:eastAsia="仿宋_GB2312" w:cs="仿宋_GB2312"/>
          <w:b w:val="0"/>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lang w:val="en-US" w:eastAsia="zh-CN" w:bidi="ar"/>
        </w:rPr>
        <w:t>附件4.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both"/>
        <w:rPr>
          <w:rFonts w:hint="eastAsia" w:ascii="仿宋_GB2312" w:hAnsi="仿宋_GB2312" w:eastAsia="仿宋_GB2312" w:cs="仿宋_GB2312"/>
          <w:b w:val="0"/>
          <w:i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rPr>
          <w:rFonts w:hint="eastAsia" w:ascii="黑体" w:hAnsi="黑体" w:eastAsia="黑体" w:cs="黑体"/>
          <w:b w:val="0"/>
          <w:i w:val="0"/>
          <w:caps w:val="0"/>
          <w:color w:val="333333"/>
          <w:spacing w:val="0"/>
          <w:sz w:val="44"/>
          <w:szCs w:val="44"/>
        </w:rPr>
      </w:pPr>
      <w:r>
        <w:rPr>
          <w:rFonts w:hint="eastAsia" w:ascii="黑体" w:hAnsi="黑体" w:eastAsia="黑体" w:cs="黑体"/>
          <w:b w:val="0"/>
          <w:i w:val="0"/>
          <w:caps w:val="0"/>
          <w:color w:val="333333"/>
          <w:spacing w:val="0"/>
          <w:kern w:val="0"/>
          <w:sz w:val="44"/>
          <w:szCs w:val="44"/>
          <w:shd w:val="clear" w:fill="FFFFFF"/>
          <w:lang w:val="en-US" w:eastAsia="zh-CN" w:bidi="ar"/>
        </w:rPr>
        <w:t>《五桂山产业发展指导目录（2019年版）》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64"/>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6"/>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64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为引导社会投资方向，优化资源配置，加快转型升级，根据国家、省最新发布的产业政策，参照《中山市产业发展导向目录（2013年版）》，结合五桂山生态保护区的实际，编制形成《五桂山产业发展指导目录（2019年版）》（下称《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0"/>
        <w:jc w:val="both"/>
        <w:rPr>
          <w:rFonts w:hint="eastAsia" w:ascii="黑体" w:hAnsi="黑体" w:eastAsia="黑体" w:cs="黑体"/>
          <w:b w:val="0"/>
          <w:i w:val="0"/>
          <w:caps w:val="0"/>
          <w:color w:val="333333"/>
          <w:spacing w:val="0"/>
          <w:sz w:val="28"/>
          <w:szCs w:val="28"/>
        </w:rPr>
      </w:pPr>
      <w:r>
        <w:rPr>
          <w:rFonts w:hint="eastAsia" w:ascii="黑体" w:hAnsi="黑体" w:eastAsia="黑体" w:cs="黑体"/>
          <w:b w:val="0"/>
          <w:i w:val="0"/>
          <w:caps w:val="0"/>
          <w:color w:val="333333"/>
          <w:spacing w:val="0"/>
          <w:kern w:val="0"/>
          <w:sz w:val="28"/>
          <w:szCs w:val="28"/>
          <w:shd w:val="clear" w:fill="FFFFFF"/>
          <w:lang w:val="en-US" w:eastAsia="zh-CN" w:bidi="ar"/>
        </w:rPr>
        <w:t>　　一、《目录》修订意义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　　保持《目录》动态更新，明确产业发展方向，对推进我区产业结构调整，加快转型升级，培育优势产业链条和产业集群，构建区域竞争新优势，具有十分重要的意义。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　　（一）引导投资方向。在结构调整中加快转型升级是我区当前和今后一段时期的重要任务，《目录》坚持“分类指导、有扶有控”的调整原则，鼓励发展先进生产能力和新兴服务业态，禁止严重依赖大规模资源消耗的产业发展，禁止落后生产能力，防止盲目投资和产能过剩行业低水平重复建设，切实推进产业结构优化升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　　（二）集约利用资源。生态保护要求和资源要素的紧约束现状决定了五桂山只能走资源节约、环境友好的集约发展之路，以更少的资源消耗和更小的环境代价获取更高质量的发展。《目录》鼓励发展节能、降耗、减排、增效的战略性新兴产业和先进制造业，支持发展资源消耗少、环境影响小的现代服务业。同时遏制高能耗、高水耗、高污染、低效用地的项目上马，有效利用资源要素，实现经济发展、结构优化、效益提高、消耗降低、环境改善的发展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0"/>
        <w:jc w:val="both"/>
        <w:rPr>
          <w:rFonts w:hint="default" w:ascii="黑体" w:hAnsi="黑体" w:eastAsia="黑体" w:cs="黑体"/>
          <w:b w:val="0"/>
          <w:i w:val="0"/>
          <w:caps w:val="0"/>
          <w:color w:val="333333"/>
          <w:spacing w:val="0"/>
          <w:kern w:val="0"/>
          <w:sz w:val="28"/>
          <w:szCs w:val="28"/>
          <w:shd w:val="clear" w:fill="FFFFFF"/>
          <w:lang w:val="en-US" w:eastAsia="zh-CN" w:bidi="ar"/>
        </w:rPr>
      </w:pPr>
      <w:r>
        <w:rPr>
          <w:rFonts w:hint="default" w:ascii="黑体" w:hAnsi="黑体" w:eastAsia="黑体" w:cs="黑体"/>
          <w:b w:val="0"/>
          <w:i w:val="0"/>
          <w:caps w:val="0"/>
          <w:color w:val="333333"/>
          <w:spacing w:val="0"/>
          <w:kern w:val="0"/>
          <w:sz w:val="28"/>
          <w:szCs w:val="28"/>
          <w:shd w:val="clear" w:fill="FFFFFF"/>
          <w:lang w:val="en-US" w:eastAsia="zh-CN" w:bidi="ar"/>
        </w:rPr>
        <w:t>　　二、《目录》结构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　　《目录》由鼓励类和禁止类构成。不属于鼓励类和禁止类，且符合国家有关法律、法规和政策规定的，为允许类。允许类不列入《目录》。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64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一）鼓励类。鼓励类主要是对经济社会发展具有重要促进作用，符合我区产业发展定位，有利于节约资源、保护环境和自主创新，需要采取政策措施加以鼓励和支持的产业。对鼓励类产业实行优先发展、扶持发展的政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64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二）禁止类。禁止类主要是不符合有关法律法规规定，不符合我区生态保护区的定位，不利于资源节约和节能降耗，不利于环境保护和生态系统恢复，严重浪费资源，污染环境，不具备安全生产条件，危害人民群众身体健康和公共安全，产品质量低于国家规定或行业规定的最低标准等需要禁止、淘汰的落后工艺技术、装备和产品。属于禁止类的产业，禁止投资新建项目，现有生产能力在规定的期限内应当停产或关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64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《目录》自2019年7月25日起施行，有效期5年。由五桂山办事处负责解释。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64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kern w:val="0"/>
          <w:sz w:val="28"/>
          <w:szCs w:val="28"/>
          <w:shd w:val="clear" w:fill="FFFFFF"/>
          <w:lang w:val="en-US" w:eastAsia="zh-CN" w:bidi="ar"/>
        </w:rPr>
        <w:t> </w:t>
      </w:r>
    </w:p>
    <w:tbl>
      <w:tblPr>
        <w:tblStyle w:val="3"/>
        <w:tblW w:w="9105" w:type="dxa"/>
        <w:jc w:val="center"/>
        <w:shd w:val="clear" w:color="auto" w:fill="FFFFFF"/>
        <w:tblLayout w:type="autofit"/>
        <w:tblCellMar>
          <w:top w:w="0" w:type="dxa"/>
          <w:left w:w="0" w:type="dxa"/>
          <w:bottom w:w="0" w:type="dxa"/>
          <w:right w:w="0" w:type="dxa"/>
        </w:tblCellMar>
      </w:tblPr>
      <w:tblGrid>
        <w:gridCol w:w="930"/>
        <w:gridCol w:w="8175"/>
      </w:tblGrid>
      <w:tr>
        <w:tblPrEx>
          <w:tblCellMar>
            <w:top w:w="0" w:type="dxa"/>
            <w:left w:w="0" w:type="dxa"/>
            <w:bottom w:w="0" w:type="dxa"/>
            <w:right w:w="0" w:type="dxa"/>
          </w:tblCellMar>
        </w:tblPrEx>
        <w:trPr>
          <w:trHeight w:val="285" w:hRule="atLeast"/>
          <w:jc w:val="center"/>
        </w:trPr>
        <w:tc>
          <w:tcPr>
            <w:tcW w:w="9105" w:type="dxa"/>
            <w:gridSpan w:val="2"/>
            <w:tcBorders>
              <w:top w:val="nil"/>
              <w:left w:val="nil"/>
              <w:bottom w:val="nil"/>
              <w:right w:val="nil"/>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第一类  鼓励类</w:t>
            </w:r>
          </w:p>
        </w:tc>
      </w:tr>
      <w:tr>
        <w:tblPrEx>
          <w:tblCellMar>
            <w:top w:w="0" w:type="dxa"/>
            <w:left w:w="0" w:type="dxa"/>
            <w:bottom w:w="0" w:type="dxa"/>
            <w:right w:w="0" w:type="dxa"/>
          </w:tblCellMar>
        </w:tblPrEx>
        <w:trPr>
          <w:trHeight w:val="285" w:hRule="atLeast"/>
          <w:jc w:val="center"/>
        </w:trPr>
        <w:tc>
          <w:tcPr>
            <w:tcW w:w="9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序号</w:t>
            </w:r>
          </w:p>
        </w:tc>
        <w:tc>
          <w:tcPr>
            <w:tcW w:w="817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firstLine="3080" w:firstLineChars="1100"/>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产业名称</w:t>
            </w:r>
          </w:p>
        </w:tc>
      </w:tr>
      <w:tr>
        <w:tblPrEx>
          <w:shd w:val="clear" w:color="auto" w:fill="FFFFFF"/>
          <w:tblCellMar>
            <w:top w:w="0" w:type="dxa"/>
            <w:left w:w="0" w:type="dxa"/>
            <w:bottom w:w="0" w:type="dxa"/>
            <w:right w:w="0" w:type="dxa"/>
          </w:tblCellMar>
        </w:tblPrEx>
        <w:trPr>
          <w:trHeight w:val="285" w:hRule="atLeast"/>
          <w:jc w:val="center"/>
        </w:trPr>
        <w:tc>
          <w:tcPr>
            <w:tcW w:w="9105"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一、芳香产业</w:t>
            </w:r>
          </w:p>
        </w:tc>
      </w:tr>
      <w:tr>
        <w:tblPrEx>
          <w:shd w:val="clear" w:color="auto" w:fill="FFFFFF"/>
          <w:tblCellMar>
            <w:top w:w="0" w:type="dxa"/>
            <w:left w:w="0" w:type="dxa"/>
            <w:bottom w:w="0" w:type="dxa"/>
            <w:right w:w="0" w:type="dxa"/>
          </w:tblCellMar>
        </w:tblPrEx>
        <w:trPr>
          <w:trHeight w:val="56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w:t>
            </w:r>
          </w:p>
        </w:tc>
        <w:tc>
          <w:tcPr>
            <w:tcW w:w="817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芳香类树种优质、高产、高效示范基地种植</w:t>
            </w:r>
          </w:p>
        </w:tc>
      </w:tr>
      <w:tr>
        <w:tblPrEx>
          <w:tblCellMar>
            <w:top w:w="0" w:type="dxa"/>
            <w:left w:w="0" w:type="dxa"/>
            <w:bottom w:w="0" w:type="dxa"/>
            <w:right w:w="0" w:type="dxa"/>
          </w:tblCellMar>
        </w:tblPrEx>
        <w:trPr>
          <w:trHeight w:val="48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2</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芳香产品的加工、提取、提炼、检验、检测</w:t>
            </w:r>
          </w:p>
        </w:tc>
      </w:tr>
      <w:tr>
        <w:tblPrEx>
          <w:tblCellMar>
            <w:top w:w="0" w:type="dxa"/>
            <w:left w:w="0" w:type="dxa"/>
            <w:bottom w:w="0" w:type="dxa"/>
            <w:right w:w="0" w:type="dxa"/>
          </w:tblCellMar>
        </w:tblPrEx>
        <w:trPr>
          <w:trHeight w:val="28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3</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芳香相关文化产业，包括品香馆、收藏馆、展览馆、芳香文化交流中心、芳香特色主题酒店等</w:t>
            </w:r>
          </w:p>
        </w:tc>
      </w:tr>
      <w:tr>
        <w:tblPrEx>
          <w:tblCellMar>
            <w:top w:w="0" w:type="dxa"/>
            <w:left w:w="0" w:type="dxa"/>
            <w:bottom w:w="0" w:type="dxa"/>
            <w:right w:w="0" w:type="dxa"/>
          </w:tblCellMar>
        </w:tblPrEx>
        <w:trPr>
          <w:trHeight w:val="28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4</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芳香相关技术科研投入，包括种植、培育、结香、提取的新方法、研制芳香精油提炼设备、芳香花、果、叶等新副产品的研发</w:t>
            </w:r>
          </w:p>
        </w:tc>
      </w:tr>
      <w:tr>
        <w:tblPrEx>
          <w:tblCellMar>
            <w:top w:w="0" w:type="dxa"/>
            <w:left w:w="0" w:type="dxa"/>
            <w:bottom w:w="0" w:type="dxa"/>
            <w:right w:w="0" w:type="dxa"/>
          </w:tblCellMar>
        </w:tblPrEx>
        <w:trPr>
          <w:trHeight w:val="285" w:hRule="atLeast"/>
          <w:jc w:val="center"/>
        </w:trPr>
        <w:tc>
          <w:tcPr>
            <w:tcW w:w="9105"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二、健康医药产业</w:t>
            </w:r>
          </w:p>
        </w:tc>
      </w:tr>
      <w:tr>
        <w:tblPrEx>
          <w:shd w:val="clear" w:color="auto" w:fill="FFFFFF"/>
          <w:tblCellMar>
            <w:top w:w="0" w:type="dxa"/>
            <w:left w:w="0" w:type="dxa"/>
            <w:bottom w:w="0" w:type="dxa"/>
            <w:right w:w="0" w:type="dxa"/>
          </w:tblCellMar>
        </w:tblPrEx>
        <w:trPr>
          <w:trHeight w:val="28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w:t>
            </w:r>
          </w:p>
        </w:tc>
        <w:tc>
          <w:tcPr>
            <w:tcW w:w="817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现代中药，包括名优中成药二次开发、中药新型饮片、中药配方颗粒、儿童中药以及疗效明显的中药复方制剂、中药活性成分、有效部位新药</w:t>
            </w:r>
          </w:p>
        </w:tc>
      </w:tr>
      <w:tr>
        <w:tblPrEx>
          <w:tblCellMar>
            <w:top w:w="0" w:type="dxa"/>
            <w:left w:w="0" w:type="dxa"/>
            <w:bottom w:w="0" w:type="dxa"/>
            <w:right w:w="0" w:type="dxa"/>
          </w:tblCellMar>
        </w:tblPrEx>
        <w:trPr>
          <w:trHeight w:val="555" w:hRule="atLeast"/>
          <w:jc w:val="center"/>
        </w:trPr>
        <w:tc>
          <w:tcPr>
            <w:tcW w:w="930" w:type="dxa"/>
            <w:tcBorders>
              <w:top w:val="nil"/>
              <w:left w:val="single" w:color="000000" w:sz="8" w:space="0"/>
              <w:bottom w:val="single" w:color="auto" w:sz="4"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2</w:t>
            </w:r>
          </w:p>
        </w:tc>
        <w:tc>
          <w:tcPr>
            <w:tcW w:w="8175" w:type="dxa"/>
            <w:tcBorders>
              <w:top w:val="nil"/>
              <w:left w:val="nil"/>
              <w:bottom w:val="single" w:color="auto" w:sz="4"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仿制药，包括仿制药一致性评价、首仿和抢仿药的研发和产业化</w:t>
            </w:r>
          </w:p>
        </w:tc>
      </w:tr>
      <w:tr>
        <w:tblPrEx>
          <w:shd w:val="clear" w:color="auto" w:fill="FFFFFF"/>
          <w:tblCellMar>
            <w:top w:w="0" w:type="dxa"/>
            <w:left w:w="0" w:type="dxa"/>
            <w:bottom w:w="0" w:type="dxa"/>
            <w:right w:w="0" w:type="dxa"/>
          </w:tblCellMar>
        </w:tblPrEx>
        <w:trPr>
          <w:trHeight w:val="780" w:hRule="atLeast"/>
          <w:jc w:val="center"/>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3</w:t>
            </w:r>
          </w:p>
        </w:tc>
        <w:tc>
          <w:tcPr>
            <w:tcW w:w="8175" w:type="dxa"/>
            <w:tcBorders>
              <w:top w:val="single" w:color="auto" w:sz="4" w:space="0"/>
              <w:left w:val="nil"/>
              <w:bottom w:val="single" w:color="auto" w:sz="4" w:space="0"/>
              <w:right w:val="single" w:color="auto" w:sz="4"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化学药，包括心脑血管疾病、肿瘤、自身免疫疾病、代谢疾病、抗感染药物、儿童用药等领域的创新药物研发与产业化</w:t>
            </w:r>
          </w:p>
        </w:tc>
      </w:tr>
      <w:tr>
        <w:tblPrEx>
          <w:tblCellMar>
            <w:top w:w="0" w:type="dxa"/>
            <w:left w:w="0" w:type="dxa"/>
            <w:bottom w:w="0" w:type="dxa"/>
            <w:right w:w="0" w:type="dxa"/>
          </w:tblCellMar>
        </w:tblPrEx>
        <w:trPr>
          <w:trHeight w:val="810" w:hRule="atLeast"/>
          <w:jc w:val="center"/>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4</w:t>
            </w:r>
          </w:p>
        </w:tc>
        <w:tc>
          <w:tcPr>
            <w:tcW w:w="8175" w:type="dxa"/>
            <w:tcBorders>
              <w:top w:val="single" w:color="auto" w:sz="4"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生物制药，包括蛋白、多肽、核酸、单克隆抗体药物、疫苗、细胞干细胞免疫治疗技术和产品、生物类似药等的研发和产业化</w:t>
            </w:r>
          </w:p>
        </w:tc>
      </w:tr>
      <w:tr>
        <w:tblPrEx>
          <w:tblCellMar>
            <w:top w:w="0" w:type="dxa"/>
            <w:left w:w="0" w:type="dxa"/>
            <w:bottom w:w="0" w:type="dxa"/>
            <w:right w:w="0" w:type="dxa"/>
          </w:tblCellMar>
        </w:tblPrEx>
        <w:trPr>
          <w:trHeight w:val="108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5</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医疗器械，包括医学影像设备、先进诊疗设备、儿童医疗器械、康复及物理治疗设备，以及医用机器人、康复机器人、移动医疗产品、智能医疗器械产品</w:t>
            </w:r>
          </w:p>
        </w:tc>
      </w:tr>
      <w:tr>
        <w:tblPrEx>
          <w:tblCellMar>
            <w:top w:w="0" w:type="dxa"/>
            <w:left w:w="0" w:type="dxa"/>
            <w:bottom w:w="0" w:type="dxa"/>
            <w:right w:w="0" w:type="dxa"/>
          </w:tblCellMar>
        </w:tblPrEx>
        <w:trPr>
          <w:trHeight w:val="28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6</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诊断试剂，包括生化诊断、免疫诊断、分子诊断、床旁诊断、基因检测试剂</w:t>
            </w:r>
          </w:p>
        </w:tc>
      </w:tr>
      <w:tr>
        <w:tblPrEx>
          <w:tblCellMar>
            <w:top w:w="0" w:type="dxa"/>
            <w:left w:w="0" w:type="dxa"/>
            <w:bottom w:w="0" w:type="dxa"/>
            <w:right w:w="0" w:type="dxa"/>
          </w:tblCellMar>
        </w:tblPrEx>
        <w:trPr>
          <w:trHeight w:val="28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7</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数字医疗，包括利用互联网、物联网、云计算、区块链、人工智能等新一代信息技术与健康产业深度融合和集成创新项目</w:t>
            </w:r>
          </w:p>
        </w:tc>
      </w:tr>
      <w:tr>
        <w:tblPrEx>
          <w:shd w:val="clear" w:color="auto" w:fill="FFFFFF"/>
          <w:tblCellMar>
            <w:top w:w="0" w:type="dxa"/>
            <w:left w:w="0" w:type="dxa"/>
            <w:bottom w:w="0" w:type="dxa"/>
            <w:right w:w="0" w:type="dxa"/>
          </w:tblCellMar>
        </w:tblPrEx>
        <w:trPr>
          <w:trHeight w:val="73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8</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医疗服务体系，包括健康管理服务、药物与医疗器械的质量控制及检测体系以及药品安全性评价、临床研究、中试研究的公共服务项目</w:t>
            </w:r>
          </w:p>
        </w:tc>
      </w:tr>
      <w:tr>
        <w:tblPrEx>
          <w:tblCellMar>
            <w:top w:w="0" w:type="dxa"/>
            <w:left w:w="0" w:type="dxa"/>
            <w:bottom w:w="0" w:type="dxa"/>
            <w:right w:w="0" w:type="dxa"/>
          </w:tblCellMar>
        </w:tblPrEx>
        <w:trPr>
          <w:trHeight w:val="60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9</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保健品，包括高质量和品牌生物健康食品、保健品的集约化、规模化生产</w:t>
            </w:r>
          </w:p>
        </w:tc>
      </w:tr>
      <w:tr>
        <w:tblPrEx>
          <w:tblCellMar>
            <w:top w:w="0" w:type="dxa"/>
            <w:left w:w="0" w:type="dxa"/>
            <w:bottom w:w="0" w:type="dxa"/>
            <w:right w:w="0" w:type="dxa"/>
          </w:tblCellMar>
        </w:tblPrEx>
        <w:trPr>
          <w:trHeight w:val="285" w:hRule="atLeast"/>
          <w:jc w:val="center"/>
        </w:trPr>
        <w:tc>
          <w:tcPr>
            <w:tcW w:w="9105"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三、特色旅游产业</w:t>
            </w:r>
          </w:p>
        </w:tc>
      </w:tr>
      <w:tr>
        <w:tblPrEx>
          <w:shd w:val="clear" w:color="auto" w:fill="FFFFFF"/>
          <w:tblCellMar>
            <w:top w:w="0" w:type="dxa"/>
            <w:left w:w="0" w:type="dxa"/>
            <w:bottom w:w="0" w:type="dxa"/>
            <w:right w:w="0" w:type="dxa"/>
          </w:tblCellMar>
        </w:tblPrEx>
        <w:trPr>
          <w:trHeight w:val="494"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w:t>
            </w:r>
          </w:p>
        </w:tc>
        <w:tc>
          <w:tcPr>
            <w:tcW w:w="817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红色革命遗址、名胜古迹等历史建筑遗存的活化利用</w:t>
            </w:r>
          </w:p>
        </w:tc>
      </w:tr>
      <w:tr>
        <w:tblPrEx>
          <w:shd w:val="clear" w:color="auto" w:fill="FFFFFF"/>
          <w:tblCellMar>
            <w:top w:w="0" w:type="dxa"/>
            <w:left w:w="0" w:type="dxa"/>
            <w:bottom w:w="0" w:type="dxa"/>
            <w:right w:w="0" w:type="dxa"/>
          </w:tblCellMar>
        </w:tblPrEx>
        <w:trPr>
          <w:trHeight w:val="65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2</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工业旅游、生态旅游、游学旅游、森林旅游、田园综合体等综合旅游资源开发</w:t>
            </w:r>
          </w:p>
        </w:tc>
      </w:tr>
      <w:tr>
        <w:tblPrEx>
          <w:tblCellMar>
            <w:top w:w="0" w:type="dxa"/>
            <w:left w:w="0" w:type="dxa"/>
            <w:bottom w:w="0" w:type="dxa"/>
            <w:right w:w="0" w:type="dxa"/>
          </w:tblCellMar>
        </w:tblPrEx>
        <w:trPr>
          <w:trHeight w:val="53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3</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特色突出、参与性强的科技、休闲等特色旅游项目，包括旅游演艺产业开发</w:t>
            </w:r>
          </w:p>
        </w:tc>
      </w:tr>
      <w:tr>
        <w:tblPrEx>
          <w:tblCellMar>
            <w:top w:w="0" w:type="dxa"/>
            <w:left w:w="0" w:type="dxa"/>
            <w:bottom w:w="0" w:type="dxa"/>
            <w:right w:w="0" w:type="dxa"/>
          </w:tblCellMar>
        </w:tblPrEx>
        <w:trPr>
          <w:trHeight w:val="47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4</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精品旅游线路开发</w:t>
            </w:r>
          </w:p>
        </w:tc>
      </w:tr>
      <w:tr>
        <w:tblPrEx>
          <w:tblCellMar>
            <w:top w:w="0" w:type="dxa"/>
            <w:left w:w="0" w:type="dxa"/>
            <w:bottom w:w="0" w:type="dxa"/>
            <w:right w:w="0" w:type="dxa"/>
          </w:tblCellMar>
        </w:tblPrEx>
        <w:trPr>
          <w:trHeight w:val="44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5</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高端康养度假酒店、特色精品民宿</w:t>
            </w:r>
          </w:p>
        </w:tc>
      </w:tr>
      <w:tr>
        <w:tblPrEx>
          <w:shd w:val="clear" w:color="auto" w:fill="FFFFFF"/>
          <w:tblCellMar>
            <w:top w:w="0" w:type="dxa"/>
            <w:left w:w="0" w:type="dxa"/>
            <w:bottom w:w="0" w:type="dxa"/>
            <w:right w:w="0" w:type="dxa"/>
          </w:tblCellMar>
        </w:tblPrEx>
        <w:trPr>
          <w:trHeight w:val="53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6</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体现世界多元文化融合、凸显本土文化的综合旅游项目</w:t>
            </w:r>
          </w:p>
        </w:tc>
      </w:tr>
      <w:tr>
        <w:tblPrEx>
          <w:shd w:val="clear" w:color="auto" w:fill="FFFFFF"/>
          <w:tblCellMar>
            <w:top w:w="0" w:type="dxa"/>
            <w:left w:w="0" w:type="dxa"/>
            <w:bottom w:w="0" w:type="dxa"/>
            <w:right w:w="0" w:type="dxa"/>
          </w:tblCellMar>
        </w:tblPrEx>
        <w:trPr>
          <w:trHeight w:val="51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7</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特色商业街区开发</w:t>
            </w:r>
          </w:p>
        </w:tc>
      </w:tr>
      <w:tr>
        <w:tblPrEx>
          <w:tblCellMar>
            <w:top w:w="0" w:type="dxa"/>
            <w:left w:w="0" w:type="dxa"/>
            <w:bottom w:w="0" w:type="dxa"/>
            <w:right w:w="0" w:type="dxa"/>
          </w:tblCellMar>
        </w:tblPrEx>
        <w:trPr>
          <w:trHeight w:val="285" w:hRule="atLeast"/>
          <w:jc w:val="center"/>
        </w:trPr>
        <w:tc>
          <w:tcPr>
            <w:tcW w:w="9105"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四、高端电子信息产业</w:t>
            </w:r>
          </w:p>
        </w:tc>
      </w:tr>
      <w:tr>
        <w:tblPrEx>
          <w:shd w:val="clear" w:color="auto" w:fill="FFFFFF"/>
          <w:tblCellMar>
            <w:top w:w="0" w:type="dxa"/>
            <w:left w:w="0" w:type="dxa"/>
            <w:bottom w:w="0" w:type="dxa"/>
            <w:right w:w="0" w:type="dxa"/>
          </w:tblCellMar>
        </w:tblPrEx>
        <w:trPr>
          <w:trHeight w:val="437" w:hRule="atLeast"/>
          <w:jc w:val="center"/>
        </w:trPr>
        <w:tc>
          <w:tcPr>
            <w:tcW w:w="930" w:type="dxa"/>
            <w:tcBorders>
              <w:top w:val="nil"/>
              <w:left w:val="single" w:color="000000" w:sz="8" w:space="0"/>
              <w:bottom w:val="single" w:color="auto" w:sz="4"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w:t>
            </w:r>
          </w:p>
        </w:tc>
        <w:tc>
          <w:tcPr>
            <w:tcW w:w="8175" w:type="dxa"/>
            <w:tcBorders>
              <w:top w:val="single" w:color="000000" w:sz="8" w:space="0"/>
              <w:left w:val="nil"/>
              <w:bottom w:val="single" w:color="auto" w:sz="4"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5G天线、基站、终端的研发及产业化</w:t>
            </w:r>
          </w:p>
        </w:tc>
      </w:tr>
      <w:tr>
        <w:tblPrEx>
          <w:tblCellMar>
            <w:top w:w="0" w:type="dxa"/>
            <w:left w:w="0" w:type="dxa"/>
            <w:bottom w:w="0" w:type="dxa"/>
            <w:right w:w="0" w:type="dxa"/>
          </w:tblCellMar>
        </w:tblPrEx>
        <w:trPr>
          <w:trHeight w:val="497" w:hRule="atLeast"/>
          <w:jc w:val="center"/>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2</w:t>
            </w:r>
          </w:p>
        </w:tc>
        <w:tc>
          <w:tcPr>
            <w:tcW w:w="8175" w:type="dxa"/>
            <w:tcBorders>
              <w:top w:val="single" w:color="auto" w:sz="4" w:space="0"/>
              <w:left w:val="nil"/>
              <w:bottom w:val="single" w:color="auto" w:sz="4" w:space="0"/>
              <w:right w:val="single" w:color="auto" w:sz="4"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新一代通信网络、集成电路的核心芯片</w:t>
            </w:r>
          </w:p>
        </w:tc>
      </w:tr>
      <w:tr>
        <w:tblPrEx>
          <w:tblCellMar>
            <w:top w:w="0" w:type="dxa"/>
            <w:left w:w="0" w:type="dxa"/>
            <w:bottom w:w="0" w:type="dxa"/>
            <w:right w:w="0" w:type="dxa"/>
          </w:tblCellMar>
        </w:tblPrEx>
        <w:trPr>
          <w:trHeight w:val="285" w:hRule="atLeast"/>
          <w:jc w:val="center"/>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3</w:t>
            </w:r>
          </w:p>
        </w:tc>
        <w:tc>
          <w:tcPr>
            <w:tcW w:w="8175" w:type="dxa"/>
            <w:tcBorders>
              <w:top w:val="single" w:color="auto" w:sz="4"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卫星通信传输设备、地面接收机、地面站终端机、用户终端；北斗全球定位系统终端与设备</w:t>
            </w:r>
          </w:p>
        </w:tc>
      </w:tr>
      <w:tr>
        <w:tblPrEx>
          <w:tblCellMar>
            <w:top w:w="0" w:type="dxa"/>
            <w:left w:w="0" w:type="dxa"/>
            <w:bottom w:w="0" w:type="dxa"/>
            <w:right w:w="0" w:type="dxa"/>
          </w:tblCellMar>
        </w:tblPrEx>
        <w:trPr>
          <w:trHeight w:val="99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4</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新一代移动终端及外围设备（触摸屏、手持平板电脑、智能手机、车载、舰载、机载终端和手持机智能终端；语音输出设备、图形图像输出设备等）的研发与产业化</w:t>
            </w:r>
          </w:p>
        </w:tc>
      </w:tr>
      <w:tr>
        <w:tblPrEx>
          <w:tblCellMar>
            <w:top w:w="0" w:type="dxa"/>
            <w:left w:w="0" w:type="dxa"/>
            <w:bottom w:w="0" w:type="dxa"/>
            <w:right w:w="0" w:type="dxa"/>
          </w:tblCellMar>
        </w:tblPrEx>
        <w:trPr>
          <w:trHeight w:val="57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5</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拥有自主知识产权的集成电路的设计、生产、封装、测试项目</w:t>
            </w:r>
          </w:p>
        </w:tc>
      </w:tr>
      <w:tr>
        <w:tblPrEx>
          <w:shd w:val="clear" w:color="auto" w:fill="FFFFFF"/>
          <w:tblCellMar>
            <w:top w:w="0" w:type="dxa"/>
            <w:left w:w="0" w:type="dxa"/>
            <w:bottom w:w="0" w:type="dxa"/>
            <w:right w:w="0" w:type="dxa"/>
          </w:tblCellMar>
        </w:tblPrEx>
        <w:trPr>
          <w:trHeight w:val="452"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6</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以激光技术为核心的照明、显示、测量仪器、3D打印项目</w:t>
            </w:r>
          </w:p>
        </w:tc>
      </w:tr>
      <w:tr>
        <w:tblPrEx>
          <w:tblCellMar>
            <w:top w:w="0" w:type="dxa"/>
            <w:left w:w="0" w:type="dxa"/>
            <w:bottom w:w="0" w:type="dxa"/>
            <w:right w:w="0" w:type="dxa"/>
          </w:tblCellMar>
        </w:tblPrEx>
        <w:trPr>
          <w:trHeight w:val="512"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7</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高端电子元件、镜头组件、精密仪器的研发与产业化</w:t>
            </w:r>
          </w:p>
        </w:tc>
      </w:tr>
      <w:tr>
        <w:tblPrEx>
          <w:tblCellMar>
            <w:top w:w="0" w:type="dxa"/>
            <w:left w:w="0" w:type="dxa"/>
            <w:bottom w:w="0" w:type="dxa"/>
            <w:right w:w="0" w:type="dxa"/>
          </w:tblCellMar>
        </w:tblPrEx>
        <w:trPr>
          <w:trHeight w:val="72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8</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工业互联网平台、高端数控系统、嵌入式系统、现场总线控制系统等软件的研发与产业化</w:t>
            </w:r>
          </w:p>
        </w:tc>
      </w:tr>
      <w:tr>
        <w:tblPrEx>
          <w:tblCellMar>
            <w:top w:w="0" w:type="dxa"/>
            <w:left w:w="0" w:type="dxa"/>
            <w:bottom w:w="0" w:type="dxa"/>
            <w:right w:w="0" w:type="dxa"/>
          </w:tblCellMar>
        </w:tblPrEx>
        <w:trPr>
          <w:trHeight w:val="78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9</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云计算存储设备、终端设备、云应用开发支撑平台、物联网网关、无线射频（RFID）的研发与产业化</w:t>
            </w:r>
          </w:p>
        </w:tc>
      </w:tr>
      <w:tr>
        <w:tblPrEx>
          <w:tblCellMar>
            <w:top w:w="0" w:type="dxa"/>
            <w:left w:w="0" w:type="dxa"/>
            <w:bottom w:w="0" w:type="dxa"/>
            <w:right w:w="0" w:type="dxa"/>
          </w:tblCellMar>
        </w:tblPrEx>
        <w:trPr>
          <w:trHeight w:val="485"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10</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工业机器人、服务机器人、特种机器人、手术机器人、护理机器人</w:t>
            </w:r>
          </w:p>
        </w:tc>
      </w:tr>
      <w:tr>
        <w:tblPrEx>
          <w:shd w:val="clear" w:color="auto" w:fill="FFFFFF"/>
          <w:tblCellMar>
            <w:top w:w="0" w:type="dxa"/>
            <w:left w:w="0" w:type="dxa"/>
            <w:bottom w:w="0" w:type="dxa"/>
            <w:right w:w="0" w:type="dxa"/>
          </w:tblCellMar>
        </w:tblPrEx>
        <w:trPr>
          <w:trHeight w:val="285" w:hRule="atLeast"/>
          <w:jc w:val="center"/>
        </w:trPr>
        <w:tc>
          <w:tcPr>
            <w:tcW w:w="9105"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五、新材料产业</w:t>
            </w:r>
          </w:p>
        </w:tc>
      </w:tr>
      <w:tr>
        <w:tblPrEx>
          <w:tblCellMar>
            <w:top w:w="0" w:type="dxa"/>
            <w:left w:w="0" w:type="dxa"/>
            <w:bottom w:w="0" w:type="dxa"/>
            <w:right w:w="0" w:type="dxa"/>
          </w:tblCellMar>
        </w:tblPrEx>
        <w:trPr>
          <w:trHeight w:val="452"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w:t>
            </w:r>
          </w:p>
        </w:tc>
        <w:tc>
          <w:tcPr>
            <w:tcW w:w="817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天然酯绝缘油研发与产业化</w:t>
            </w:r>
          </w:p>
        </w:tc>
      </w:tr>
      <w:tr>
        <w:tblPrEx>
          <w:tblCellMar>
            <w:top w:w="0" w:type="dxa"/>
            <w:left w:w="0" w:type="dxa"/>
            <w:bottom w:w="0" w:type="dxa"/>
            <w:right w:w="0" w:type="dxa"/>
          </w:tblCellMar>
        </w:tblPrEx>
        <w:trPr>
          <w:trHeight w:val="43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2</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高品质人工晶体</w:t>
            </w:r>
          </w:p>
        </w:tc>
      </w:tr>
      <w:tr>
        <w:tblPrEx>
          <w:tblCellMar>
            <w:top w:w="0" w:type="dxa"/>
            <w:left w:w="0" w:type="dxa"/>
            <w:bottom w:w="0" w:type="dxa"/>
            <w:right w:w="0" w:type="dxa"/>
          </w:tblCellMar>
        </w:tblPrEx>
        <w:trPr>
          <w:trHeight w:val="40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3</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大气、水、土壤、固体废弃物等污染防治设备</w:t>
            </w:r>
          </w:p>
        </w:tc>
      </w:tr>
      <w:tr>
        <w:tblPrEx>
          <w:tblCellMar>
            <w:top w:w="0" w:type="dxa"/>
            <w:left w:w="0" w:type="dxa"/>
            <w:bottom w:w="0" w:type="dxa"/>
            <w:right w:w="0" w:type="dxa"/>
          </w:tblCellMar>
        </w:tblPrEx>
        <w:trPr>
          <w:trHeight w:val="46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4</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聚合物光电子功能材料</w:t>
            </w:r>
          </w:p>
        </w:tc>
      </w:tr>
      <w:tr>
        <w:tblPrEx>
          <w:tblCellMar>
            <w:top w:w="0" w:type="dxa"/>
            <w:left w:w="0" w:type="dxa"/>
            <w:bottom w:w="0" w:type="dxa"/>
            <w:right w:w="0" w:type="dxa"/>
          </w:tblCellMar>
        </w:tblPrEx>
        <w:trPr>
          <w:trHeight w:val="46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5</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纳米、生物、智能、超导材料研发与产业化</w:t>
            </w:r>
          </w:p>
        </w:tc>
      </w:tr>
      <w:tr>
        <w:tblPrEx>
          <w:shd w:val="clear" w:color="auto" w:fill="FFFFFF"/>
          <w:tblCellMar>
            <w:top w:w="0" w:type="dxa"/>
            <w:left w:w="0" w:type="dxa"/>
            <w:bottom w:w="0" w:type="dxa"/>
            <w:right w:w="0" w:type="dxa"/>
          </w:tblCellMar>
        </w:tblPrEx>
        <w:trPr>
          <w:trHeight w:val="285" w:hRule="atLeast"/>
          <w:jc w:val="center"/>
        </w:trPr>
        <w:tc>
          <w:tcPr>
            <w:tcW w:w="9105"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六、生产性服务业</w:t>
            </w:r>
          </w:p>
        </w:tc>
      </w:tr>
      <w:tr>
        <w:tblPrEx>
          <w:tblCellMar>
            <w:top w:w="0" w:type="dxa"/>
            <w:left w:w="0" w:type="dxa"/>
            <w:bottom w:w="0" w:type="dxa"/>
            <w:right w:w="0" w:type="dxa"/>
          </w:tblCellMar>
        </w:tblPrEx>
        <w:trPr>
          <w:trHeight w:val="46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w:t>
            </w:r>
          </w:p>
        </w:tc>
        <w:tc>
          <w:tcPr>
            <w:tcW w:w="817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智能制造、工业设计、工业互联网服务</w:t>
            </w:r>
          </w:p>
        </w:tc>
      </w:tr>
      <w:tr>
        <w:tblPrEx>
          <w:shd w:val="clear" w:color="auto" w:fill="FFFFFF"/>
          <w:tblCellMar>
            <w:top w:w="0" w:type="dxa"/>
            <w:left w:w="0" w:type="dxa"/>
            <w:bottom w:w="0" w:type="dxa"/>
            <w:right w:w="0" w:type="dxa"/>
          </w:tblCellMar>
        </w:tblPrEx>
        <w:trPr>
          <w:trHeight w:val="452"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2</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云计算、大数据服务</w:t>
            </w:r>
          </w:p>
        </w:tc>
      </w:tr>
      <w:tr>
        <w:tblPrEx>
          <w:tblCellMar>
            <w:top w:w="0" w:type="dxa"/>
            <w:left w:w="0" w:type="dxa"/>
            <w:bottom w:w="0" w:type="dxa"/>
            <w:right w:w="0" w:type="dxa"/>
          </w:tblCellMar>
        </w:tblPrEx>
        <w:trPr>
          <w:trHeight w:val="43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3</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电子商务平台</w:t>
            </w:r>
          </w:p>
        </w:tc>
      </w:tr>
      <w:tr>
        <w:tblPrEx>
          <w:tblCellMar>
            <w:top w:w="0" w:type="dxa"/>
            <w:left w:w="0" w:type="dxa"/>
            <w:bottom w:w="0" w:type="dxa"/>
            <w:right w:w="0" w:type="dxa"/>
          </w:tblCellMar>
        </w:tblPrEx>
        <w:trPr>
          <w:trHeight w:val="43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4</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商品质量认证和质量检验检测服务</w:t>
            </w:r>
          </w:p>
        </w:tc>
      </w:tr>
      <w:tr>
        <w:tblPrEx>
          <w:shd w:val="clear" w:color="auto" w:fill="FFFFFF"/>
          <w:tblCellMar>
            <w:top w:w="0" w:type="dxa"/>
            <w:left w:w="0" w:type="dxa"/>
            <w:bottom w:w="0" w:type="dxa"/>
            <w:right w:w="0" w:type="dxa"/>
          </w:tblCellMar>
        </w:tblPrEx>
        <w:trPr>
          <w:trHeight w:val="43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5</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高级人才引进和人类智力开发、引进</w:t>
            </w:r>
          </w:p>
        </w:tc>
      </w:tr>
      <w:tr>
        <w:tblPrEx>
          <w:tblCellMar>
            <w:top w:w="0" w:type="dxa"/>
            <w:left w:w="0" w:type="dxa"/>
            <w:bottom w:w="0" w:type="dxa"/>
            <w:right w:w="0" w:type="dxa"/>
          </w:tblCellMar>
        </w:tblPrEx>
        <w:trPr>
          <w:trHeight w:val="482" w:hRule="atLeast"/>
          <w:jc w:val="center"/>
        </w:trPr>
        <w:tc>
          <w:tcPr>
            <w:tcW w:w="930" w:type="dxa"/>
            <w:tcBorders>
              <w:top w:val="nil"/>
              <w:left w:val="single" w:color="000000" w:sz="8" w:space="0"/>
              <w:bottom w:val="single" w:color="auto" w:sz="4"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6</w:t>
            </w:r>
          </w:p>
        </w:tc>
        <w:tc>
          <w:tcPr>
            <w:tcW w:w="8175" w:type="dxa"/>
            <w:tcBorders>
              <w:top w:val="nil"/>
              <w:left w:val="nil"/>
              <w:bottom w:val="single" w:color="auto" w:sz="4"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高新技术创业、科技成果转化、科技孵化体系建设</w:t>
            </w:r>
          </w:p>
        </w:tc>
      </w:tr>
      <w:tr>
        <w:tblPrEx>
          <w:tblCellMar>
            <w:top w:w="0" w:type="dxa"/>
            <w:left w:w="0" w:type="dxa"/>
            <w:bottom w:w="0" w:type="dxa"/>
            <w:right w:w="0" w:type="dxa"/>
          </w:tblCellMar>
        </w:tblPrEx>
        <w:trPr>
          <w:trHeight w:val="285" w:hRule="atLeast"/>
          <w:jc w:val="center"/>
        </w:trPr>
        <w:tc>
          <w:tcPr>
            <w:tcW w:w="910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七、文化创意产业</w:t>
            </w:r>
          </w:p>
        </w:tc>
      </w:tr>
      <w:tr>
        <w:tblPrEx>
          <w:tblCellMar>
            <w:top w:w="0" w:type="dxa"/>
            <w:left w:w="0" w:type="dxa"/>
            <w:bottom w:w="0" w:type="dxa"/>
            <w:right w:w="0" w:type="dxa"/>
          </w:tblCellMar>
        </w:tblPrEx>
        <w:trPr>
          <w:trHeight w:val="482" w:hRule="atLeast"/>
          <w:jc w:val="center"/>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w:t>
            </w:r>
          </w:p>
        </w:tc>
        <w:tc>
          <w:tcPr>
            <w:tcW w:w="8175" w:type="dxa"/>
            <w:tcBorders>
              <w:top w:val="single" w:color="auto" w:sz="4"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艺术品、工艺美</w:t>
            </w:r>
            <w:bookmarkStart w:id="0" w:name="_GoBack"/>
            <w:bookmarkEnd w:id="0"/>
            <w:r>
              <w:rPr>
                <w:rFonts w:hint="default" w:ascii="Times New Roman" w:hAnsi="Times New Roman" w:eastAsia="仿宋_GB2312" w:cs="Times New Roman"/>
                <w:b w:val="0"/>
                <w:i w:val="0"/>
                <w:caps w:val="0"/>
                <w:color w:val="333333"/>
                <w:spacing w:val="0"/>
                <w:kern w:val="0"/>
                <w:sz w:val="28"/>
                <w:szCs w:val="28"/>
                <w:lang w:val="en-US" w:eastAsia="zh-CN" w:bidi="ar"/>
              </w:rPr>
              <w:t>术品和民间工艺品设计、制造</w:t>
            </w:r>
          </w:p>
        </w:tc>
      </w:tr>
      <w:tr>
        <w:tblPrEx>
          <w:tblCellMar>
            <w:top w:w="0" w:type="dxa"/>
            <w:left w:w="0" w:type="dxa"/>
            <w:bottom w:w="0" w:type="dxa"/>
            <w:right w:w="0" w:type="dxa"/>
          </w:tblCellMar>
        </w:tblPrEx>
        <w:trPr>
          <w:trHeight w:val="46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2</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特色博物馆、行业博物馆建设，各类艺术馆和文物保护</w:t>
            </w:r>
          </w:p>
        </w:tc>
      </w:tr>
      <w:tr>
        <w:tblPrEx>
          <w:shd w:val="clear" w:color="auto" w:fill="FFFFFF"/>
          <w:tblCellMar>
            <w:top w:w="0" w:type="dxa"/>
            <w:left w:w="0" w:type="dxa"/>
            <w:bottom w:w="0" w:type="dxa"/>
            <w:right w:w="0" w:type="dxa"/>
          </w:tblCellMar>
        </w:tblPrEx>
        <w:trPr>
          <w:trHeight w:val="452"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3</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古旧、仿古工艺品、美术品生产、收藏与经营</w:t>
            </w:r>
          </w:p>
        </w:tc>
      </w:tr>
      <w:tr>
        <w:tblPrEx>
          <w:tblCellMar>
            <w:top w:w="0" w:type="dxa"/>
            <w:left w:w="0" w:type="dxa"/>
            <w:bottom w:w="0" w:type="dxa"/>
            <w:right w:w="0" w:type="dxa"/>
          </w:tblCellMar>
        </w:tblPrEx>
        <w:trPr>
          <w:trHeight w:val="40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4</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文化艺术经济、代理、评估、推介、咨询业务</w:t>
            </w:r>
          </w:p>
        </w:tc>
      </w:tr>
      <w:tr>
        <w:tblPrEx>
          <w:shd w:val="clear" w:color="auto" w:fill="FFFFFF"/>
          <w:tblCellMar>
            <w:top w:w="0" w:type="dxa"/>
            <w:left w:w="0" w:type="dxa"/>
            <w:bottom w:w="0" w:type="dxa"/>
            <w:right w:w="0" w:type="dxa"/>
          </w:tblCellMar>
        </w:tblPrEx>
        <w:trPr>
          <w:trHeight w:val="467"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5</w:t>
            </w:r>
          </w:p>
        </w:tc>
        <w:tc>
          <w:tcPr>
            <w:tcW w:w="81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录音、摄影、摄像等音像制作活动、影视制作基地建设和技术改造</w:t>
            </w:r>
          </w:p>
        </w:tc>
      </w:tr>
      <w:tr>
        <w:tblPrEx>
          <w:tblCellMar>
            <w:top w:w="0" w:type="dxa"/>
            <w:left w:w="0" w:type="dxa"/>
            <w:bottom w:w="0" w:type="dxa"/>
            <w:right w:w="0" w:type="dxa"/>
          </w:tblCellMar>
        </w:tblPrEx>
        <w:trPr>
          <w:trHeight w:val="285" w:hRule="atLeast"/>
          <w:jc w:val="center"/>
        </w:trPr>
        <w:tc>
          <w:tcPr>
            <w:tcW w:w="9105"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八、总部经济</w:t>
            </w:r>
          </w:p>
        </w:tc>
      </w:tr>
      <w:tr>
        <w:tblPrEx>
          <w:shd w:val="clear" w:color="auto" w:fill="FFFFFF"/>
          <w:tblCellMar>
            <w:top w:w="0" w:type="dxa"/>
            <w:left w:w="0" w:type="dxa"/>
            <w:bottom w:w="0" w:type="dxa"/>
            <w:right w:w="0" w:type="dxa"/>
          </w:tblCellMar>
        </w:tblPrEx>
        <w:trPr>
          <w:trHeight w:val="1140" w:hRule="atLeast"/>
          <w:jc w:val="center"/>
        </w:trPr>
        <w:tc>
          <w:tcPr>
            <w:tcW w:w="9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1</w:t>
            </w:r>
          </w:p>
        </w:tc>
        <w:tc>
          <w:tcPr>
            <w:tcW w:w="817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跨国公司和国内上市企业、行业领先企业、市内优质企业在五桂山设立公司总部、地区总部、分支机构或运营中心、结算中心、研发中心、数据中心、采购中心、物流配送中心等</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rPr>
          <w:rFonts w:hint="default" w:ascii="Times New Roman" w:hAnsi="Times New Roman" w:eastAsia="仿宋_GB2312" w:cs="Times New Roman"/>
          <w:b w:val="0"/>
          <w:i w:val="0"/>
          <w:caps w:val="0"/>
          <w:color w:val="333333"/>
          <w:spacing w:val="0"/>
          <w:sz w:val="28"/>
          <w:szCs w:val="28"/>
        </w:rPr>
      </w:pPr>
      <w:r>
        <w:rPr>
          <w:rFonts w:hint="default" w:ascii="Times New Roman" w:hAnsi="Times New Roman" w:eastAsia="仿宋_GB2312" w:cs="Times New Roman"/>
          <w:b w:val="0"/>
          <w:i w:val="0"/>
          <w:caps w:val="0"/>
          <w:color w:val="333333"/>
          <w:spacing w:val="0"/>
          <w:sz w:val="28"/>
          <w:szCs w:val="28"/>
          <w:shd w:val="clear" w:fill="FFFFFF"/>
        </w:rPr>
        <w:t>               </w:t>
      </w:r>
    </w:p>
    <w:tbl>
      <w:tblPr>
        <w:tblStyle w:val="3"/>
        <w:tblW w:w="9110" w:type="dxa"/>
        <w:jc w:val="center"/>
        <w:shd w:val="clear" w:color="auto" w:fill="FFFFFF"/>
        <w:tblLayout w:type="autofit"/>
        <w:tblCellMar>
          <w:top w:w="0" w:type="dxa"/>
          <w:left w:w="0" w:type="dxa"/>
          <w:bottom w:w="0" w:type="dxa"/>
          <w:right w:w="0" w:type="dxa"/>
        </w:tblCellMar>
      </w:tblPr>
      <w:tblGrid>
        <w:gridCol w:w="925"/>
        <w:gridCol w:w="8045"/>
        <w:gridCol w:w="140"/>
      </w:tblGrid>
      <w:tr>
        <w:tblPrEx>
          <w:shd w:val="clear" w:color="auto" w:fill="FFFFFF"/>
          <w:tblCellMar>
            <w:top w:w="0" w:type="dxa"/>
            <w:left w:w="0" w:type="dxa"/>
            <w:bottom w:w="0" w:type="dxa"/>
            <w:right w:w="0" w:type="dxa"/>
          </w:tblCellMar>
        </w:tblPrEx>
        <w:trPr>
          <w:gridAfter w:val="1"/>
          <w:wAfter w:w="140" w:type="dxa"/>
          <w:trHeight w:val="450" w:hRule="atLeast"/>
          <w:jc w:val="center"/>
        </w:trPr>
        <w:tc>
          <w:tcPr>
            <w:tcW w:w="9110" w:type="dxa"/>
            <w:gridSpan w:val="2"/>
            <w:tcBorders>
              <w:top w:val="nil"/>
              <w:left w:val="nil"/>
              <w:bottom w:val="nil"/>
              <w:right w:val="nil"/>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第二类  禁止类</w:t>
            </w:r>
          </w:p>
        </w:tc>
      </w:tr>
      <w:tr>
        <w:tblPrEx>
          <w:shd w:val="clear" w:color="auto" w:fill="FFFFFF"/>
          <w:tblCellMar>
            <w:top w:w="0" w:type="dxa"/>
            <w:left w:w="0" w:type="dxa"/>
            <w:bottom w:w="0" w:type="dxa"/>
            <w:right w:w="0" w:type="dxa"/>
          </w:tblCellMar>
        </w:tblPrEx>
        <w:trPr>
          <w:trHeight w:val="285" w:hRule="atLeast"/>
          <w:jc w:val="center"/>
        </w:trPr>
        <w:tc>
          <w:tcPr>
            <w:tcW w:w="935" w:type="dxa"/>
            <w:tcBorders>
              <w:top w:val="single" w:color="000000" w:sz="8" w:space="0"/>
              <w:left w:val="single" w:color="000000" w:sz="8" w:space="0"/>
              <w:bottom w:val="single" w:color="000000"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 1 </w:t>
            </w:r>
          </w:p>
        </w:tc>
        <w:tc>
          <w:tcPr>
            <w:tcW w:w="8317" w:type="dxa"/>
            <w:gridSpan w:val="2"/>
            <w:tcBorders>
              <w:top w:val="single" w:color="auto" w:sz="8" w:space="0"/>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新建、改建、扩建、迁建对水环境影响大的项目，包括酿造、造纸、屠宰、禽畜养殖场、线路板、金属表面处理（包括电镀、阳极氧化、钝化、酸洗、磷化等）、印染、洗水等</w:t>
            </w:r>
          </w:p>
        </w:tc>
      </w:tr>
      <w:tr>
        <w:tblPrEx>
          <w:shd w:val="clear" w:color="auto" w:fill="FFFFFF"/>
          <w:tblCellMar>
            <w:top w:w="0" w:type="dxa"/>
            <w:left w:w="0" w:type="dxa"/>
            <w:bottom w:w="0" w:type="dxa"/>
            <w:right w:w="0" w:type="dxa"/>
          </w:tblCellMar>
        </w:tblPrEx>
        <w:trPr>
          <w:trHeight w:val="285" w:hRule="atLeast"/>
          <w:jc w:val="center"/>
        </w:trPr>
        <w:tc>
          <w:tcPr>
            <w:tcW w:w="935" w:type="dxa"/>
            <w:tcBorders>
              <w:top w:val="nil"/>
              <w:left w:val="single" w:color="000000" w:sz="8" w:space="0"/>
              <w:bottom w:val="single" w:color="000000"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2</w:t>
            </w:r>
          </w:p>
        </w:tc>
        <w:tc>
          <w:tcPr>
            <w:tcW w:w="8317" w:type="dxa"/>
            <w:gridSpan w:val="2"/>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对大气环境影响大的项目，包括涂料、油墨等行业，以及需配套建设高污染燃料锅炉的项目等</w:t>
            </w:r>
          </w:p>
        </w:tc>
      </w:tr>
      <w:tr>
        <w:tblPrEx>
          <w:shd w:val="clear" w:color="auto" w:fill="FFFFFF"/>
          <w:tblCellMar>
            <w:top w:w="0" w:type="dxa"/>
            <w:left w:w="0" w:type="dxa"/>
            <w:bottom w:w="0" w:type="dxa"/>
            <w:right w:w="0" w:type="dxa"/>
          </w:tblCellMar>
        </w:tblPrEx>
        <w:trPr>
          <w:trHeight w:val="402" w:hRule="atLeast"/>
          <w:jc w:val="center"/>
        </w:trPr>
        <w:tc>
          <w:tcPr>
            <w:tcW w:w="935" w:type="dxa"/>
            <w:tcBorders>
              <w:top w:val="nil"/>
              <w:left w:val="single" w:color="000000" w:sz="8" w:space="0"/>
              <w:bottom w:val="single" w:color="000000"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3</w:t>
            </w:r>
          </w:p>
        </w:tc>
        <w:tc>
          <w:tcPr>
            <w:tcW w:w="8317" w:type="dxa"/>
            <w:gridSpan w:val="2"/>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综合性环境影响大的项目，包括综合利用废旧物资、工业固废处置、化工行业等</w:t>
            </w:r>
          </w:p>
        </w:tc>
      </w:tr>
      <w:tr>
        <w:tblPrEx>
          <w:shd w:val="clear" w:color="auto" w:fill="FFFFFF"/>
          <w:tblCellMar>
            <w:top w:w="0" w:type="dxa"/>
            <w:left w:w="0" w:type="dxa"/>
            <w:bottom w:w="0" w:type="dxa"/>
            <w:right w:w="0" w:type="dxa"/>
          </w:tblCellMar>
        </w:tblPrEx>
        <w:trPr>
          <w:trHeight w:val="285" w:hRule="atLeast"/>
          <w:jc w:val="center"/>
        </w:trPr>
        <w:tc>
          <w:tcPr>
            <w:tcW w:w="935" w:type="dxa"/>
            <w:tcBorders>
              <w:top w:val="nil"/>
              <w:left w:val="single" w:color="000000" w:sz="8" w:space="0"/>
              <w:bottom w:val="single" w:color="000000"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4</w:t>
            </w:r>
          </w:p>
        </w:tc>
        <w:tc>
          <w:tcPr>
            <w:tcW w:w="8317" w:type="dxa"/>
            <w:gridSpan w:val="2"/>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特殊环境影响项目，包括放射性产品及设施的生产、产生较强电磁波辐射项目等</w:t>
            </w:r>
          </w:p>
        </w:tc>
      </w:tr>
      <w:tr>
        <w:tblPrEx>
          <w:shd w:val="clear" w:color="auto" w:fill="FFFFFF"/>
          <w:tblCellMar>
            <w:top w:w="0" w:type="dxa"/>
            <w:left w:w="0" w:type="dxa"/>
            <w:bottom w:w="0" w:type="dxa"/>
            <w:right w:w="0" w:type="dxa"/>
          </w:tblCellMar>
        </w:tblPrEx>
        <w:trPr>
          <w:trHeight w:val="285" w:hRule="atLeast"/>
          <w:jc w:val="center"/>
        </w:trPr>
        <w:tc>
          <w:tcPr>
            <w:tcW w:w="935" w:type="dxa"/>
            <w:tcBorders>
              <w:top w:val="nil"/>
              <w:left w:val="single" w:color="000000" w:sz="8" w:space="0"/>
              <w:bottom w:val="single" w:color="000000"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5</w:t>
            </w:r>
          </w:p>
        </w:tc>
        <w:tc>
          <w:tcPr>
            <w:tcW w:w="8317" w:type="dxa"/>
            <w:gridSpan w:val="2"/>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所有危险化学品专业仓储、危险爆炸物仓储项目（包括烟花、爆竹、炸药、雷管等）</w:t>
            </w:r>
          </w:p>
        </w:tc>
      </w:tr>
      <w:tr>
        <w:tblPrEx>
          <w:shd w:val="clear" w:color="auto" w:fill="FFFFFF"/>
          <w:tblCellMar>
            <w:top w:w="0" w:type="dxa"/>
            <w:left w:w="0" w:type="dxa"/>
            <w:bottom w:w="0" w:type="dxa"/>
            <w:right w:w="0" w:type="dxa"/>
          </w:tblCellMar>
        </w:tblPrEx>
        <w:trPr>
          <w:trHeight w:val="285" w:hRule="atLeast"/>
          <w:jc w:val="center"/>
        </w:trPr>
        <w:tc>
          <w:tcPr>
            <w:tcW w:w="935" w:type="dxa"/>
            <w:tcBorders>
              <w:top w:val="nil"/>
              <w:left w:val="single" w:color="000000" w:sz="8" w:space="0"/>
              <w:bottom w:val="single" w:color="000000"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6</w:t>
            </w:r>
          </w:p>
        </w:tc>
        <w:tc>
          <w:tcPr>
            <w:tcW w:w="8317" w:type="dxa"/>
            <w:gridSpan w:val="2"/>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在市主体功能区规划确定的禁止开发区内，与资源保护、水源保护无关的开发建设活动</w:t>
            </w:r>
          </w:p>
        </w:tc>
      </w:tr>
      <w:tr>
        <w:tblPrEx>
          <w:shd w:val="clear" w:color="auto" w:fill="FFFFFF"/>
          <w:tblCellMar>
            <w:top w:w="0" w:type="dxa"/>
            <w:left w:w="0" w:type="dxa"/>
            <w:bottom w:w="0" w:type="dxa"/>
            <w:right w:w="0" w:type="dxa"/>
          </w:tblCellMar>
        </w:tblPrEx>
        <w:trPr>
          <w:trHeight w:val="487" w:hRule="atLeast"/>
          <w:jc w:val="center"/>
        </w:trPr>
        <w:tc>
          <w:tcPr>
            <w:tcW w:w="935" w:type="dxa"/>
            <w:tcBorders>
              <w:top w:val="nil"/>
              <w:left w:val="single" w:color="000000" w:sz="8" w:space="0"/>
              <w:bottom w:val="single" w:color="000000"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7</w:t>
            </w:r>
          </w:p>
        </w:tc>
        <w:tc>
          <w:tcPr>
            <w:tcW w:w="8317" w:type="dxa"/>
            <w:gridSpan w:val="2"/>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jc w:val="both"/>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 w:val="0"/>
                <w:i w:val="0"/>
                <w:caps w:val="0"/>
                <w:color w:val="333333"/>
                <w:spacing w:val="0"/>
                <w:kern w:val="0"/>
                <w:sz w:val="28"/>
                <w:szCs w:val="28"/>
                <w:lang w:val="en-US" w:eastAsia="zh-CN" w:bidi="ar"/>
              </w:rPr>
              <w:t>国家、省、市规定禁止发展和淘汰的其他项目</w:t>
            </w:r>
          </w:p>
        </w:tc>
      </w:tr>
    </w:tbl>
    <w:p>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D70AA"/>
    <w:rsid w:val="490B2B81"/>
    <w:rsid w:val="62D62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2020-01-03T09:25:00Z</dcterms:created>
  <dc:creator>Administrator.SC-201903210805</dc:creator>
  <cp:lastModifiedBy>Administrator</cp:lastModifiedBy>
  <cp:lastPrinted>2020-01-06T08:16:07Z</cp:lastPrinted>
  <dcterms:modified xsi:type="dcterms:W3CDTF">2020-01-06T08:18:55Z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