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63BC06">
      <w:pPr>
        <w:widowControl w:val="0"/>
        <w:kinsoku/>
        <w:autoSpaceDE/>
        <w:autoSpaceDN/>
        <w:adjustRightInd/>
        <w:snapToGrid/>
        <w:spacing w:line="520" w:lineRule="exact"/>
        <w:contextualSpacing/>
        <w:jc w:val="center"/>
        <w:textAlignment w:val="auto"/>
        <w:rPr>
          <w:rFonts w:hint="eastAsia" w:ascii="方正小标宋简体" w:hAnsi="Times New Roman" w:eastAsia="方正小标宋简体" w:cs="Times New Roman"/>
          <w:snapToGrid w:val="0"/>
          <w:kern w:val="2"/>
          <w:sz w:val="44"/>
          <w:szCs w:val="44"/>
          <w:lang w:eastAsia="zh-CN"/>
        </w:rPr>
      </w:pPr>
      <w:r>
        <w:rPr>
          <w:rFonts w:hint="eastAsia" w:ascii="方正小标宋简体" w:hAnsi="Times New Roman" w:eastAsia="方正小标宋简体" w:cs="Times New Roman"/>
          <w:snapToGrid w:val="0"/>
          <w:kern w:val="2"/>
          <w:sz w:val="44"/>
          <w:szCs w:val="44"/>
          <w:lang w:eastAsia="zh-CN"/>
        </w:rPr>
        <w:t>关于变更天丰臻品规划设计方案的公示</w:t>
      </w:r>
    </w:p>
    <w:p w14:paraId="44A243E7">
      <w:pPr>
        <w:widowControl w:val="0"/>
        <w:kinsoku/>
        <w:autoSpaceDE/>
        <w:autoSpaceDN/>
        <w:adjustRightInd/>
        <w:snapToGrid/>
        <w:spacing w:line="520" w:lineRule="exact"/>
        <w:contextualSpacing/>
        <w:jc w:val="center"/>
        <w:textAlignment w:val="auto"/>
        <w:rPr>
          <w:rFonts w:hint="eastAsia" w:ascii="方正小标宋简体" w:hAnsi="Times New Roman" w:eastAsia="方正小标宋简体" w:cs="Times New Roman"/>
          <w:snapToGrid w:val="0"/>
          <w:kern w:val="2"/>
          <w:sz w:val="44"/>
          <w:szCs w:val="44"/>
          <w:lang w:eastAsia="zh-CN"/>
        </w:rPr>
      </w:pPr>
    </w:p>
    <w:p w14:paraId="19E9B5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兹有中山市泓龙贸易有限公司向我局申请变更其名下天丰臻品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(地址：中山市东区槎桥管理区岐关西路地段土名为白鸽围)的规划设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计方案，现根据相关法律、法规予以公示。</w:t>
      </w:r>
    </w:p>
    <w:p w14:paraId="548E4D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该项目方案调整如下：1、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绿化调整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；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4#配套建筑增设构架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；4、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23#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配套建筑增加烟道、门楼方案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调整。</w:t>
      </w:r>
    </w:p>
    <w:p w14:paraId="3265F9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变更后各项指标不变。以上变更内容详见现场变更说明及公示图纸。</w:t>
      </w:r>
    </w:p>
    <w:p w14:paraId="2A8BBE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该规划公示牌设于项目地块主要出入口位置，公示期为本公示刊登之日起20个工作日。公示期内，该项目的相关利害关系人可以携带身份证、房地产权属证书等资料到中山市自然资源局第一分局（中山市兴中道2号之一投资大厦二楼）查询相关情况，提交陈述、申辩意见书或者听证申请书，逾期未进行陈述、申辩或听证申请的，视为放弃上述权利。</w:t>
      </w:r>
    </w:p>
    <w:p w14:paraId="1B1424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6808470</wp:posOffset>
            </wp:positionH>
            <wp:positionV relativeFrom="paragraph">
              <wp:posOffset>47625</wp:posOffset>
            </wp:positionV>
            <wp:extent cx="1473200" cy="1485900"/>
            <wp:effectExtent l="0" t="0" r="1270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73215" cy="14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76D9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中山市自然资源局</w:t>
      </w:r>
    </w:p>
    <w:p w14:paraId="0D2E26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2026年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日</w:t>
      </w:r>
    </w:p>
    <w:p w14:paraId="31EC8EE2"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(联系人及电话：徐工，88268473)</w:t>
      </w:r>
    </w:p>
    <w:p w14:paraId="4FE73DD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1A46CB"/>
    <w:rsid w:val="481A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中山市自然资源局</Company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Office_12.9.0.21300_F1E327BC-269C-435d-A152-05C5408002CA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2026-06-30T09:36:00Z</dcterms:created>
  <dc:creator>徐庆辉</dc:creator>
  <cp:lastModifiedBy>徐庆辉</cp:lastModifiedBy>
  <dcterms:modified xsi:type="dcterms:W3CDTF">2026-07-01T10:35:03Z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2052-12.9.0.21300</vt:lpwstr>
  </property>
  <property fmtid="{D5CDD505-2E9C-101B-9397-08002B2CF9AE}" pid="3" name="ICV">
    <vt:lpwstr>FE3287E19E8044B0BEC124CCBBE32A2B_11</vt:lpwstr>
  </property>
</Properties>
</file>